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54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8"/>
      </w:tblGrid>
      <w:tr>
        <w:trPr/>
        <w:tc>
          <w:tcPr>
            <w:tcW w:w="4548" w:type="dxa"/>
            <w:tcBorders/>
            <w:shd w:fill="083469" w:val="clear"/>
            <w:vAlign w:val="center"/>
          </w:tcPr>
          <w:p>
            <w:pPr>
              <w:pStyle w:val="TableContents"/>
              <w:bidi w:val="0"/>
              <w:spacing w:before="100" w:after="100"/>
              <w:ind w:hanging="0" w:left="0" w:right="0"/>
              <w:jc w:val="left"/>
              <w:rPr/>
            </w:pPr>
            <w:r>
              <w:rPr>
                <w:color w:val="00D190"/>
                <w:spacing w:val="40"/>
                <w:sz w:val="22"/>
              </w:rPr>
              <w:t>CAPITAL GROUP  ·  THE LONG GAME</w:t>
            </w:r>
            <w:r>
              <w:rPr/>
              <w:br/>
            </w:r>
            <w:r>
              <w:rPr>
                <w:b/>
                <w:color w:val="FFFFFF"/>
                <w:sz w:val="54"/>
              </w:rPr>
              <w:t>How to Use It</w:t>
            </w:r>
            <w:r>
              <w:rPr/>
              <w:br/>
            </w:r>
            <w:r>
              <w:rPr>
                <w:color w:val="BFE9DD"/>
                <w:sz w:val="26"/>
              </w:rPr>
              <w:t>Playing &amp; running the game</w:t>
            </w:r>
            <w:r>
              <w:rPr/>
              <w:br/>
            </w:r>
            <w:r>
              <w:rPr>
                <w:color w:val="C7D3E2"/>
                <w:sz w:val="21"/>
              </w:rPr>
              <w:t>A plain-English guide for facilitators and players — if you can open a web link, you can run this.</w:t>
            </w:r>
            <w:r>
              <w:rPr/>
              <w:t xml:space="preserve"> </w:t>
            </w:r>
          </w:p>
        </w:tc>
      </w:tr>
      <w:tr>
        <w:trPr/>
        <w:tc>
          <w:tcPr>
            <w:tcW w:w="4548" w:type="dxa"/>
            <w:tcBorders/>
            <w:shd w:fill="008074" w:val="clear"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40" w:after="200"/>
        <w:ind w:hanging="0" w:left="40" w:right="40"/>
        <w:jc w:val="left"/>
        <w:rPr>
          <w:color w:val="062A56"/>
          <w:spacing w:val="20"/>
          <w:shd w:fill="00D190" w:val="clear"/>
        </w:rPr>
      </w:pPr>
      <w:r>
        <w:rPr>
          <w:color w:val="062A56"/>
          <w:spacing w:val="20"/>
          <w:shd w:fill="00D190" w:val="clear"/>
        </w:rPr>
        <w:t> </w:t>
      </w:r>
      <w:r>
        <w:rPr>
          <w:b/>
          <w:color w:val="062A56"/>
          <w:spacing w:val="20"/>
          <w:sz w:val="17"/>
          <w:shd w:fill="00D190" w:val="clear"/>
        </w:rPr>
        <w:t>INTERNAL USE ONLY · DO NOT DISSEMINATE </w:t>
      </w:r>
    </w:p>
    <w:p>
      <w:pPr>
        <w:pStyle w:val="Heading2"/>
        <w:bidi w:val="0"/>
        <w:jc w:val="left"/>
        <w:rPr/>
      </w:pPr>
      <w:r>
        <w:rPr/>
        <w:t>1 · What it is</w:t>
      </w:r>
    </w:p>
    <w:p>
      <w:pPr>
        <w:pStyle w:val="BodyTextlead"/>
        <w:bidi w:val="0"/>
        <w:jc w:val="left"/>
        <w:rPr/>
      </w:pPr>
      <w:r>
        <w:rPr/>
        <w:t>A short, Capital Group-branded investing game.</w:t>
      </w:r>
    </w:p>
    <w:p>
      <w:pPr>
        <w:pStyle w:val="BodyText"/>
        <w:bidi w:val="0"/>
        <w:jc w:val="left"/>
        <w:rPr/>
      </w:pPr>
      <w:r>
        <w:rPr/>
        <w:t xml:space="preserve">A player is given a portfolio and lives through six real market moments — a crash, a panic, a mania — without being told the dates. At each moment they choose to </w:t>
      </w:r>
      <w:r>
        <w:rPr>
          <w:rStyle w:val="Strong"/>
        </w:rPr>
        <w:t>Hold, Sell, or Buy</w:t>
      </w:r>
      <w:r>
        <w:rPr/>
        <w:t>. At the end, the game reveals that every moment was real, and shows how simply staying invested usually won.</w:t>
      </w:r>
    </w:p>
    <w:p>
      <w:pPr>
        <w:pStyle w:val="BodyText"/>
        <w:bidi w:val="0"/>
        <w:jc w:val="left"/>
        <w:rPr/>
      </w:pPr>
      <w:r>
        <w:rPr/>
        <w:t>It comes in three editions — pick one for your situation:</w:t>
      </w:r>
    </w:p>
    <w:tbl>
      <w:tblPr>
        <w:tblW w:w="45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6"/>
        <w:gridCol w:w="1196"/>
        <w:gridCol w:w="2096"/>
      </w:tblGrid>
      <w:tr>
        <w:trPr/>
        <w:tc>
          <w:tcPr>
            <w:tcW w:w="1256" w:type="dxa"/>
            <w:tcBorders/>
            <w:vAlign w:val="center"/>
          </w:tcPr>
          <w:p>
            <w:pPr>
              <w:pStyle w:val="TableHeading"/>
              <w:suppressLineNumbers/>
              <w:shd w:fill="008074" w:val="clear"/>
              <w:bidi w:val="0"/>
              <w:spacing w:before="100" w:after="100"/>
              <w:jc w:val="left"/>
              <w:rPr/>
            </w:pPr>
            <w:r>
              <w:rPr/>
              <w:t>Edition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Heading"/>
              <w:suppressLineNumbers/>
              <w:shd w:fill="008074" w:val="clear"/>
              <w:bidi w:val="0"/>
              <w:spacing w:before="100" w:after="100"/>
              <w:jc w:val="left"/>
              <w:rPr/>
            </w:pPr>
            <w:r>
              <w:rPr/>
              <w:t>Best for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Heading"/>
              <w:suppressLineNumbers/>
              <w:shd w:fill="008074" w:val="clear"/>
              <w:bidi w:val="0"/>
              <w:spacing w:before="100" w:after="100"/>
              <w:jc w:val="left"/>
              <w:rPr/>
            </w:pPr>
            <w:r>
              <w:rPr/>
              <w:t>Fund content</w:t>
            </w:r>
          </w:p>
        </w:tc>
      </w:tr>
      <w:tr>
        <w:trPr/>
        <w:tc>
          <w:tcPr>
            <w:tcW w:w="12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Live Room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A room of people at an event, each on their phone, results on a big screen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None (product-agnostic)</w:t>
            </w:r>
          </w:p>
        </w:tc>
      </w:tr>
      <w:tr>
        <w:trPr/>
        <w:tc>
          <w:tcPr>
            <w:tcW w:w="12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Learning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One person playing solo, on their own device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None (product-agnostic)</w:t>
            </w:r>
          </w:p>
        </w:tc>
      </w:tr>
      <w:tr>
        <w:trPr/>
        <w:tc>
          <w:tcPr>
            <w:tcW w:w="125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Sales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One person solo, when you want to show the American Balanced Fund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Includes fund panel + chart line</w:t>
            </w:r>
          </w:p>
        </w:tc>
      </w:tr>
    </w:tbl>
    <w:p>
      <w:pPr>
        <w:pStyle w:val="BodyText"/>
        <w:bidi w:val="0"/>
        <w:jc w:val="left"/>
        <w:rPr/>
      </w:pPr>
      <w:r>
        <w:rPr/>
        <w:t>All three teach the same lesson and play almost identically. The Live Room adds phones, a leaderboard and performance checks; the Sales edition adds fund information at the end.</w:t>
      </w:r>
    </w:p>
    <w:p>
      <w:pPr>
        <w:pStyle w:val="BodyText"/>
        <w:bidi w:val="0"/>
        <w:jc w:val="left"/>
        <w:rPr/>
      </w:pPr>
      <w:r>
        <w:rPr/>
        <w:t xml:space="preserve">⚠ </w:t>
      </w:r>
      <w:r>
        <w:rPr>
          <w:b/>
        </w:rPr>
        <w:t>Before anything else</w:t>
      </w:r>
      <w:r>
        <w:rPr/>
        <w:t xml:space="preserve"> — these are </w:t>
      </w:r>
      <w:r>
        <w:rPr>
          <w:rStyle w:val="Strong"/>
        </w:rPr>
        <w:t>internal / pre-approval</w:t>
      </w:r>
      <w:r>
        <w:rPr/>
        <w:t xml:space="preserve"> tools. Every screen carries a “For internal use only · Do not disseminate” line. Do not put them in front of a real client or external audience until the data and compliance sign-offs are complete.</w:t>
      </w:r>
    </w:p>
    <w:p>
      <w:pPr>
        <w:pStyle w:val="Heading2"/>
        <w:bidi w:val="0"/>
        <w:jc w:val="left"/>
        <w:rPr/>
      </w:pPr>
      <w:r>
        <w:rPr/>
        <w:t>2 · Playing a solo game</w:t>
      </w:r>
    </w:p>
    <w:p>
      <w:pPr>
        <w:pStyle w:val="BodyText"/>
        <w:bidi w:val="0"/>
        <w:jc w:val="left"/>
        <w:rPr/>
      </w:pPr>
      <w:r>
        <w:rPr>
          <w:rStyle w:val="Strong"/>
        </w:rPr>
        <w:t>Learning</w:t>
      </w:r>
      <w:r>
        <w:rPr/>
        <w:t xml:space="preserve"> or </w:t>
      </w:r>
      <w:r>
        <w:rPr>
          <w:rStyle w:val="Strong"/>
        </w:rPr>
        <w:t>Sales</w:t>
      </w:r>
      <w:r>
        <w:rPr/>
        <w:t xml:space="preserve"> edition. To start, open the game link on any device — phone, laptop or tablet.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Choose your amount.</w:t>
      </w:r>
      <w:r>
        <w:rPr/>
        <w:t xml:space="preserve"> The welcome screen asks how much you have invested. Type any amount — it defaults to $50,000. Your money sits in a </w:t>
      </w:r>
      <w:r>
        <w:rPr>
          <w:rStyle w:val="Strong"/>
        </w:rPr>
        <w:t>Balanced fund</w:t>
      </w:r>
      <w:r>
        <w:rPr/>
        <w:t xml:space="preserve"> (60% equities / 40% fixed income); there’s no fund to choose.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Do the practice round.</w:t>
      </w:r>
      <w:r>
        <w:rPr/>
        <w:t xml:space="preserve"> One warm-up moment that doesn’t count, so you learn the buttons.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Play the six moments.</w:t>
      </w:r>
      <w:r>
        <w:rPr/>
        <w:t xml:space="preserve"> Each shows a short, tense story and three choices: </w:t>
      </w:r>
    </w:p>
    <w:tbl>
      <w:tblPr>
        <w:tblW w:w="45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1"/>
        <w:gridCol w:w="1508"/>
        <w:gridCol w:w="1649"/>
      </w:tblGrid>
      <w:tr>
        <w:trPr/>
        <w:tc>
          <w:tcPr>
            <w:tcW w:w="1391" w:type="dxa"/>
            <w:tcBorders/>
            <w:shd w:fill="083469" w:val="clear"/>
            <w:vAlign w:val="center"/>
          </w:tcPr>
          <w:p>
            <w:pPr>
              <w:pStyle w:val="TableContents"/>
              <w:bidi w:val="0"/>
              <w:spacing w:before="100" w:after="100"/>
              <w:ind w:hanging="0" w:left="0" w:right="0"/>
              <w:jc w:val="left"/>
              <w:rPr/>
            </w:pPr>
            <w:r>
              <w:rPr>
                <w:b/>
              </w:rPr>
              <w:t>Hold</w:t>
            </w:r>
            <w:r>
              <w:rPr/>
              <w:br/>
              <w:t>stay fully invested</w:t>
            </w:r>
          </w:p>
        </w:tc>
        <w:tc>
          <w:tcPr>
            <w:tcW w:w="1508" w:type="dxa"/>
            <w:tcBorders/>
            <w:shd w:fill="B3402E" w:val="clear"/>
            <w:vAlign w:val="center"/>
          </w:tcPr>
          <w:p>
            <w:pPr>
              <w:pStyle w:val="TableContents"/>
              <w:bidi w:val="0"/>
              <w:spacing w:before="100" w:after="100"/>
              <w:ind w:hanging="0" w:left="0" w:right="0"/>
              <w:jc w:val="left"/>
              <w:rPr/>
            </w:pPr>
            <w:r>
              <w:rPr>
                <w:b/>
              </w:rPr>
              <w:t>Sell 25%</w:t>
            </w:r>
            <w:r>
              <w:rPr/>
              <w:br/>
              <w:t>move a quarter to cash</w:t>
            </w:r>
          </w:p>
        </w:tc>
        <w:tc>
          <w:tcPr>
            <w:tcW w:w="1649" w:type="dxa"/>
            <w:tcBorders/>
            <w:shd w:fill="008074" w:val="clear"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b/>
              </w:rPr>
              <w:t>Buy 25%</w:t>
            </w:r>
            <w:r>
              <w:rPr/>
              <w:br/>
              <w:t>move a quarter back in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See what each choice would have done.</w:t>
      </w:r>
      <w:r>
        <w:rPr/>
        <w:t xml:space="preserve"> Right after every choice, the game shows how Hold, Sell and Buy each would have turned out that round — but never tells you </w:t>
      </w:r>
      <w:r>
        <w:rPr>
          <w:rStyle w:val="Emphasis"/>
        </w:rPr>
        <w:t>when</w:t>
      </w:r>
      <w:r>
        <w:rPr/>
        <w:t xml:space="preserve"> in history you are.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The windfall (moment 3).</w:t>
      </w:r>
      <w:r>
        <w:rPr/>
        <w:t xml:space="preserve"> Partway through, an unexpected bonus lands — half your starting amount, invested automatically. It arrives just as a scary moment hits, testing whether you add or pull back.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The reveal.</w:t>
      </w:r>
      <w:r>
        <w:rPr/>
        <w:t xml:space="preserve"> At the end, the game names every moment you lived through (the COVID crash, the 2022 bear market, and so on) and charts your choices against simply staying invested.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Explore other crises.</w:t>
      </w:r>
      <w:r>
        <w:rPr/>
        <w:t xml:space="preserve"> On the reveal, tap </w:t>
      </w:r>
      <w:r>
        <w:rPr>
          <w:rStyle w:val="Strong"/>
        </w:rPr>
        <w:t>“See it in another crisis”</w:t>
      </w:r>
      <w:r>
        <w:rPr/>
        <w:t xml:space="preserve"> to replay the same lesson through 1973, 1987, 2000, 2008 and more. (These historical examples always use a fixed $50,000, separate from your game.)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Play again</w:t>
      </w:r>
      <w:r>
        <w:rPr/>
        <w:t xml:space="preserve"> to try different choices or a different starting amount. </w:t>
      </w:r>
    </w:p>
    <w:p>
      <w:pPr>
        <w:pStyle w:val="BodyText"/>
        <w:bidi w:val="0"/>
        <w:jc w:val="left"/>
        <w:rPr/>
      </w:pPr>
      <w:r>
        <w:rPr/>
        <w:t xml:space="preserve">⏱ </w:t>
      </w:r>
      <w:r>
        <w:rPr>
          <w:b/>
        </w:rPr>
        <w:t>About four minutes</w:t>
      </w:r>
      <w:r>
        <w:rPr/>
        <w:t xml:space="preserve"> — that’s the whole solo game, start to finish.</w:t>
      </w:r>
    </w:p>
    <w:p>
      <w:pPr>
        <w:pStyle w:val="Heading2"/>
        <w:bidi w:val="0"/>
        <w:jc w:val="left"/>
        <w:rPr/>
      </w:pPr>
      <w:r>
        <w:rPr/>
        <w:t>3 · Running a Live Room event</w:t>
      </w:r>
    </w:p>
    <w:p>
      <w:pPr>
        <w:pStyle w:val="BodyText"/>
        <w:bidi w:val="0"/>
        <w:jc w:val="left"/>
        <w:rPr/>
      </w:pPr>
      <w:r>
        <w:rPr/>
        <w:t>The group version: a big screen at the front, everyone plays on their own phone, and a live leaderboard drives the room.</w:t>
      </w:r>
    </w:p>
    <w:p>
      <w:pPr>
        <w:pStyle w:val="Heading3"/>
        <w:bidi w:val="0"/>
        <w:jc w:val="left"/>
        <w:rPr/>
      </w:pPr>
      <w:r>
        <w:rPr/>
        <w:t>What you need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A </w:t>
      </w:r>
      <w:r>
        <w:rPr>
          <w:rStyle w:val="Strong"/>
        </w:rPr>
        <w:t>screen at the front</w:t>
      </w:r>
      <w:r>
        <w:rPr/>
        <w:t xml:space="preserve"> (projector or TV) with a web browser.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Each participant’s </w:t>
      </w:r>
      <w:r>
        <w:rPr>
          <w:rStyle w:val="Strong"/>
        </w:rPr>
        <w:t>phone</w:t>
      </w:r>
      <w:r>
        <w:rPr/>
        <w:t xml:space="preserve"> — they’ll scan a QR code to join.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The game open on the big screen from the </w:t>
      </w:r>
      <w:r>
        <w:rPr>
          <w:rStyle w:val="Strong"/>
        </w:rPr>
        <w:t>hosted web link</w:t>
      </w:r>
      <w:r>
        <w:rPr/>
        <w:t xml:space="preserve"> (this matters — see §5). </w:t>
      </w:r>
    </w:p>
    <w:p>
      <w:pPr>
        <w:pStyle w:val="Heading3"/>
        <w:bidi w:val="0"/>
        <w:jc w:val="left"/>
        <w:rPr/>
      </w:pPr>
      <w:r>
        <w:rPr/>
        <w:t>Setting up — 2 minutes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On the big screen, open the game link and choose </w:t>
      </w:r>
      <w:r>
        <w:rPr>
          <w:rStyle w:val="Strong"/>
        </w:rPr>
        <w:t>“Host a live room.”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A </w:t>
      </w:r>
      <w:r>
        <w:rPr>
          <w:rStyle w:val="Strong"/>
        </w:rPr>
        <w:t>room code</w:t>
      </w:r>
      <w:r>
        <w:rPr/>
        <w:t xml:space="preserve"> and </w:t>
      </w:r>
      <w:r>
        <w:rPr>
          <w:rStyle w:val="Strong"/>
        </w:rPr>
        <w:t>QR code</w:t>
      </w:r>
      <w:r>
        <w:rPr/>
        <w:t xml:space="preserve"> appear.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Set the </w:t>
      </w:r>
      <w:r>
        <w:rPr>
          <w:rStyle w:val="Strong"/>
        </w:rPr>
        <w:t>starting amount for the room</w:t>
      </w:r>
      <w:r>
        <w:rPr/>
        <w:t xml:space="preserve"> (default $50,000). Everyone plays this same amount, which keeps the leaderboard fair.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Ask the room to </w:t>
      </w:r>
      <w:r>
        <w:rPr>
          <w:rStyle w:val="Strong"/>
        </w:rPr>
        <w:t>scan the QR code</w:t>
      </w:r>
      <w:r>
        <w:rPr/>
        <w:t xml:space="preserve"> (or type the code) and enter a nickname. Names appear on the big screen as people join.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When everyone’s in, press </w:t>
      </w:r>
      <w:r>
        <w:rPr>
          <w:rStyle w:val="Strong"/>
        </w:rPr>
        <w:t>“Start the six moments.”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Running the game</w:t>
      </w:r>
    </w:p>
    <w:p>
      <w:pPr>
        <w:pStyle w:val="BodyText"/>
        <w:bidi w:val="0"/>
        <w:jc w:val="left"/>
        <w:rPr/>
      </w:pPr>
      <w:r>
        <w:rPr/>
        <w:t>You (the host) drive the pace from the big screen. For each moment: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The moment’s story appears on the big screen and every phone.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People choose on their phones. A live tally shows how the room is voting — </w:t>
      </w:r>
      <w:r>
        <w:rPr>
          <w:rStyle w:val="Strong"/>
        </w:rPr>
        <w:t>but the outcome stays hidden.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When the room has voted, press </w:t>
      </w:r>
      <w:r>
        <w:rPr>
          <w:rStyle w:val="Strong"/>
        </w:rPr>
        <w:t>“Reveal what happened.”</w:t>
      </w:r>
      <w:r>
        <w:rPr/>
        <w:t xml:space="preserve"> A dramatic number shows what the market actually did.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Press </w:t>
      </w:r>
      <w:r>
        <w:rPr>
          <w:rStyle w:val="Strong"/>
        </w:rPr>
        <w:t>“Next moment”</w:t>
      </w:r>
      <w:r>
        <w:rPr/>
        <w:t xml:space="preserve"> to continue.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8" w:space="12" w:color="008074"/>
          <w:shd w:fill="F2F7F7" w:val="clear"/>
        </w:rPr>
      </w:pPr>
      <w:r>
        <w:rPr>
          <w:b/>
          <w:bdr w:val="single" w:sz="28" w:space="12" w:color="008074"/>
          <w:shd w:fill="F2F7F7" w:val="clear"/>
        </w:rPr>
        <w:t>Performance checks (after moments 2 &amp; 4).</w:t>
      </w:r>
      <w:r>
        <w:rPr>
          <w:bdr w:val="single" w:sz="28" w:space="12" w:color="008074"/>
          <w:shd w:fill="F2F7F7" w:val="clear"/>
        </w:rPr>
        <w:t xml:space="preserve"> The big screen shows a leaderboard — every player as a named bar, sorted, against a dotted “invested” line; each phone shows that player’s own rank. This is where the room feels the competition.</w:t>
        <w:br/>
      </w:r>
      <w:r>
        <w:rPr>
          <w:b/>
          <w:bdr w:val="single" w:sz="28" w:space="12" w:color="008074"/>
          <w:shd w:fill="F2F7F7" w:val="clear"/>
        </w:rPr>
        <w:t>The windfall (moment 3).</w:t>
      </w:r>
      <w:r>
        <w:rPr>
          <w:bdr w:val="single" w:sz="28" w:space="12" w:color="008074"/>
          <w:shd w:fill="F2F7F7" w:val="clear"/>
        </w:rPr>
        <w:t xml:space="preserve"> A bonus is announced on the big screen and every phone.</w:t>
        <w:br/>
      </w:r>
      <w:r>
        <w:rPr>
          <w:b/>
          <w:bdr w:val="single" w:sz="28" w:space="12" w:color="008074"/>
          <w:shd w:fill="F2F7F7" w:val="clear"/>
        </w:rPr>
        <w:t>The finale.</w:t>
      </w:r>
      <w:r>
        <w:rPr>
          <w:bdr w:val="single" w:sz="28" w:space="12" w:color="008074"/>
          <w:shd w:fill="F2F7F7" w:val="clear"/>
        </w:rPr>
        <w:t xml:space="preserve"> After moment 6, the big screen shows the full results as a bar chart against the “invested” and “buy-and-hold” lines. Each phone then shows its own complete reveal.</w:t>
      </w:r>
    </w:p>
    <w:p>
      <w:pPr>
        <w:pStyle w:val="Heading3"/>
        <w:bidi w:val="0"/>
        <w:jc w:val="left"/>
        <w:rPr/>
      </w:pPr>
      <w:r>
        <w:rPr/>
        <w:t>Host controls at a glance</w:t>
      </w:r>
    </w:p>
    <w:tbl>
      <w:tblPr>
        <w:tblW w:w="45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4"/>
        <w:gridCol w:w="2774"/>
      </w:tblGrid>
      <w:tr>
        <w:trPr/>
        <w:tc>
          <w:tcPr>
            <w:tcW w:w="1774" w:type="dxa"/>
            <w:tcBorders/>
            <w:vAlign w:val="center"/>
          </w:tcPr>
          <w:p>
            <w:pPr>
              <w:pStyle w:val="TableHeading"/>
              <w:suppressLineNumbers/>
              <w:shd w:fill="008074" w:val="clear"/>
              <w:bidi w:val="0"/>
              <w:spacing w:before="100" w:after="100"/>
              <w:jc w:val="left"/>
              <w:rPr/>
            </w:pPr>
            <w:r>
              <w:rPr/>
              <w:t>Button</w:t>
            </w:r>
          </w:p>
        </w:tc>
        <w:tc>
          <w:tcPr>
            <w:tcW w:w="2774" w:type="dxa"/>
            <w:tcBorders/>
            <w:vAlign w:val="center"/>
          </w:tcPr>
          <w:p>
            <w:pPr>
              <w:pStyle w:val="TableHeading"/>
              <w:suppressLineNumbers/>
              <w:shd w:fill="008074" w:val="clear"/>
              <w:bidi w:val="0"/>
              <w:spacing w:before="100" w:after="100"/>
              <w:jc w:val="left"/>
              <w:rPr/>
            </w:pPr>
            <w:r>
              <w:rPr/>
              <w:t>What it does</w:t>
            </w:r>
          </w:p>
        </w:tc>
      </w:tr>
      <w:tr>
        <w:trPr/>
        <w:tc>
          <w:tcPr>
            <w:tcW w:w="17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Host a live room</w:t>
            </w:r>
          </w:p>
        </w:tc>
        <w:tc>
          <w:tcPr>
            <w:tcW w:w="27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Creates the room + QR code</w:t>
            </w:r>
          </w:p>
        </w:tc>
      </w:tr>
      <w:tr>
        <w:trPr/>
        <w:tc>
          <w:tcPr>
            <w:tcW w:w="17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Start the six moments</w:t>
            </w:r>
          </w:p>
        </w:tc>
        <w:tc>
          <w:tcPr>
            <w:tcW w:w="27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Begins play once people have joined</w:t>
            </w:r>
          </w:p>
        </w:tc>
      </w:tr>
      <w:tr>
        <w:trPr/>
        <w:tc>
          <w:tcPr>
            <w:tcW w:w="17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Reveal what happened</w:t>
            </w:r>
          </w:p>
        </w:tc>
        <w:tc>
          <w:tcPr>
            <w:tcW w:w="27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Shows the market outcome for the current moment</w:t>
            </w:r>
          </w:p>
        </w:tc>
      </w:tr>
      <w:tr>
        <w:trPr/>
        <w:tc>
          <w:tcPr>
            <w:tcW w:w="17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Next moment</w:t>
            </w:r>
          </w:p>
        </w:tc>
        <w:tc>
          <w:tcPr>
            <w:tcW w:w="2774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Advances to the next moment (or the performance check)</w:t>
            </w:r>
          </w:p>
        </w:tc>
      </w:tr>
    </w:tbl>
    <w:p>
      <w:pPr>
        <w:pStyle w:val="BodyTextmuted"/>
        <w:bidi w:val="0"/>
        <w:jc w:val="left"/>
        <w:rPr/>
      </w:pPr>
      <w:r>
        <w:rPr/>
        <w:t>Everything else is automatic.</w:t>
      </w:r>
    </w:p>
    <w:p>
      <w:pPr>
        <w:pStyle w:val="Heading2"/>
        <w:bidi w:val="0"/>
        <w:jc w:val="left"/>
        <w:rPr/>
      </w:pPr>
      <w:r>
        <w:rPr/>
        <w:t>4 · The mechanics, explained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Starting amount.</w:t>
      </w:r>
      <w:r>
        <w:rPr/>
        <w:t xml:space="preserve"> Whatever you (or the host) enter; the whole game scales to it. In a Live Room it’s one amount for everyone, so the leaderboard compares like with like.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Balanced fund.</w:t>
      </w:r>
      <w:r>
        <w:rPr/>
        <w:t xml:space="preserve"> All money sits in a 60/40 Balanced fund. There is no risk option to pick — one profile for everyone.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Hold / Sell / Buy.</w:t>
      </w:r>
      <w:r>
        <w:rPr/>
        <w:t xml:space="preserve"> Sell moves 25% to cash; Buy moves 25% back in (only after selling); Hold stays put. Cash earns a small assumed return.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The round-3 windfall.</w:t>
      </w:r>
      <w:r>
        <w:rPr/>
        <w:t xml:space="preserve"> An unexpected bonus of 50% of the starting amount, invested automatically. It lands during a scary stretch — the interesting question is whether people add to a shaky market or retreat.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Performance checks (Live only).</w:t>
      </w:r>
      <w:r>
        <w:rPr/>
        <w:t xml:space="preserve"> Snapshots after moments 2 and 4. The dotted line marks the money put in so far (it steps up after the windfall), so “ahead of the line” means “your money grew.”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The reveal.</w:t>
      </w:r>
      <w:r>
        <w:rPr/>
        <w:t xml:space="preserve"> Real historical months, in real order, shown only at the end — so during play you can’t guess where you are, and the ending lands harder.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Exploring other crises.</w:t>
      </w:r>
      <w:r>
        <w:rPr/>
        <w:t xml:space="preserve"> The reveal replays the lesson through earlier decades to show it isn’t a one-off. </w:t>
      </w:r>
    </w:p>
    <w:p>
      <w:pPr>
        <w:pStyle w:val="Heading2"/>
        <w:bidi w:val="0"/>
        <w:jc w:val="left"/>
        <w:rPr/>
      </w:pPr>
      <w:r>
        <w:rPr/>
        <w:t>5 · Live Room hosting notes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8" w:space="12" w:color="008074"/>
          <w:shd w:fill="F2F7F7" w:val="clear"/>
        </w:rPr>
      </w:pPr>
      <w:r>
        <w:rPr>
          <w:b/>
          <w:bdr w:val="single" w:sz="28" w:space="12" w:color="008074"/>
          <w:shd w:fill="F2F7F7" w:val="clear"/>
        </w:rPr>
        <w:t>Always host the big screen from the hosted web link</w:t>
      </w:r>
      <w:r>
        <w:rPr>
          <w:bdr w:val="single" w:sz="28" w:space="12" w:color="008074"/>
          <w:shd w:fill="F2F7F7" w:val="clear"/>
        </w:rPr>
        <w:t xml:space="preserve"> — not a downloaded copy of the file. A downloaded file has no web address for phones to reach, and may be an older version. The hosted link guarantees phones can join and everyone’s on the same version.</w:t>
      </w:r>
    </w:p>
    <w:p>
      <w:pPr>
        <w:pStyle w:val="Heading3"/>
        <w:bidi w:val="0"/>
        <w:jc w:val="left"/>
        <w:rPr/>
      </w:pPr>
      <w:r>
        <w:rPr/>
        <w:t>Networks &amp; the QR code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Phones on </w:t>
      </w:r>
      <w:r>
        <w:rPr>
          <w:rStyle w:val="Strong"/>
        </w:rPr>
        <w:t>any network (including cellular)</w:t>
      </w:r>
      <w:r>
        <w:rPr/>
        <w:t xml:space="preserve"> can join when you host from the hosted web link — the room lives online, so the QR sends phones there.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If you host from a company laptop’s own server instead, phones must be on the </w:t>
      </w:r>
      <w:r>
        <w:rPr>
          <w:rStyle w:val="Strong"/>
        </w:rPr>
        <w:t>same network</w:t>
      </w:r>
      <w:r>
        <w:rPr/>
        <w:t xml:space="preserve">, and you must open the host screen using the laptop’s network address (not </w:t>
      </w:r>
      <w:r>
        <w:rPr>
          <w:rStyle w:val="SourceText"/>
        </w:rPr>
        <w:t>localhost</w:t>
      </w:r>
      <w:r>
        <w:rPr/>
        <w:t xml:space="preserve">). The on-screen notes and the </w:t>
      </w:r>
      <w:r>
        <w:rPr>
          <w:rStyle w:val="SourceText"/>
        </w:rPr>
        <w:t>live-server</w:t>
      </w:r>
      <w:r>
        <w:rPr/>
        <w:t xml:space="preserve"> guide explain this.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If a phone can’t join, the game shows a clear message with the likely cause (usually a corporate network blocking the connection) rather than hanging. </w:t>
      </w:r>
    </w:p>
    <w:p>
      <w:pPr>
        <w:pStyle w:val="BodyText"/>
        <w:bidi w:val="0"/>
        <w:jc w:val="left"/>
        <w:rPr/>
      </w:pPr>
      <w:r>
        <w:rPr/>
        <w:t xml:space="preserve">✓ </w:t>
      </w:r>
      <w:r>
        <w:rPr>
          <w:b/>
        </w:rPr>
        <w:t>Quick pre-event test</w:t>
      </w:r>
      <w:r>
        <w:rPr/>
        <w:t xml:space="preserve"> — open the host screen, scan with one phone, join, and confirm the name appears on the big screen. Do this before the audience arrives.</w:t>
      </w:r>
    </w:p>
    <w:p>
      <w:pPr>
        <w:pStyle w:val="Heading2"/>
        <w:bidi w:val="0"/>
        <w:jc w:val="left"/>
        <w:rPr/>
      </w:pPr>
      <w:r>
        <w:rPr/>
        <w:t>6 · What the game teaches</w:t>
      </w:r>
    </w:p>
    <w:p>
      <w:pPr>
        <w:pStyle w:val="BodyText"/>
        <w:bidi w:val="0"/>
        <w:jc w:val="left"/>
        <w:rPr/>
      </w:pPr>
      <w:r>
        <w:rPr/>
        <w:t>Keep these in mind when you debrief the room: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📈 </w:t>
      </w:r>
      <w:r>
        <w:rPr>
          <w:rStyle w:val="Strong"/>
        </w:rPr>
        <w:t>Time in the market beats timing it.</w:t>
      </w:r>
      <w:r>
        <w:rPr/>
        <w:t xml:space="preserve"> Staying invested through the scary moments almost always beat jumping in and out.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⚡ </w:t>
      </w:r>
      <w:r>
        <w:rPr>
          <w:rStyle w:val="Strong"/>
        </w:rPr>
        <w:t>The best days hide next to the worst.</w:t>
      </w:r>
      <w:r>
        <w:rPr/>
        <w:t xml:space="preserve"> Sitting out just a handful of the best months badly hurt returns — and those best months tend to arrive right when it feels most hopeless.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🔁 </w:t>
      </w:r>
      <w:r>
        <w:rPr>
          <w:rStyle w:val="Strong"/>
        </w:rPr>
        <w:t>The feeling never changes.</w:t>
      </w:r>
      <w:r>
        <w:rPr/>
        <w:t xml:space="preserve"> Whether it’s 1973, 2008 or 2020, the panic feels the same in the moment — and holding on was the hard, right call.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🧭 </w:t>
      </w:r>
      <w:r>
        <w:rPr>
          <w:rStyle w:val="Strong"/>
        </w:rPr>
        <w:t>It’s not about being fearless.</w:t>
      </w:r>
      <w:r>
        <w:rPr/>
        <w:t xml:space="preserve"> It’s about having a plan and a long horizon — exactly what a diversified, professionally managed fund is built to support. </w:t>
      </w:r>
    </w:p>
    <w:p>
      <w:pPr>
        <w:pStyle w:val="Heading2"/>
        <w:bidi w:val="0"/>
        <w:jc w:val="left"/>
        <w:rPr/>
      </w:pPr>
      <w:r>
        <w:rPr/>
        <w:t>7 · Compliance reminder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Internal / pre-approval only.</w:t>
      </w:r>
      <w:r>
        <w:rPr/>
        <w:t xml:space="preserve"> Do not disseminate. Not for client or external use until data verification and compliance/brand review are signed off.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Illustrative, not advice.</w:t>
      </w:r>
      <w:r>
        <w:rPr/>
        <w:t xml:space="preserve"> The game uses real historical index returns to illustrate behavior; it is not investment advice and not a forecast.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Sales edition.</w:t>
      </w:r>
      <w:r>
        <w:rPr/>
        <w:t xml:space="preserve"> The fund figures shown are drawn from public information and are pending verification against the current prospectus/fact sheet — confirm before any client-facing use. </w:t>
      </w:r>
    </w:p>
    <w:p>
      <w:pPr>
        <w:pStyle w:val="BodyText"/>
        <w:bidi w:val="0"/>
        <w:spacing w:before="440" w:after="100"/>
        <w:ind w:hanging="0" w:left="0" w:right="0"/>
        <w:jc w:val="left"/>
        <w:rPr>
          <w:color w:val="6B7F8E"/>
          <w:sz w:val="17"/>
          <w:bdr w:val="single" w:sz="6" w:space="6" w:color="CFDCE2"/>
        </w:rPr>
      </w:pPr>
      <w:r>
        <w:rPr>
          <w:color w:val="6B7F8E"/>
          <w:sz w:val="17"/>
          <w:bdr w:val="single" w:sz="6" w:space="6" w:color="CFDCE2"/>
        </w:rPr>
        <w:t>The Long Game · How-to Guide · July 2026 · Internal use only — do not disseminate. Regenerated from GAME-GUIDE.md.</w:t>
      </w:r>
    </w:p>
    <w:sectPr>
      <w:type w:val="nextPage"/>
      <w:pgSz w:w="11906" w:h="16838"/>
      <w:pgMar w:left="1077" w:right="1077" w:gutter="0" w:header="0" w:top="907" w:footer="0" w:bottom="1020"/>
      <w:pgNumType w:fmt="decimal"/>
      <w:formProt w:val="false"/>
      <w:textDirection w:val="lrTb"/>
      <w:docGrid w:type="default" w:linePitch="600" w:charSpace="3850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Carlito"/>
    <w:charset w:val="00"/>
    <w:family w:val="auto"/>
    <w:pitch w:val="default"/>
  </w:font>
  <w:font w:name="Noto Sans">
    <w:charset w:val="00"/>
    <w:family w:val="auto"/>
    <w:pitch w:val="variable"/>
  </w:font>
  <w:font w:name="Consolas">
    <w:altName w:val="Courier New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Calibri;Carlito;sans-serif" w:hAnsi="Calibri;Carlito;sans-serif" w:eastAsia="Calibri;Carlito;sans-serif" w:cs="Calibri;Carlito;sans-serif"/>
      <w:color w:val="22313F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pBdr/>
      <w:shd w:fill="083469" w:val="clear"/>
      <w:spacing w:before="400" w:after="160"/>
      <w:ind w:left="400" w:right="400"/>
      <w:outlineLvl w:val="1"/>
    </w:pPr>
    <w:rPr>
      <w:rFonts w:ascii="Calibri;Carlito;sans-serif" w:hAnsi="Calibri;Carlito;sans-serif" w:eastAsia="Calibri;Carlito;sans-serif" w:cs="Calibri;Carlito;sans-serif"/>
      <w:b/>
      <w:bCs/>
      <w:color w:val="FFFFFF"/>
      <w:sz w:val="27"/>
      <w:szCs w:val="27"/>
    </w:rPr>
  </w:style>
  <w:style w:type="paragraph" w:styleId="Heading3">
    <w:name w:val="Heading 3"/>
    <w:basedOn w:val="Heading"/>
    <w:next w:val="BodyText"/>
    <w:qFormat/>
    <w:pPr>
      <w:pBdr>
        <w:bottom w:val="single" w:sz="8" w:space="2" w:color="00D190"/>
      </w:pBdr>
      <w:spacing w:before="280" w:after="100"/>
      <w:ind w:left="280" w:right="280"/>
      <w:outlineLvl w:val="2"/>
    </w:pPr>
    <w:rPr>
      <w:rFonts w:ascii="Calibri;Carlito;sans-serif" w:hAnsi="Calibri;Carlito;sans-serif" w:eastAsia="Calibri;Carlito;sans-serif" w:cs="Calibri;Carlito;sans-serif"/>
      <w:b/>
      <w:bCs/>
      <w:color w:val="008074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83469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color w:val="831574"/>
      <w:sz w:val="19"/>
      <w:szCs w:val="19"/>
      <w:shd w:fill="EDF3F2" w:val="clear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00" w:after="100"/>
      <w:ind w:left="100" w:right="1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008074" w:val="clear"/>
      <w:jc w:val="left"/>
    </w:pPr>
    <w:rPr>
      <w:b/>
      <w:bCs/>
      <w:color w:val="FFFFFF"/>
    </w:rPr>
  </w:style>
  <w:style w:type="paragraph" w:styleId="BodyTextlead">
    <w:name w:val="Body Text.lead"/>
    <w:basedOn w:val="BodyText"/>
    <w:qFormat/>
    <w:pPr/>
    <w:rPr>
      <w:color w:val="3C5064"/>
      <w:sz w:val="23"/>
      <w:szCs w:val="23"/>
    </w:rPr>
  </w:style>
  <w:style w:type="paragraph" w:styleId="BodyTextmuted">
    <w:name w:val="Body Text.muted"/>
    <w:basedOn w:val="BodyText"/>
    <w:qFormat/>
    <w:pPr/>
    <w:rPr>
      <w:color w:val="5F7081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The Long Game — How to Use 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