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83469"/>
          <w:sz w:val="40"/>
        </w:rPr>
        <w:t>LTI Materials Run-Through — Thought-Process Script</w:t>
      </w:r>
    </w:p>
    <w:p>
      <w:r>
        <w:rPr>
          <w:color w:val="595959"/>
          <w:sz w:val="20"/>
        </w:rPr>
        <w:t>Companion to the presenter script · starts at Slide 6 (“Now, the flow in action.”) · ~8–10 minutes</w:t>
      </w:r>
    </w:p>
    <w:p>
      <w:r>
        <w:rPr>
          <w:color w:val="595959"/>
          <w:sz w:val="20"/>
        </w:rPr>
        <w:t>Flow: PREPARE → DELIVER → FOLLOW UP</w:t>
      </w:r>
    </w:p>
    <w:p>
      <w:pPr>
        <w:spacing w:after="160"/>
      </w:pPr>
      <w:r>
        <w:t>Principle: the screen shows WHAT it is — you only ever say WHY it’s built that way. Never read the material aloud. Open it, give the room two seconds to look, then explain the decision behind it.</w:t>
      </w:r>
    </w:p>
    <w:p>
      <w:r>
        <w:rPr>
          <w:b/>
          <w:color w:val="083469"/>
          <w:sz w:val="28"/>
        </w:rPr>
        <w:t>Setup checklist (before the session)</w:t>
      </w:r>
    </w:p>
    <w:p>
      <w:pPr>
        <w:pStyle w:val="ListBullet"/>
      </w:pPr>
      <w:r>
        <w:t>Pre-Workshop Diagnostic + Post-Workshop Survey open in tabs</w:t>
      </w:r>
    </w:p>
    <w:p>
      <w:pPr>
        <w:pStyle w:val="ListBullet"/>
      </w:pPr>
      <w:r>
        <w:t>The four toolkit PDFs open in order</w:t>
      </w:r>
    </w:p>
    <w:p>
      <w:pPr>
        <w:pStyle w:val="ListBullet"/>
      </w:pPr>
      <w:r>
        <w:t>Engagement Calendar tool open</w:t>
      </w:r>
    </w:p>
    <w:p>
      <w:pPr>
        <w:pStyle w:val="ListBullet"/>
      </w:pPr>
      <w:r>
        <w:t>QR tested with your own phone that morning</w:t>
      </w:r>
    </w:p>
    <w:p>
      <w:pPr>
        <w:pStyle w:val="ListBullet"/>
      </w:pPr>
      <w:r>
        <w:t>Printed toolkit copies to pass around (optional but strong)</w:t>
      </w:r>
    </w:p>
    <w:p>
      <w:r>
        <w:rPr>
          <w:b/>
          <w:color w:val="083469"/>
          <w:sz w:val="28"/>
        </w:rPr>
        <w:t>PART 1 — PREPARE · the pre-workshop survey  (~2 min)</w:t>
      </w:r>
    </w:p>
    <w:p>
      <w:r>
        <w:rPr>
          <w:i/>
          <w:color w:val="595959"/>
          <w:sz w:val="20"/>
        </w:rPr>
        <w:t>Open the Pre-Workshop Diagnostic. Let them read the cover. Then:</w:t>
      </w:r>
    </w:p>
    <w:p>
      <w:pPr>
        <w:spacing w:after="160"/>
      </w:pPr>
      <w:r>
        <w:t>The first design decision was how the workshop opens. Before a single slide, the room scans a QR code and does this — two minutes, on their own phones. I chose that over sending a link in advance for a simple reason: pre-work sent by email doesn’t get done, and chasing it burns goodwill. A QR on the opening slide gets a captive room and a hundred percent completion — and it means every adviser has named their own problem before the teaching starts. They begin as participants, not spectators.</w:t>
      </w:r>
    </w:p>
    <w:p>
      <w:pPr>
        <w:spacing w:after="160"/>
      </w:pPr>
      <w:r>
        <w:t>It also quietly rehearses the mechanic: scan, form, done. The workshop ENDS with the exact same gesture — so by the time the closing QR appears, nobody in the room hesitates.</w:t>
      </w:r>
    </w:p>
    <w:p>
      <w:pPr>
        <w:spacing w:after="160"/>
      </w:pPr>
      <w:r>
        <w:t>Second decision: everything is tap, not type. The moment you ask an adviser to write sentences on a phone, completion collapses. Every question is a tap; the whole thing fits in the two minutes before we begin.</w:t>
      </w:r>
    </w:p>
    <w:p>
      <w:r>
        <w:rPr>
          <w:i/>
          <w:color w:val="595959"/>
          <w:sz w:val="20"/>
        </w:rPr>
        <w:t>Scroll slowly through the questions while you talk:</w:t>
      </w:r>
    </w:p>
    <w:p>
      <w:pPr>
        <w:spacing w:after="160"/>
      </w:pPr>
      <w:r>
        <w:t>Third — and this is the one I care most about — every answer option is plausible. There’s no obviously “correct” choice to perform. That matters because this looks like a survey, but it’s really a diagnostic: one of these questions quietly tests whether an adviser’s instinct is to respond to a client concern with data, or to first ask what’s driving it. If the right answer were obvious, everyone would pick it and I’d learn nothing. Because all four feel reasonable, people answer honestly — and the honest answers tell me exactly what the room needs.</w:t>
      </w:r>
    </w:p>
    <w:p>
      <w:pPr>
        <w:spacing w:after="160"/>
      </w:pPr>
      <w:r>
        <w:t>Last decision here: I end with a confidence self-rating, and I deliberately ask the identical questions again after the workshop. One survey tells you opinions. Two identical measurements tell you whether anything changed. That before-and-after is the evidence this whole experience stands on.</w:t>
      </w:r>
    </w:p>
    <w:p>
      <w:r>
        <w:rPr>
          <w:i/>
          <w:color w:val="595959"/>
          <w:sz w:val="20"/>
        </w:rPr>
        <w:t>Transition: “So that’s the front door. Now the part I rebuilt the most — what advisers actually leave with.”</w:t>
      </w:r>
    </w:p>
    <w:p>
      <w:r>
        <w:rPr>
          <w:b/>
          <w:color w:val="083469"/>
          <w:sz w:val="28"/>
        </w:rPr>
        <w:t>PART 2 — DELIVER · the advisor toolkit  (~4 min, one decision-story per document)</w:t>
      </w:r>
    </w:p>
    <w:p>
      <w:r>
        <w:rPr>
          <w:b/>
          <w:color w:val="008074"/>
          <w:sz w:val="24"/>
        </w:rPr>
        <w:t>2a · Client Conversation Tip Sheet  (~1 min)</w:t>
      </w:r>
    </w:p>
    <w:p>
      <w:r>
        <w:rPr>
          <w:i/>
          <w:color w:val="595959"/>
          <w:sz w:val="20"/>
        </w:rPr>
        <w:t>Open it. Pause. Then:</w:t>
      </w:r>
    </w:p>
    <w:p>
      <w:pPr>
        <w:spacing w:after="160"/>
      </w:pPr>
      <w:r>
        <w:t>The constraint I set myself here was brutal: one page. Not because paper is expensive — because a second page is where method goes to die. If an adviser can’t find the response while the client is still talking, the material has failed.</w:t>
      </w:r>
    </w:p>
    <w:p>
      <w:pPr>
        <w:spacing w:after="160"/>
      </w:pPr>
      <w:r>
        <w:t>The structure came from a real observation: advisers don’t struggle with knowledge, they struggle in the moment. So it’s organised by what the client SAYS — the objection in the client’s own words — not by investment topic. You look up the sentence you just heard, not a chapter.</w:t>
      </w:r>
    </w:p>
    <w:p>
      <w:pPr>
        <w:spacing w:after="160"/>
      </w:pPr>
      <w:r>
        <w:t>And I wrote the response lines word-for-word on purpose. Not because advisers can’t write their own — but because in a live conversation, having A line beats composing THE line. They’ll make it their own by week two. The sheet just gets them through conversation one.</w:t>
      </w:r>
    </w:p>
    <w:p>
      <w:r>
        <w:rPr>
          <w:b/>
          <w:color w:val="008074"/>
          <w:sz w:val="24"/>
        </w:rPr>
        <w:t>2b · Advisor Talking Points  (~1 min)</w:t>
      </w:r>
    </w:p>
    <w:p>
      <w:r>
        <w:rPr>
          <w:i/>
          <w:color w:val="595959"/>
          <w:sz w:val="20"/>
        </w:rPr>
        <w:t>Open it, flick two pages. Then:</w:t>
      </w:r>
    </w:p>
    <w:p>
      <w:pPr>
        <w:spacing w:after="160"/>
      </w:pPr>
      <w:r>
        <w:t>These charts existed before I touched anything — they’re the strongest part of the workshop. The problem was their shape: a chart in a deck is something you present AT someone. I wanted something an adviser can USE.</w:t>
      </w:r>
    </w:p>
    <w:p>
      <w:pPr>
        <w:spacing w:after="160"/>
      </w:pPr>
      <w:r>
        <w:t>So the design rule for every page is the same triple: three things you can say, one question you ask the client, one thing YOU do next. Say, ask, do. The chart earns its place only if it converts into a move in a conversation.</w:t>
      </w:r>
    </w:p>
    <w:p>
      <w:pPr>
        <w:spacing w:after="160"/>
      </w:pPr>
      <w:r>
        <w:t>The “ask your client” line is the one I fought for hardest — because the diagnostic showed most advisers respond to concerns with information. Every page here forces the opposite habit: the chart sets up a question, not a lecture.</w:t>
      </w:r>
    </w:p>
    <w:p>
      <w:r>
        <w:rPr>
          <w:b/>
          <w:color w:val="008074"/>
          <w:sz w:val="24"/>
        </w:rPr>
        <w:t>2c · Client Booklet  (~1 min)</w:t>
      </w:r>
    </w:p>
    <w:p>
      <w:r>
        <w:rPr>
          <w:i/>
          <w:color w:val="595959"/>
          <w:sz w:val="20"/>
        </w:rPr>
        <w:t>Open the cover. Then:</w:t>
      </w:r>
    </w:p>
    <w:p>
      <w:pPr>
        <w:spacing w:after="160"/>
      </w:pPr>
      <w:r>
        <w:t>Everything else you’ve seen is for the adviser. This one exists because at some point the adviser needs something to physically put in a client’s hands — and nothing in the workshop was client-safe. Different audience, different rules: no jargon, no framework language, nothing to study. Four ideas, one per spread, each anchored on a single number, because clients remember one number per idea and nothing more.</w:t>
      </w:r>
    </w:p>
    <w:p>
      <w:pPr>
        <w:spacing w:after="160"/>
      </w:pPr>
      <w:r>
        <w:t>The ending was a deliberate choice: it doesn’t end with a conclusion, it ends with three questions the client can only really answer WITH their adviser. A brochure that ends with answers gets filed. One that ends with questions books the next meeting. That’s the whole trick of it.</w:t>
      </w:r>
    </w:p>
    <w:p>
      <w:r>
        <w:rPr>
          <w:b/>
          <w:color w:val="008074"/>
          <w:sz w:val="24"/>
        </w:rPr>
        <w:t>2d · Steps for Success  (~1 min)</w:t>
      </w:r>
    </w:p>
    <w:p>
      <w:r>
        <w:rPr>
          <w:i/>
          <w:color w:val="595959"/>
          <w:sz w:val="20"/>
        </w:rPr>
        <w:t>Open it. Then:</w:t>
      </w:r>
    </w:p>
    <w:p>
      <w:pPr>
        <w:spacing w:after="160"/>
      </w:pPr>
      <w:r>
        <w:t>This piece exists because of the most predictable failure in all workshop training: everything is forgotten by Friday. I didn’t want more content — I wanted a behaviour to survive contact with a busy diary.</w:t>
      </w:r>
    </w:p>
    <w:p>
      <w:pPr>
        <w:spacing w:after="160"/>
      </w:pPr>
      <w:r>
        <w:t>So it’s built like a habit programme, not a curriculum: one action per touchpoint, sized at three minutes, over eight weeks. Each action is one rep of the method in a REAL client conversation — because the workshop can only ever rehearse; the habit forms in the field.</w:t>
      </w:r>
    </w:p>
    <w:p>
      <w:pPr>
        <w:spacing w:after="160"/>
      </w:pPr>
      <w:r>
        <w:t>And notice it assumes nobody re-reads instructions: the sequence is designed to arrive as calendar reminders. Which is the perfect segue —</w:t>
      </w:r>
    </w:p>
    <w:p>
      <w:r>
        <w:rPr>
          <w:i/>
          <w:color w:val="595959"/>
          <w:sz w:val="20"/>
        </w:rPr>
        <w:t>Transition: “— because the honest question about all of this is: who actually remembers to send the right thing at the right time? Nobody. So I made ‘nobody’ the design requirement.”</w:t>
      </w:r>
    </w:p>
    <w:p>
      <w:r>
        <w:rPr>
          <w:b/>
          <w:color w:val="083469"/>
          <w:sz w:val="28"/>
        </w:rPr>
        <w:t>PART 3 — FOLLOW UP · the engagement calendar + the scan  (~3 min)</w:t>
      </w:r>
    </w:p>
    <w:p>
      <w:r>
        <w:rPr>
          <w:i/>
          <w:color w:val="595959"/>
          <w:sz w:val="20"/>
        </w:rPr>
        <w:t>Open the touchpoint view. This is the peak — slow down. Then:</w:t>
      </w:r>
    </w:p>
    <w:p>
      <w:pPr>
        <w:spacing w:after="160"/>
      </w:pPr>
      <w:r>
        <w:t>Two decisions define this tool. The first is how FEW touchpoints there are. My first draft had twelve — it felt thorough, and it was wrong. Twelve reminders is noise; noise gets muted; muted means zero. I cut it to three, and the test for what survived was simple: each touchpoint had to carry the entire method in one action. Day zero, one real concern. Week one, one full response. Month one, one kept habit. Iteration here wasn’t adding — it was deleting.</w:t>
      </w:r>
    </w:p>
    <w:p>
      <w:pPr>
        <w:spacing w:after="160"/>
      </w:pPr>
      <w:r>
        <w:t>The second decision: the follow-up lives in the adviser’s OWN calendar, not in another portal or newsletter. Emails get archived; portals need remembering. A calendar reminder is the one notification that interrupts a working day at the moment it’s meant to.</w:t>
      </w:r>
    </w:p>
    <w:p>
      <w:r>
        <w:rPr>
          <w:i/>
          <w:color w:val="595959"/>
          <w:sz w:val="20"/>
        </w:rPr>
        <w:t>Show the export briefly:</w:t>
      </w:r>
    </w:p>
    <w:p>
      <w:pPr>
        <w:spacing w:after="160"/>
      </w:pPr>
      <w:r>
        <w:t>And it’s built once, exported forever — a consultant doesn’t assemble follow-ups per workshop; the journey with all its materials travels as a single file.</w:t>
      </w:r>
    </w:p>
    <w:p>
      <w:r>
        <w:rPr>
          <w:i/>
          <w:color w:val="595959"/>
          <w:sz w:val="20"/>
        </w:rPr>
        <w:t>Now the QR. Put it on screen:</w:t>
      </w:r>
    </w:p>
    <w:p>
      <w:pPr>
        <w:spacing w:after="160"/>
      </w:pPr>
      <w:r>
        <w:t>The last problem was delivery, and it’s harder than it looks: how do you get a calendar file with attachments onto a stranger’s phone in a workshop, with no login, in seconds? My first attempts failed in interesting ways — a shared link that iPhones refused to trust taught me that the QR can only ever point somewhere, never carry the file.</w:t>
      </w:r>
    </w:p>
    <w:p>
      <w:pPr>
        <w:spacing w:after="160"/>
      </w:pPr>
      <w:r>
        <w:t>The version that works is deliberately boring: the code opens a short form — name and email, nothing else — and an automated flow inside our own Microsoft environment emails the calendar out. About thirty seconds, no external hosting, nothing for IT to worry about.</w:t>
      </w:r>
    </w:p>
    <w:p>
      <w:pPr>
        <w:spacing w:after="160"/>
      </w:pPr>
      <w:r>
        <w:t>Try it — grab your phones and scan.</w:t>
      </w:r>
    </w:p>
    <w:p>
      <w:r>
        <w:rPr>
          <w:i/>
          <w:color w:val="595959"/>
          <w:sz w:val="20"/>
        </w:rPr>
        <w:t>While phones are out (one sentence only):</w:t>
      </w:r>
    </w:p>
    <w:p>
      <w:pPr>
        <w:spacing w:after="160"/>
      </w:pPr>
      <w:r>
        <w:t>One design principle in that half-minute of waiting: I removed a sign-in step from an earlier version — every extra field costs participation, and I’d rather have engagement than data.</w:t>
      </w:r>
    </w:p>
    <w:p>
      <w:r>
        <w:rPr>
          <w:i/>
          <w:color w:val="595959"/>
          <w:sz w:val="20"/>
        </w:rPr>
        <w:t>When phones buzz: stop talking. Let it land. Then:</w:t>
      </w:r>
    </w:p>
    <w:p>
      <w:pPr>
        <w:spacing w:after="160"/>
      </w:pPr>
      <w:r>
        <w:t>What you just experienced is the adviser’s last thirty seconds of the workshop — and the reason the learning doesn’t end when the room empties.</w:t>
      </w:r>
    </w:p>
    <w:p>
      <w:r>
        <w:rPr>
          <w:i/>
          <w:color w:val="595959"/>
          <w:sz w:val="20"/>
        </w:rPr>
        <w:t>Close the loop (optional, 20 seconds):</w:t>
      </w:r>
    </w:p>
    <w:p>
      <w:pPr>
        <w:spacing w:after="160"/>
      </w:pPr>
      <w:r>
        <w:t>And the post-workshop survey re-measures the same confidence baseline from the start — so every workshop produces its own before-and-after, and tells us what to fix next time.</w:t>
      </w:r>
    </w:p>
    <w:p>
      <w:r>
        <w:rPr>
          <w:i/>
          <w:color w:val="595959"/>
          <w:sz w:val="20"/>
        </w:rPr>
        <w:t>Transition back to the deck, Slide 7: “So that’s the thinking, end to end. One more thing — where this goes next.”</w:t>
      </w:r>
    </w:p>
    <w:p>
      <w:r>
        <w:rPr>
          <w:b/>
          <w:color w:val="083469"/>
          <w:sz w:val="28"/>
        </w:rPr>
        <w:t>Timing summary</w:t>
      </w:r>
    </w:p>
    <w:p>
      <w:pPr>
        <w:pStyle w:val="ListBullet"/>
      </w:pPr>
      <w:r>
        <w:t>Part 1 · Prepare — the survey decisions: ~2:00</w:t>
      </w:r>
    </w:p>
    <w:p>
      <w:pPr>
        <w:pStyle w:val="ListBullet"/>
      </w:pPr>
      <w:r>
        <w:t>Part 2 · Deliver — one decision-story per piece: ~4:00</w:t>
      </w:r>
    </w:p>
    <w:p>
      <w:pPr>
        <w:pStyle w:val="ListBullet"/>
      </w:pPr>
      <w:r>
        <w:t>Part 3 · Follow up — the cut to 3 + the scan: ~3:00</w:t>
      </w:r>
    </w:p>
    <w:p>
      <w:pPr>
        <w:pStyle w:val="ListBullet"/>
      </w:pPr>
      <w:r>
        <w:t>Total: ~8–10 minutes, then return to Slide 7</w:t>
      </w:r>
    </w:p>
    <w:p>
      <w:r>
        <w:rPr>
          <w:b/>
          <w:color w:val="083469"/>
          <w:sz w:val="28"/>
        </w:rPr>
        <w:t>If something fails — fallbacks</w:t>
      </w:r>
    </w:p>
    <w:p>
      <w:pPr>
        <w:pStyle w:val="ListBullet"/>
      </w:pPr>
      <w:r>
        <w:t>QR won’t scan on the room screen → read out the short link, or show the email arriving on YOUR phone via the room screen.</w:t>
      </w:r>
    </w:p>
    <w:p>
      <w:pPr>
        <w:pStyle w:val="ListBullet"/>
      </w:pPr>
      <w:r>
        <w:t>Email takes longer than 30 seconds → keep going; circle back when the first phone buzzes: “there it is.”</w:t>
      </w:r>
    </w:p>
    <w:p>
      <w:pPr>
        <w:pStyle w:val="ListBullet"/>
      </w:pPr>
      <w:r>
        <w:t>No internet / Forms down → the printed toolkit carries Part 2; talk Parts 1 and 3 over static screenshots kept in the deck’s appendix.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