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3406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406"/>
      </w:tblGrid>
      <w:tr>
        <w:trPr/>
        <w:tc>
          <w:tcPr>
            <w:tcW w:w="3406" w:type="dxa"/>
            <w:tcBorders/>
            <w:shd w:fill="083469" w:val="clear"/>
            <w:vAlign w:val="center"/>
          </w:tcPr>
          <w:p>
            <w:pPr>
              <w:pStyle w:val="TableContents"/>
              <w:bidi w:val="0"/>
              <w:spacing w:before="60" w:after="60"/>
              <w:ind w:hanging="0" w:left="0" w:right="0"/>
              <w:jc w:val="left"/>
              <w:rPr/>
            </w:pPr>
            <w:r>
              <w:rPr>
                <w:color w:val="00D190"/>
                <w:spacing w:val="40"/>
                <w:sz w:val="20"/>
              </w:rPr>
              <w:t>CAPITAL GROUP  ·  THE LONG GAME</w:t>
            </w:r>
            <w:r>
              <w:rPr/>
              <w:br/>
            </w:r>
            <w:r>
              <w:rPr>
                <w:b/>
                <w:color w:val="FFFFFF"/>
                <w:sz w:val="44"/>
              </w:rPr>
              <w:t>Live Room — Consultant FAQ</w:t>
            </w:r>
            <w:r>
              <w:rPr/>
              <w:br/>
            </w:r>
            <w:r>
              <w:rPr>
                <w:color w:val="C7D3E2"/>
                <w:sz w:val="20"/>
              </w:rPr>
              <w:t>~15 minutes · 5–50 players · Any phone, any network · No app, no login</w:t>
            </w:r>
            <w:r>
              <w:rPr/>
              <w:t xml:space="preserve"> </w:t>
            </w:r>
          </w:p>
        </w:tc>
      </w:tr>
      <w:tr>
        <w:trPr/>
        <w:tc>
          <w:tcPr>
            <w:tcW w:w="3406" w:type="dxa"/>
            <w:tcBorders/>
            <w:shd w:fill="008074" w:val="clear"/>
            <w:vAlign w:val="center"/>
          </w:tcPr>
          <w:p>
            <w:pPr>
              <w:pStyle w:val="TableContents"/>
              <w:bidi w:val="0"/>
              <w:spacing w:before="60" w:after="6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</w:tbl>
    <w:p>
      <w:pPr>
        <w:pStyle w:val="BodyTextq"/>
        <w:bidi w:val="0"/>
        <w:jc w:val="left"/>
        <w:rPr/>
      </w:pPr>
      <w:r>
        <w:rPr/>
        <w:t>What is it?</w:t>
      </w:r>
    </w:p>
    <w:p>
      <w:pPr>
        <w:pStyle w:val="BodyTexta"/>
        <w:bidi w:val="0"/>
        <w:jc w:val="left"/>
        <w:rPr/>
      </w:pPr>
      <w:r>
        <w:rPr/>
        <w:t xml:space="preserve">A ~15-minute live game. The audience relives </w:t>
      </w:r>
      <w:r>
        <w:rPr>
          <w:b/>
        </w:rPr>
        <w:t>six real market crises</w:t>
      </w:r>
      <w:r>
        <w:rPr/>
        <w:t xml:space="preserve"> on their phones and sees, together, why staying invested wins.</w:t>
      </w:r>
    </w:p>
    <w:p>
      <w:pPr>
        <w:pStyle w:val="BodyTextq"/>
        <w:bidi w:val="0"/>
        <w:jc w:val="left"/>
        <w:rPr/>
      </w:pPr>
      <w:r>
        <w:rPr/>
        <w:t>What does it teach?</w:t>
      </w:r>
    </w:p>
    <w:p>
      <w:pPr>
        <w:pStyle w:val="BodyTexta"/>
        <w:bidi w:val="0"/>
        <w:jc w:val="left"/>
        <w:rPr/>
      </w:pPr>
      <w:r>
        <w:rPr>
          <w:b/>
        </w:rPr>
        <w:t>Time in the market beats timing it</w:t>
      </w:r>
      <w:r>
        <w:rPr/>
        <w:t xml:space="preserve"> — felt, not lectured. It surfaces the fear, FOMO and regret that push investors to sell at the worst moment.</w:t>
      </w:r>
    </w:p>
    <w:p>
      <w:pPr>
        <w:pStyle w:val="BodyTextq"/>
        <w:bidi w:val="0"/>
        <w:jc w:val="left"/>
        <w:rPr/>
      </w:pPr>
      <w:r>
        <w:rPr/>
        <w:t>What do players need?</w:t>
      </w:r>
    </w:p>
    <w:p>
      <w:pPr>
        <w:pStyle w:val="BodyTexta"/>
        <w:bidi w:val="0"/>
        <w:jc w:val="left"/>
        <w:rPr/>
      </w:pPr>
      <w:r>
        <w:rPr/>
        <w:t xml:space="preserve">A phone with a browser. They </w:t>
      </w:r>
      <w:r>
        <w:rPr>
          <w:b/>
        </w:rPr>
        <w:t>scan a QR</w:t>
      </w:r>
      <w:r>
        <w:rPr/>
        <w:t xml:space="preserve"> and pick a nickname — no app, no login, nothing to install.</w:t>
      </w:r>
    </w:p>
    <w:p>
      <w:pPr>
        <w:pStyle w:val="BodyTextq"/>
        <w:bidi w:val="0"/>
        <w:jc w:val="left"/>
        <w:rPr/>
      </w:pPr>
      <w:r>
        <w:rPr/>
        <w:t>Which networks work?</w:t>
      </w:r>
    </w:p>
    <w:p>
      <w:pPr>
        <w:pStyle w:val="BodyTexta"/>
        <w:bidi w:val="0"/>
        <w:jc w:val="left"/>
        <w:rPr/>
      </w:pPr>
      <w:r>
        <w:rPr/>
        <w:t xml:space="preserve">Any, </w:t>
      </w:r>
      <w:r>
        <w:rPr>
          <w:b/>
        </w:rPr>
        <w:t>including cellular</w:t>
      </w:r>
      <w:r>
        <w:rPr/>
        <w:t xml:space="preserve"> — the QR sends phones to the hosted site. (If you instead host from a company laptop, phones must share its network.)</w:t>
      </w:r>
    </w:p>
    <w:p>
      <w:pPr>
        <w:pStyle w:val="BodyTextq"/>
        <w:bidi w:val="0"/>
        <w:jc w:val="left"/>
        <w:rPr/>
      </w:pPr>
      <w:r>
        <w:rPr/>
        <w:t>What data is collected?</w:t>
      </w:r>
    </w:p>
    <w:p>
      <w:pPr>
        <w:pStyle w:val="BodyTexta"/>
        <w:bidi w:val="0"/>
        <w:jc w:val="left"/>
        <w:rPr/>
      </w:pPr>
      <w:r>
        <w:rPr/>
        <w:t xml:space="preserve">A self-chosen </w:t>
      </w:r>
      <w:r>
        <w:rPr>
          <w:b/>
        </w:rPr>
        <w:t>nickname and Buy/Hold/Sell votes only</w:t>
      </w:r>
      <w:r>
        <w:rPr/>
        <w:t>. No emails, no accounts, no PII. Rooms are throwaway.</w:t>
      </w:r>
    </w:p>
    <w:p>
      <w:pPr>
        <w:pStyle w:val="BodyTextq"/>
        <w:bidi w:val="0"/>
        <w:jc w:val="left"/>
        <w:rPr/>
      </w:pPr>
      <w:r>
        <w:rPr/>
        <w:t>Is the market data real?</w:t>
      </w:r>
    </w:p>
    <w:p>
      <w:pPr>
        <w:pStyle w:val="BodyTexta"/>
        <w:bidi w:val="0"/>
        <w:jc w:val="left"/>
        <w:rPr/>
      </w:pPr>
      <w:r>
        <w:rPr/>
        <w:t xml:space="preserve">Yes — real monthly total returns for </w:t>
      </w:r>
      <w:r>
        <w:rPr>
          <w:b/>
        </w:rPr>
        <w:t>2020–2025</w:t>
      </w:r>
      <w:r>
        <w:rPr/>
        <w:t xml:space="preserve"> (a broad U.S. equity index + the Bloomberg U.S. Aggregate), plus real crises 1973–2018 in the explorer.</w:t>
      </w:r>
    </w:p>
    <w:p>
      <w:pPr>
        <w:pStyle w:val="BodyTextq"/>
        <w:bidi w:val="0"/>
        <w:jc w:val="left"/>
        <w:rPr/>
      </w:pPr>
      <w:r>
        <w:rPr/>
        <w:t>Is it product-specific?</w:t>
      </w:r>
    </w:p>
    <w:p>
      <w:pPr>
        <w:pStyle w:val="BodyTexta"/>
        <w:bidi w:val="0"/>
        <w:jc w:val="left"/>
        <w:rPr/>
      </w:pPr>
      <w:r>
        <w:rPr/>
        <w:t xml:space="preserve">The Live edition is </w:t>
      </w:r>
      <w:r>
        <w:rPr>
          <w:b/>
        </w:rPr>
        <w:t>product-agnostic</w:t>
      </w:r>
      <w:r>
        <w:rPr/>
        <w:t>. A separate Sales edition adds the American Balanced Fund for solo, advisor-led use.</w:t>
      </w:r>
    </w:p>
    <w:p>
      <w:pPr>
        <w:pStyle w:val="BodyTextq"/>
        <w:bidi w:val="0"/>
        <w:jc w:val="left"/>
        <w:rPr/>
      </w:pPr>
      <w:r>
        <w:rPr/>
        <w:t>How do I run it?</w:t>
      </w:r>
    </w:p>
    <w:p>
      <w:pPr>
        <w:pStyle w:val="BodyTexta"/>
        <w:bidi w:val="0"/>
        <w:jc w:val="left"/>
        <w:rPr/>
      </w:pPr>
      <w:r>
        <w:rPr/>
        <w:t>Open the hosted link on the big screen → “</w:t>
      </w:r>
      <w:r>
        <w:rPr>
          <w:b/>
        </w:rPr>
        <w:t>Host a live room”</w:t>
      </w:r>
      <w:r>
        <w:rPr/>
        <w:t xml:space="preserve"> → set one amount → audience scans → you pace the six moments. Checks and the finish run themselves.</w:t>
      </w:r>
    </w:p>
    <w:p>
      <w:pPr>
        <w:pStyle w:val="BodyTextq"/>
        <w:bidi w:val="0"/>
        <w:jc w:val="left"/>
        <w:rPr/>
      </w:pPr>
      <w:r>
        <w:rPr/>
        <w:t>What is the “starting split”?</w:t>
      </w:r>
    </w:p>
    <w:p>
      <w:pPr>
        <w:pStyle w:val="BodyTexta"/>
        <w:bidi w:val="0"/>
        <w:jc w:val="left"/>
        <w:rPr/>
      </w:pPr>
      <w:r>
        <w:rPr/>
        <w:t xml:space="preserve">Each player chooses how much of their money </w:t>
      </w:r>
      <w:r>
        <w:rPr>
          <w:b/>
        </w:rPr>
        <w:t>starts invested vs. in cash</w:t>
      </w:r>
      <w:r>
        <w:rPr/>
        <w:t xml:space="preserve"> — so being under-invested shows up as a real cost.</w:t>
      </w:r>
    </w:p>
    <w:p>
      <w:pPr>
        <w:pStyle w:val="BodyTextq"/>
        <w:bidi w:val="0"/>
        <w:jc w:val="left"/>
        <w:rPr/>
      </w:pPr>
      <w:r>
        <w:rPr/>
        <w:t>What is the “cash bonus”?</w:t>
      </w:r>
    </w:p>
    <w:p>
      <w:pPr>
        <w:pStyle w:val="BodyTexta"/>
        <w:bidi w:val="0"/>
        <w:jc w:val="left"/>
        <w:rPr/>
      </w:pPr>
      <w:r>
        <w:rPr/>
        <w:t xml:space="preserve">Mid-game a windfall lands — often at the scariest moment. </w:t>
      </w:r>
      <w:r>
        <w:rPr>
          <w:b/>
        </w:rPr>
        <w:t>Deploy it or freeze?</w:t>
      </w:r>
      <w:r>
        <w:rPr/>
        <w:t xml:space="preserve"> The dilemma real investors face with new money.</w:t>
      </w:r>
    </w:p>
    <w:p>
      <w:pPr>
        <w:pStyle w:val="BodyTextq"/>
        <w:bidi w:val="0"/>
        <w:jc w:val="left"/>
        <w:rPr/>
      </w:pPr>
      <w:r>
        <w:rPr/>
        <w:t>What are the “performance checks”?</w:t>
      </w:r>
    </w:p>
    <w:p>
      <w:pPr>
        <w:pStyle w:val="BodyTexta"/>
        <w:bidi w:val="0"/>
        <w:jc w:val="left"/>
        <w:rPr/>
      </w:pPr>
      <w:r>
        <w:rPr/>
        <w:t xml:space="preserve">Twice mid-game a </w:t>
      </w:r>
      <w:r>
        <w:rPr>
          <w:b/>
        </w:rPr>
        <w:t>live leaderboard</w:t>
      </w:r>
      <w:r>
        <w:rPr/>
        <w:t xml:space="preserve"> shows who's ahead — the friendly FOMO that keeps the room leaning in.</w:t>
      </w:r>
    </w:p>
    <w:p>
      <w:pPr>
        <w:pStyle w:val="BodyTextq"/>
        <w:bidi w:val="0"/>
        <w:jc w:val="left"/>
        <w:rPr/>
      </w:pPr>
      <w:r>
        <w:rPr/>
        <w:t>What is the “crisis explorer”?</w:t>
      </w:r>
    </w:p>
    <w:p>
      <w:pPr>
        <w:pStyle w:val="BodyTexta"/>
        <w:bidi w:val="0"/>
        <w:jc w:val="left"/>
        <w:rPr/>
      </w:pPr>
      <w:r>
        <w:rPr/>
        <w:t xml:space="preserve">After their own result, players flip through </w:t>
      </w:r>
      <w:r>
        <w:rPr>
          <w:b/>
        </w:rPr>
        <w:t>1973 · 1987 · 2000 · 2008</w:t>
      </w:r>
      <w:r>
        <w:rPr/>
        <w:t xml:space="preserve"> — the shape barely changes; staying invested keeps winning.</w:t>
      </w:r>
    </w:p>
    <w:p>
      <w:pPr>
        <w:pStyle w:val="BodyTextq"/>
        <w:bidi w:val="0"/>
        <w:jc w:val="left"/>
        <w:rPr/>
      </w:pPr>
      <w:r>
        <w:rPr/>
        <w:t>What if a phone can't join?</w:t>
      </w:r>
    </w:p>
    <w:p>
      <w:pPr>
        <w:pStyle w:val="BodyTexta"/>
        <w:bidi w:val="0"/>
        <w:jc w:val="left"/>
        <w:rPr/>
      </w:pPr>
      <w:r>
        <w:rPr/>
        <w:t xml:space="preserve">The screen shows a </w:t>
      </w:r>
      <w:r>
        <w:rPr>
          <w:b/>
        </w:rPr>
        <w:t>clear reason</w:t>
      </w:r>
      <w:r>
        <w:rPr/>
        <w:t xml:space="preserve"> (usually a corporate-network block) with fixes — it never just hangs. Test one phone before the event.</w:t>
      </w:r>
    </w:p>
    <w:p>
      <w:pPr>
        <w:pStyle w:val="BodyTextq"/>
        <w:bidi w:val="0"/>
        <w:jc w:val="left"/>
        <w:rPr/>
      </w:pPr>
      <w:r>
        <w:rPr/>
        <w:t>Can I use it with clients?</w:t>
      </w:r>
    </w:p>
    <w:p>
      <w:pPr>
        <w:pStyle w:val="BodyTexta"/>
        <w:bidi w:val="0"/>
        <w:jc w:val="left"/>
        <w:rPr/>
      </w:pPr>
      <w:r>
        <w:rPr>
          <w:b/>
        </w:rPr>
        <w:t>Not yet.</w:t>
      </w:r>
      <w:r>
        <w:rPr/>
        <w:t xml:space="preserve"> Internal / pre-approval only — data verification and compliance/brand sign-off must be complete before any client-facing use.</w:t>
      </w:r>
    </w:p>
    <w:p>
      <w:pPr>
        <w:pStyle w:val="BodyText"/>
        <w:bidi w:val="0"/>
        <w:spacing w:before="180" w:after="180"/>
        <w:ind w:hanging="0" w:left="180" w:right="180"/>
        <w:jc w:val="left"/>
        <w:rPr>
          <w:bdr w:val="single" w:sz="28" w:space="11" w:color="008074"/>
          <w:shd w:fill="F2F7F7" w:val="clear"/>
        </w:rPr>
      </w:pPr>
      <w:r>
        <w:rPr>
          <w:b/>
          <w:color w:val="008074"/>
          <w:spacing w:val="20"/>
          <w:sz w:val="17"/>
          <w:bdr w:val="single" w:sz="28" w:space="11" w:color="008074"/>
          <w:shd w:fill="F2F7F7" w:val="clear"/>
        </w:rPr>
        <w:t>KEY TALKING POINT</w:t>
      </w:r>
      <w:r>
        <w:rPr>
          <w:bdr w:val="single" w:sz="28" w:space="11" w:color="008074"/>
          <w:shd w:fill="F2F7F7" w:val="clear"/>
        </w:rPr>
        <w:br/>
        <w:t>“</w:t>
      </w:r>
      <w:r>
        <w:rPr>
          <w:b/>
          <w:bdr w:val="single" w:sz="28" w:space="11" w:color="008074"/>
          <w:shd w:fill="F2F7F7" w:val="clear"/>
        </w:rPr>
        <w:t>Investors don't fail at math — they fail at emotion. This gives clients a shared, visceral reason that discipline (and a professional in their corner) matters.”</w:t>
      </w:r>
    </w:p>
    <w:p>
      <w:pPr>
        <w:pStyle w:val="BodyText"/>
        <w:bidi w:val="0"/>
        <w:ind w:hanging="0" w:left="0" w:right="0"/>
        <w:jc w:val="left"/>
        <w:rPr/>
      </w:pPr>
      <w:r>
        <w:rPr>
          <w:b/>
          <w:color w:val="008074"/>
          <w:spacing w:val="20"/>
          <w:sz w:val="17"/>
        </w:rPr>
        <w:t>BEFORE YOU PRESENT</w:t>
      </w:r>
      <w:r>
        <w:rPr/>
        <w:br/>
      </w:r>
      <w:r>
        <w:rPr>
          <w:b/>
        </w:rPr>
        <w:t>Confirm the compliance/brand sign-off is done and you're hosting the current version from the official link.</w:t>
      </w:r>
    </w:p>
    <w:p>
      <w:pPr>
        <w:pStyle w:val="BodyTextfoot"/>
        <w:bidi w:val="0"/>
        <w:spacing w:before="280" w:after="60"/>
        <w:jc w:val="left"/>
        <w:rPr/>
      </w:pPr>
      <w:r>
        <w:rPr/>
        <w:t>The Long Game · Live Room · Consultant FAQ · July 2026 · For internal use only — do not disseminate.</w:t>
      </w:r>
    </w:p>
    <w:sectPr>
      <w:type w:val="nextPage"/>
      <w:pgSz w:w="11906" w:h="16838"/>
      <w:pgMar w:left="1020" w:right="1020" w:gutter="0" w:header="0" w:top="794" w:footer="0" w:bottom="794"/>
      <w:pgNumType w:fmt="decimal"/>
      <w:formProt w:val="false"/>
      <w:textDirection w:val="lrTb"/>
      <w:docGrid w:type="default" w:linePitch="600" w:charSpace="4096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altName w:val="Carlito"/>
    <w:charset w:val="00"/>
    <w:family w:val="auto"/>
    <w:pitch w:val="default"/>
  </w:font>
  <w:font w:name="Noto Sans">
    <w:charset w:val="00"/>
    <w:family w:val="auto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48"/>
    </w:pPr>
    <w:rPr>
      <w:rFonts w:ascii="Calibri;Carlito;sans-serif" w:hAnsi="Calibri;Carlito;sans-serif" w:eastAsia="Calibri;Carlito;sans-serif" w:cs="Calibri;Carlito;sans-serif"/>
      <w:color w:val="22313F"/>
      <w:sz w:val="20"/>
      <w:szCs w:val="20"/>
      <w:lang w:val="en-US" w:eastAsia="zh-CN" w:bidi="hi-IN"/>
    </w:rPr>
  </w:style>
  <w:style w:type="paragraph" w:styleId="Heading1">
    <w:name w:val="Heading 1"/>
    <w:basedOn w:val="Heading"/>
    <w:next w:val="BodyText"/>
    <w:qFormat/>
    <w:pPr/>
    <w:rPr>
      <w:rFonts w:ascii="Noto Sans" w:hAnsi="Noto Sans"/>
      <w:b/>
      <w:bCs/>
      <w:sz w:val="48"/>
      <w:szCs w:val="44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4819" w:leader="none"/>
        <w:tab w:val="right" w:pos="9638" w:leader="none"/>
      </w:tabs>
    </w:pPr>
    <w:rPr/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List">
    <w:name w:val="List"/>
    <w:basedOn w:val="BodyText"/>
    <w:pPr/>
    <w:rPr>
      <w:rFonts w:cs="FreeSans"/>
    </w:rPr>
  </w:style>
  <w:style w:type="paragraph" w:styleId="BodyText">
    <w:name w:val="Body Text"/>
    <w:basedOn w:val="Normal"/>
    <w:pPr>
      <w:spacing w:before="60" w:after="60"/>
      <w:ind w:left="60" w:right="60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BodyTextq">
    <w:name w:val="Body Text.q"/>
    <w:basedOn w:val="BodyText"/>
    <w:qFormat/>
    <w:pPr>
      <w:spacing w:before="180" w:after="20"/>
      <w:ind w:left="180" w:right="180"/>
    </w:pPr>
    <w:rPr>
      <w:b/>
      <w:bCs/>
      <w:color w:val="083469"/>
      <w:sz w:val="22"/>
      <w:szCs w:val="22"/>
    </w:rPr>
  </w:style>
  <w:style w:type="paragraph" w:styleId="BodyTexta">
    <w:name w:val="Body Text.a"/>
    <w:basedOn w:val="BodyText"/>
    <w:qFormat/>
    <w:pPr>
      <w:spacing w:before="60" w:after="60"/>
    </w:pPr>
    <w:rPr/>
  </w:style>
  <w:style w:type="paragraph" w:styleId="BodyTextfoot">
    <w:name w:val="Body Text.foot"/>
    <w:basedOn w:val="BodyText"/>
    <w:qFormat/>
    <w:pPr>
      <w:pBdr>
        <w:top w:val="single" w:sz="6" w:space="6" w:color="CFDCE2"/>
      </w:pBdr>
      <w:spacing w:before="280" w:after="60"/>
    </w:pPr>
    <w:rPr>
      <w:color w:val="6B7F8E"/>
      <w:sz w:val="17"/>
      <w:szCs w:val="17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The Long Game — Live Room · Consultant FAQ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