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Account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package contains the use cases that pertain to a User’s ability to create and interact with an account in the StayConnected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357563" cx="5508923"/>
            <wp:effectExtent t="0" b="0" r="0" l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57563" cx="550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51200" cx="582930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512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Edit Profile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324100" cx="5829300"/>
            <wp:effectExtent t="0" b="0" r="0" l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241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Deactivate Account/Activate Account (Admin)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76600" cx="5829300"/>
            <wp:effectExtent t="0" b="0" r="0" l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Update Account Roles (Admin)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76600" cx="5829300"/>
            <wp:effectExtent t="0" b="0" r="0" l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View Profiles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695700" cx="5829300"/>
            <wp:effectExtent t="0" b="0" r="0" l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957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Logout</w:t>
      </w:r>
    </w:p>
    <w:p w:rsidP="00000000" w:rsidRPr="00000000" w:rsidR="00000000" w:rsidDel="00000000" w:rsidRDefault="00000000">
      <w:r w:rsidRPr="00000000" w:rsidR="00000000" w:rsidDel="00000000">
        <w:drawing>
          <wp:inline distR="19050" distT="19050" distB="19050" distL="19050">
            <wp:extent cy="3342435" cx="5272088"/>
            <wp:effectExtent t="0" b="0" r="0" l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42435" cx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Job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This package contains the use cases that pertain to a User’s ability to create and interact with job listings in the StayConnected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Create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2743200" cx="5829300"/>
            <wp:effectExtent t="0" b="0" r="0" l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7432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Update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76600" cx="5829300"/>
            <wp:effectExtent t="0" b="0" r="0" l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Search Job Listing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162300" cx="5829300"/>
            <wp:effectExtent t="0" b="0" r="0" l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623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Deactivate Job Listing/Activate Job Listing (Owner/Admin)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276600" cx="5829300"/>
            <wp:effectExtent t="0" b="0" r="0" l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766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View Job Listings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9050" distT="19050" distB="19050" distL="19050">
            <wp:extent cy="3517900" cx="5829300"/>
            <wp:effectExtent t="0" b="0" r="0" l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17900" cx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headerReference r:id="rId1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Louis Balzani, Benjamin Degler, Michael Holmes, Conner Simmons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FasTrax Documentation</w:t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sz w:val="24"/>
        <w:rtl w:val="0"/>
      </w:rPr>
      <w:t xml:space="preserve">December 8, 2014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7"/><Relationship Target="media/image15.png" Type="http://schemas.openxmlformats.org/officeDocument/2006/relationships/image" Id="rId16"/><Relationship Target="media/image12.png" Type="http://schemas.openxmlformats.org/officeDocument/2006/relationships/image" Id="rId15"/><Relationship Target="media/image19.png" Type="http://schemas.openxmlformats.org/officeDocument/2006/relationships/image" Id="rId14"/><Relationship Target="fontTable.xml" Type="http://schemas.openxmlformats.org/officeDocument/2006/relationships/fontTable" Id="rId2"/><Relationship Target="media/image11.png" Type="http://schemas.openxmlformats.org/officeDocument/2006/relationships/image" Id="rId12"/><Relationship Target="media/image1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22.png" Type="http://schemas.openxmlformats.org/officeDocument/2006/relationships/image" Id="rId10"/><Relationship Target="numbering.xml" Type="http://schemas.openxmlformats.org/officeDocument/2006/relationships/numbering" Id="rId3"/><Relationship Target="media/image16.png" Type="http://schemas.openxmlformats.org/officeDocument/2006/relationships/image" Id="rId11"/><Relationship Target="media/image10.png" Type="http://schemas.openxmlformats.org/officeDocument/2006/relationships/image" Id="rId9"/><Relationship Target="media/image05.png" Type="http://schemas.openxmlformats.org/officeDocument/2006/relationships/image" Id="rId6"/><Relationship Target="media/image18.png" Type="http://schemas.openxmlformats.org/officeDocument/2006/relationships/image" Id="rId5"/><Relationship Target="media/image17.png" Type="http://schemas.openxmlformats.org/officeDocument/2006/relationships/image" Id="rId8"/><Relationship Target="media/image2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Diagrams.docx</dc:title>
</cp:coreProperties>
</file>