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SQL Scripts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TABLE account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id bigint auto_increment,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firstname varchar(50)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lastname varchar(50)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address varchar(250),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city varchar(50),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country varchar(50),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state varchar(50),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phone varchar(50),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email varchar(100) NOT NULL UNIQUE,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password char(60)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active boolean NOT NULL DEFAULT 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visible boolean NOT NULL DEFAULT 1,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primary key (id)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TABLE authority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id bigint auto_increment,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email varchar(50),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role varchar(20)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primary key (id),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foreign key (email) references account(email) on delete cascade on update cascade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TABLE job_listing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id bigint auto_increment,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email varchar(100)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position varchar(100)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company_name varchar(100)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job_description varchar(2000)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job_location varchar(100)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posted_date DATETIME DEFAULT CURRENT_TIMESTAMP,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active boolean NOT NULL DEFAULT 1,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primary key (id),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foreign key (email) references account(email) on delete cascade on update cascade,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FULLTEXT (position,company_name,job_description,job_location)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) ENGINE=InnoDB;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table persistent_logins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username varchar(50) NOT NULL,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series varchar(64) primary key,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token varchar(64) not null,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last_used timestamp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drop table persistent_logins;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drop table job_listing;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drop table auhority;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drop table account;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Louis Balzani, Benjamin Degler, Michael Holmes, Conner Simmons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FasTrax Documentation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December 8, 2014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Scripts.docx</dc:title>
</cp:coreProperties>
</file>