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1CE5C" w14:textId="692E06BA" w:rsidR="007C138E" w:rsidRDefault="000041BA">
      <w:r w:rsidRPr="000041BA">
        <w:t>Management of knee osteoarthritis – a joint effort with patients ACG</w:t>
      </w:r>
    </w:p>
    <w:p w14:paraId="585E85B7" w14:textId="77777777" w:rsidR="000041BA" w:rsidRDefault="000041BA" w:rsidP="000041BA">
      <w:pPr>
        <w:pStyle w:val="ListParagraph"/>
        <w:numPr>
          <w:ilvl w:val="0"/>
          <w:numId w:val="1"/>
        </w:numPr>
      </w:pPr>
      <w:r>
        <w:t>Assess the patient’s pain level, functional capacity, quality of life, psychosocial factors and response to previous treatments (if applicable) to create an individualised management plan.</w:t>
      </w:r>
    </w:p>
    <w:p w14:paraId="3D3C9812" w14:textId="77777777" w:rsidR="000041BA" w:rsidRDefault="000041BA" w:rsidP="000041BA">
      <w:pPr>
        <w:pStyle w:val="ListParagraph"/>
        <w:numPr>
          <w:ilvl w:val="0"/>
          <w:numId w:val="1"/>
        </w:numPr>
      </w:pPr>
      <w:r>
        <w:t>Provide patient education, exercise programmes and weight management as mainstay strategies for all patients with knee OA, tailoring advice based on individual patient profile.</w:t>
      </w:r>
    </w:p>
    <w:p w14:paraId="58A2B52B" w14:textId="77777777" w:rsidR="000041BA" w:rsidRDefault="000041BA" w:rsidP="000041BA">
      <w:pPr>
        <w:pStyle w:val="ListParagraph"/>
        <w:numPr>
          <w:ilvl w:val="0"/>
          <w:numId w:val="1"/>
        </w:numPr>
      </w:pPr>
      <w:r>
        <w:t>To complement or support adherence to mainstay strategies for knee OA:</w:t>
      </w:r>
    </w:p>
    <w:p w14:paraId="750D0929" w14:textId="1F70DA21" w:rsidR="000041BA" w:rsidRDefault="000041BA" w:rsidP="000041BA">
      <w:pPr>
        <w:pStyle w:val="ListParagraph"/>
        <w:numPr>
          <w:ilvl w:val="1"/>
          <w:numId w:val="1"/>
        </w:numPr>
      </w:pPr>
      <w:r>
        <w:t xml:space="preserve">Offer a topical NSAID </w:t>
      </w:r>
    </w:p>
    <w:p w14:paraId="1025623C" w14:textId="7BE45B09" w:rsidR="000041BA" w:rsidRDefault="000041BA" w:rsidP="000041BA">
      <w:pPr>
        <w:pStyle w:val="ListParagraph"/>
        <w:numPr>
          <w:ilvl w:val="1"/>
          <w:numId w:val="1"/>
        </w:numPr>
      </w:pPr>
      <w:r>
        <w:t>Consider prescribing short courses of an oral NSAID if topical NSAIDs are ineffective or unsuitable</w:t>
      </w:r>
    </w:p>
    <w:p w14:paraId="05364056" w14:textId="77777777" w:rsidR="000041BA" w:rsidRDefault="000041BA" w:rsidP="000041BA">
      <w:pPr>
        <w:pStyle w:val="ListParagraph"/>
        <w:numPr>
          <w:ilvl w:val="0"/>
          <w:numId w:val="1"/>
        </w:numPr>
      </w:pPr>
      <w:r>
        <w:t>Consider referring patients with knee OA to relevant allied health professionals for additional non-pharmacological strategies (e.g. supervised exercise, walking aids).</w:t>
      </w:r>
    </w:p>
    <w:p w14:paraId="0D4EE0FD" w14:textId="77777777" w:rsidR="000041BA" w:rsidRDefault="000041BA" w:rsidP="000041BA">
      <w:pPr>
        <w:pStyle w:val="ListParagraph"/>
        <w:numPr>
          <w:ilvl w:val="0"/>
          <w:numId w:val="1"/>
        </w:numPr>
      </w:pPr>
      <w:r>
        <w:t>Consider intra-articular corticosteroid injections for short-term symptom relief alongside mainstay strategies for knee OA if symptoms persist despite NSAID treatment and/or allied health professional support.</w:t>
      </w:r>
    </w:p>
    <w:p w14:paraId="2619F0CD" w14:textId="77777777" w:rsidR="000041BA" w:rsidRDefault="000041BA" w:rsidP="000041BA">
      <w:pPr>
        <w:pStyle w:val="ListParagraph"/>
        <w:numPr>
          <w:ilvl w:val="0"/>
          <w:numId w:val="1"/>
        </w:numPr>
      </w:pPr>
      <w:r>
        <w:t>Consider acupuncture as adjunctive therapy for patients with knee OA who have not responded adequately to conventional therapies (e.g. exercise, NSAIDs) or prefer alternative treatments.</w:t>
      </w:r>
    </w:p>
    <w:p w14:paraId="48F6527F" w14:textId="4C37A65D" w:rsidR="000041BA" w:rsidRDefault="000041BA" w:rsidP="000041BA">
      <w:pPr>
        <w:pStyle w:val="ListParagraph"/>
        <w:numPr>
          <w:ilvl w:val="0"/>
          <w:numId w:val="1"/>
        </w:numPr>
      </w:pPr>
      <w:r>
        <w:t>For patients with knee OA whose persistent symptoms significantly impact function and quality of life, discuss referral options for surgical or advanced pain management.</w:t>
      </w:r>
    </w:p>
    <w:p w14:paraId="6954E472" w14:textId="00792659" w:rsidR="000041BA" w:rsidRDefault="000041BA" w:rsidP="000041BA">
      <w:r>
        <w:rPr>
          <w:rFonts w:hint="eastAsia"/>
        </w:rPr>
        <w:t>---</w:t>
      </w:r>
    </w:p>
    <w:p w14:paraId="09C45A39" w14:textId="726B2BC0" w:rsidR="000041BA" w:rsidRDefault="000041BA" w:rsidP="000041BA">
      <w:r w:rsidRPr="000041BA">
        <w:t>Singapore National Dengue Clinical Guideline</w:t>
      </w:r>
    </w:p>
    <w:p w14:paraId="5A344039" w14:textId="5661240E" w:rsidR="000041BA" w:rsidRDefault="000041BA" w:rsidP="000041BA">
      <w:r>
        <w:t>1.For the diagnosis of dengue infection, symptoms, signs and laboratory test results should be consistent with dengue infection. If there are inconsistencies, further evaluation should be pursued depending on the history, physical examination and/or laboratory test results.</w:t>
      </w:r>
    </w:p>
    <w:p w14:paraId="4719289B" w14:textId="02B69B76" w:rsidR="000041BA" w:rsidRDefault="000041BA" w:rsidP="000041BA">
      <w:r>
        <w:t>2a. In the first 7 days from symptom onset of suspected dengue infection, tests to detect both dengue virus NS1 antigen and dengue IgM antibodies in human serum, plasma or whole blood OR a dengue polymerase chain reaction (PCR) test on whole blood or plasma should be requested. In primary infection, IgM antibodies are detectable in 50% in the first 3–5 days of illness and IgG at the end of the first week.</w:t>
      </w:r>
    </w:p>
    <w:p w14:paraId="1017C7D9" w14:textId="3276AF79" w:rsidR="000041BA" w:rsidRDefault="000041BA" w:rsidP="000041BA">
      <w:r>
        <w:t>2b. After 7 days from symptom onset, dengue PCR test on whole blood or plasma generally should not be performed.</w:t>
      </w:r>
    </w:p>
    <w:p w14:paraId="2D066B06" w14:textId="7B5A9C41" w:rsidR="000041BA" w:rsidRDefault="000041BA" w:rsidP="000041BA">
      <w:r>
        <w:lastRenderedPageBreak/>
        <w:t>3.Dengue is a notifiable disease and should be reported to the Communicable Diseases Agency (CDA) by medical practitioners using the appropriate platform when suspected and when confirmed through point-of-care tests. Development of dengue haemorrhagic fever requires re-notification within 24 hours from time of diagnosis.</w:t>
      </w:r>
    </w:p>
    <w:p w14:paraId="59BB82B4" w14:textId="03D26911" w:rsidR="000041BA" w:rsidRDefault="000041BA" w:rsidP="000041BA">
      <w:r>
        <w:rPr>
          <w:rFonts w:hint="eastAsia"/>
        </w:rPr>
        <w:t>---</w:t>
      </w:r>
    </w:p>
    <w:p w14:paraId="60813AD3" w14:textId="5A608B9F" w:rsidR="000041BA" w:rsidRDefault="000041BA" w:rsidP="000041BA">
      <w:r w:rsidRPr="000041BA">
        <w:t>Mild and moderate atopic dermatitis (eczema) – a journey from flare to care ACG</w:t>
      </w:r>
    </w:p>
    <w:p w14:paraId="32A01511" w14:textId="77777777" w:rsidR="000041BA" w:rsidRDefault="000041BA" w:rsidP="000041BA">
      <w:pPr>
        <w:pStyle w:val="ListParagraph"/>
        <w:numPr>
          <w:ilvl w:val="0"/>
          <w:numId w:val="2"/>
        </w:numPr>
      </w:pPr>
      <w:r>
        <w:t>Diagnose AD through history taking and clinical examination, focusing on key features such as skin itchiness, dryness, personal or family history of atopic diseases, disease chronicity, lesion morphology and distribution.</w:t>
      </w:r>
    </w:p>
    <w:p w14:paraId="42550EBC" w14:textId="77777777" w:rsidR="000041BA" w:rsidRDefault="000041BA" w:rsidP="000041BA">
      <w:pPr>
        <w:pStyle w:val="ListParagraph"/>
        <w:numPr>
          <w:ilvl w:val="0"/>
          <w:numId w:val="2"/>
        </w:numPr>
      </w:pPr>
      <w:r>
        <w:t>Assess AD severity based on extent, frequency and intensity of clinical manifestations, and patient- or caregiver-reported impact on quality of life.</w:t>
      </w:r>
    </w:p>
    <w:p w14:paraId="542308CE" w14:textId="77777777" w:rsidR="000041BA" w:rsidRDefault="000041BA" w:rsidP="000041BA">
      <w:pPr>
        <w:pStyle w:val="ListParagraph"/>
        <w:numPr>
          <w:ilvl w:val="0"/>
          <w:numId w:val="2"/>
        </w:numPr>
      </w:pPr>
      <w:r>
        <w:t>Review potential triggers for AD and advise on how to minimise exposure.</w:t>
      </w:r>
    </w:p>
    <w:p w14:paraId="5F159DC0" w14:textId="77777777" w:rsidR="000041BA" w:rsidRDefault="000041BA" w:rsidP="000041BA">
      <w:pPr>
        <w:pStyle w:val="ListParagraph"/>
        <w:numPr>
          <w:ilvl w:val="0"/>
          <w:numId w:val="2"/>
        </w:numPr>
      </w:pPr>
      <w:r>
        <w:t xml:space="preserve">For patients with mild or moderate AD, advise liberal moisturiser use as baseline therapy, and </w:t>
      </w:r>
    </w:p>
    <w:p w14:paraId="5B51C390" w14:textId="77777777" w:rsidR="000041BA" w:rsidRDefault="000041BA" w:rsidP="000041BA">
      <w:pPr>
        <w:pStyle w:val="ListParagraph"/>
        <w:numPr>
          <w:ilvl w:val="1"/>
          <w:numId w:val="3"/>
        </w:numPr>
      </w:pPr>
      <w:r>
        <w:t xml:space="preserve">Prescribe topical corticosteroids (TCS) as first-line anti-inflammatory treatment for active lesions.  </w:t>
      </w:r>
    </w:p>
    <w:p w14:paraId="6AC84BF8" w14:textId="77777777" w:rsidR="000041BA" w:rsidRDefault="000041BA" w:rsidP="000041BA">
      <w:pPr>
        <w:pStyle w:val="ListParagraph"/>
        <w:numPr>
          <w:ilvl w:val="1"/>
          <w:numId w:val="3"/>
        </w:numPr>
      </w:pPr>
      <w:r>
        <w:t xml:space="preserve">If a non-steroidal alternative is required or preferred, consider topical calcineurin inhibitors (as second- line) or topical phosphodiesterase 4 inhibitors (as third-line). </w:t>
      </w:r>
    </w:p>
    <w:p w14:paraId="21174F13" w14:textId="77777777" w:rsidR="000041BA" w:rsidRDefault="000041BA" w:rsidP="000041BA">
      <w:pPr>
        <w:pStyle w:val="ListParagraph"/>
        <w:numPr>
          <w:ilvl w:val="0"/>
          <w:numId w:val="2"/>
        </w:numPr>
      </w:pPr>
      <w:r>
        <w:t>For patients with recurring AD flares (e.g. 2-3 flares/month), prescribe proactive therapy of topical anti-inflammatory treatments to areas of skin prone to flare recurrences.</w:t>
      </w:r>
    </w:p>
    <w:p w14:paraId="164147A0" w14:textId="77777777" w:rsidR="000041BA" w:rsidRDefault="000041BA" w:rsidP="000041BA">
      <w:pPr>
        <w:pStyle w:val="ListParagraph"/>
        <w:numPr>
          <w:ilvl w:val="0"/>
          <w:numId w:val="2"/>
        </w:numPr>
      </w:pPr>
      <w:r>
        <w:t>For patients with inadequate treatment response, assess and address possible factors before modifying treatment.</w:t>
      </w:r>
    </w:p>
    <w:p w14:paraId="61656FAF" w14:textId="77777777" w:rsidR="000041BA" w:rsidRDefault="000041BA" w:rsidP="000041BA">
      <w:pPr>
        <w:pStyle w:val="ListParagraph"/>
        <w:numPr>
          <w:ilvl w:val="0"/>
          <w:numId w:val="2"/>
        </w:numPr>
      </w:pPr>
      <w:r>
        <w:t xml:space="preserve">Do not routinely give oral corticosteroids for AD, except as a short course for: </w:t>
      </w:r>
    </w:p>
    <w:p w14:paraId="0B7A6D03" w14:textId="77777777" w:rsidR="000041BA" w:rsidRDefault="000041BA" w:rsidP="000041BA">
      <w:pPr>
        <w:pStyle w:val="ListParagraph"/>
        <w:numPr>
          <w:ilvl w:val="1"/>
          <w:numId w:val="4"/>
        </w:numPr>
      </w:pPr>
      <w:r>
        <w:t xml:space="preserve">Rescue therapy for acute, severe flares, or  </w:t>
      </w:r>
    </w:p>
    <w:p w14:paraId="72B4B6CC" w14:textId="77777777" w:rsidR="000041BA" w:rsidRDefault="000041BA" w:rsidP="000041BA">
      <w:pPr>
        <w:pStyle w:val="ListParagraph"/>
        <w:numPr>
          <w:ilvl w:val="1"/>
          <w:numId w:val="4"/>
        </w:numPr>
      </w:pPr>
      <w:r>
        <w:t>Bridging therapy to systemic treatment.</w:t>
      </w:r>
    </w:p>
    <w:p w14:paraId="19D59E7B" w14:textId="77777777" w:rsidR="000041BA" w:rsidRDefault="000041BA" w:rsidP="000041BA">
      <w:pPr>
        <w:pStyle w:val="ListParagraph"/>
        <w:numPr>
          <w:ilvl w:val="0"/>
          <w:numId w:val="2"/>
        </w:numPr>
      </w:pPr>
      <w:r>
        <w:t>For secondary infection of AD, continue patient’s topical anti-inflammatory treatments alongside appropriate antimicrobial agents.</w:t>
      </w:r>
    </w:p>
    <w:p w14:paraId="5C1AAFE6" w14:textId="332D9D97" w:rsidR="000041BA" w:rsidRDefault="000041BA" w:rsidP="000041BA">
      <w:pPr>
        <w:pStyle w:val="ListParagraph"/>
        <w:numPr>
          <w:ilvl w:val="0"/>
          <w:numId w:val="2"/>
        </w:numPr>
      </w:pPr>
      <w:r>
        <w:t>Avoid triple combination products of TCS, antibiotics and antifungals in AD patients with suspected or clinically evident bacterial infection.</w:t>
      </w:r>
    </w:p>
    <w:p w14:paraId="575B6508" w14:textId="38B31086" w:rsidR="000041BA" w:rsidRDefault="000041BA" w:rsidP="000041BA">
      <w:r>
        <w:rPr>
          <w:rFonts w:hint="eastAsia"/>
        </w:rPr>
        <w:t>---</w:t>
      </w:r>
    </w:p>
    <w:p w14:paraId="019EDCCF" w14:textId="33C8E155" w:rsidR="000041BA" w:rsidRDefault="000041BA" w:rsidP="000041BA">
      <w:r w:rsidRPr="000041BA">
        <w:t>Osteoporosis: diagnosis and management ACG</w:t>
      </w:r>
    </w:p>
    <w:p w14:paraId="2AA61F55" w14:textId="3EB36536" w:rsidR="000041BA" w:rsidRDefault="000041BA" w:rsidP="000041BA">
      <w:r>
        <w:t xml:space="preserve">1.Determine the need for bone mineral density testing in people with risk factors for osteoporosis or fragility fractures, particularly all </w:t>
      </w:r>
      <w:proofErr w:type="spellStart"/>
      <w:r>
        <w:t>post menopausal</w:t>
      </w:r>
      <w:proofErr w:type="spellEnd"/>
      <w:r>
        <w:t xml:space="preserve"> women, and men ≥65 years of age.</w:t>
      </w:r>
    </w:p>
    <w:p w14:paraId="0214B901" w14:textId="033E98A5" w:rsidR="000041BA" w:rsidRDefault="000041BA" w:rsidP="000041BA">
      <w:r>
        <w:lastRenderedPageBreak/>
        <w:t>2.Optimise lifestyle management for all patients at risk of osteoporosis or fragility fractures, including calcium and vitamin D intake through diet and supplementation as appropriate.</w:t>
      </w:r>
    </w:p>
    <w:p w14:paraId="4A5E7D02" w14:textId="1372A51F" w:rsidR="000041BA" w:rsidRDefault="000041BA" w:rsidP="000041BA">
      <w:r>
        <w:t>3a.Diagnose osteoporosis and initiate treatment for patients with current or past fragility fracture, or a BMD (measured by central DXA) T-score ≤-2.5.</w:t>
      </w:r>
    </w:p>
    <w:p w14:paraId="4B3D4866" w14:textId="30354C10" w:rsidR="000041BA" w:rsidRDefault="000041BA" w:rsidP="000041BA">
      <w:r>
        <w:t>3b.Consider initiating treatment for people with a BMD (measured by central DXA) T-score between -1.0 and -2.5 and who are at high risk of fractures.</w:t>
      </w:r>
    </w:p>
    <w:p w14:paraId="2DA4633D" w14:textId="07B3DC54" w:rsidR="000041BA" w:rsidRDefault="000041BA" w:rsidP="000041BA">
      <w:r>
        <w:t>4.For patients in whom pharmacological treatment is indicated:</w:t>
      </w:r>
    </w:p>
    <w:p w14:paraId="167FF740" w14:textId="77777777" w:rsidR="000041BA" w:rsidRDefault="000041BA" w:rsidP="000041BA">
      <w:pPr>
        <w:pStyle w:val="ListParagraph"/>
        <w:numPr>
          <w:ilvl w:val="0"/>
          <w:numId w:val="5"/>
        </w:numPr>
      </w:pPr>
      <w:r>
        <w:t>Use oral alendronate or risedronate (or IV zoledronate if available and preferred)</w:t>
      </w:r>
    </w:p>
    <w:p w14:paraId="463D0ECB" w14:textId="77777777" w:rsidR="000041BA" w:rsidRDefault="000041BA" w:rsidP="000041BA">
      <w:pPr>
        <w:pStyle w:val="ListParagraph"/>
        <w:numPr>
          <w:ilvl w:val="0"/>
          <w:numId w:val="5"/>
        </w:numPr>
      </w:pPr>
      <w:r>
        <w:t>Consider using denosumab, if preferred and suitable for the patient.</w:t>
      </w:r>
    </w:p>
    <w:p w14:paraId="10066AB0" w14:textId="7AE23888" w:rsidR="000041BA" w:rsidRDefault="000041BA" w:rsidP="000041BA">
      <w:r>
        <w:t>5.Consider anabolic agents as first-line treatment for patients at very high risk of fractures, with specialist input as needed.</w:t>
      </w:r>
    </w:p>
    <w:p w14:paraId="4B2CFA00" w14:textId="613790C4" w:rsidR="000041BA" w:rsidRDefault="000041BA" w:rsidP="000041BA">
      <w:r>
        <w:t>6.Consider referring patients with clinically complex or unusual presentations to specialists for further assessment and management.</w:t>
      </w:r>
    </w:p>
    <w:p w14:paraId="2EAC695C" w14:textId="7BAB5902" w:rsidR="000041BA" w:rsidRDefault="000041BA" w:rsidP="000041BA">
      <w:r>
        <w:rPr>
          <w:rFonts w:hint="eastAsia"/>
        </w:rPr>
        <w:t>---</w:t>
      </w:r>
    </w:p>
    <w:p w14:paraId="68F57FEE" w14:textId="2D9FD5D3" w:rsidR="000041BA" w:rsidRDefault="000041BA" w:rsidP="000041BA">
      <w:r w:rsidRPr="000041BA">
        <w:t>Management of chronic coronary syndrome ACG</w:t>
      </w:r>
    </w:p>
    <w:p w14:paraId="6740EEB9" w14:textId="4EB61373" w:rsidR="000041BA" w:rsidRDefault="000041BA" w:rsidP="000041BA">
      <w:r>
        <w:t>1a.Use long-term low-dose aspirin monotherapy for secondary prevention of cardiovascular events.</w:t>
      </w:r>
    </w:p>
    <w:p w14:paraId="138DF4AE" w14:textId="3A14F1E7" w:rsidR="000041BA" w:rsidRDefault="000041BA" w:rsidP="000041BA">
      <w:r>
        <w:t>1b.Consider long-term clopidogrel monotherapy as an alternative to aspirin.</w:t>
      </w:r>
    </w:p>
    <w:p w14:paraId="6D988F57" w14:textId="5090FD90" w:rsidR="000041BA" w:rsidRDefault="000041BA" w:rsidP="000041BA">
      <w:r>
        <w:t>2.Review patients following PCI to confirm that there is a specified treatment duration for their dual antiplatelet therapy and check with the referring cardiologist if treatment duration is unclear.</w:t>
      </w:r>
    </w:p>
    <w:p w14:paraId="2D1F27BB" w14:textId="655C6490" w:rsidR="000041BA" w:rsidRDefault="000041BA" w:rsidP="000041BA">
      <w:r>
        <w:t xml:space="preserve">3a.For patients with new-onset AF with no recent stent (within the past 12 months), consider oral anticoagulant monotherapy based on modified CHA2DS2VASc score and patient factors such as comorbidities and bleeding risk. </w:t>
      </w:r>
    </w:p>
    <w:p w14:paraId="0E1699DC" w14:textId="248ACDB1" w:rsidR="000041BA" w:rsidRDefault="000041BA" w:rsidP="000041BA">
      <w:r>
        <w:t>3b.For patients with new-onset AF and a stent within the past 12 months, consult a cardiologist to reassess and optimise the current antithrombotic therapy.</w:t>
      </w:r>
    </w:p>
    <w:p w14:paraId="269A884F" w14:textId="7C01CFEC" w:rsidR="000041BA" w:rsidRDefault="000041BA" w:rsidP="000041BA">
      <w:r>
        <w:t>4.Optimise management of comorbid or associated conditions in patients with CCS to reduce overall cardiovascular risk and complications.</w:t>
      </w:r>
    </w:p>
    <w:p w14:paraId="76C0484D" w14:textId="6C927BA8" w:rsidR="000041BA" w:rsidRDefault="000041BA" w:rsidP="000041BA">
      <w:r>
        <w:t>5.Encourage sustained lifestyle interventions, including regular physical activity tailored to the patient’s capabilities and preferences.</w:t>
      </w:r>
    </w:p>
    <w:p w14:paraId="4F7803BB" w14:textId="49A2963A" w:rsidR="000041BA" w:rsidRDefault="000041BA" w:rsidP="000041BA">
      <w:r>
        <w:t>6.Schedule regular follow-up visits for all patients with CCS to monitor symptoms, assess medication adherence, and adjust treatment plans as needed.</w:t>
      </w:r>
    </w:p>
    <w:p w14:paraId="46DEF04F" w14:textId="2F175169" w:rsidR="000041BA" w:rsidRDefault="000041BA" w:rsidP="000041BA">
      <w:r>
        <w:rPr>
          <w:rFonts w:hint="eastAsia"/>
        </w:rPr>
        <w:lastRenderedPageBreak/>
        <w:t>---</w:t>
      </w:r>
    </w:p>
    <w:p w14:paraId="510DB7E2" w14:textId="787D52BE" w:rsidR="000041BA" w:rsidRDefault="000041BA" w:rsidP="000041BA">
      <w:r w:rsidRPr="000041BA">
        <w:t>Generalised anxiety disorder – easing burden and enabling remission ACG</w:t>
      </w:r>
    </w:p>
    <w:p w14:paraId="10870E6B" w14:textId="77777777" w:rsidR="000041BA" w:rsidRDefault="000041BA" w:rsidP="000041BA">
      <w:pPr>
        <w:pStyle w:val="ListParagraph"/>
        <w:numPr>
          <w:ilvl w:val="0"/>
          <w:numId w:val="6"/>
        </w:numPr>
      </w:pPr>
      <w:r>
        <w:t>Select the treatment approach by assessing GAD severity and other factors, taking into account the needs, preferences, and readiness of the patient.</w:t>
      </w:r>
    </w:p>
    <w:p w14:paraId="2840DFE9" w14:textId="77777777" w:rsidR="000041BA" w:rsidRDefault="000041BA" w:rsidP="000041BA">
      <w:pPr>
        <w:pStyle w:val="ListParagraph"/>
        <w:numPr>
          <w:ilvl w:val="0"/>
          <w:numId w:val="6"/>
        </w:numPr>
      </w:pPr>
      <w:r>
        <w:t>For patients with mild GAD:</w:t>
      </w:r>
    </w:p>
    <w:p w14:paraId="5BDABA98" w14:textId="77777777" w:rsidR="000041BA" w:rsidRDefault="000041BA" w:rsidP="000041BA">
      <w:pPr>
        <w:pStyle w:val="ListParagraph"/>
        <w:numPr>
          <w:ilvl w:val="1"/>
          <w:numId w:val="6"/>
        </w:numPr>
      </w:pPr>
      <w:r>
        <w:t>Consider CBT-based psychological treatments as first-line.</w:t>
      </w:r>
    </w:p>
    <w:p w14:paraId="713547F6" w14:textId="77777777" w:rsidR="000041BA" w:rsidRDefault="000041BA" w:rsidP="000041BA">
      <w:pPr>
        <w:pStyle w:val="ListParagraph"/>
        <w:numPr>
          <w:ilvl w:val="1"/>
          <w:numId w:val="6"/>
        </w:numPr>
      </w:pPr>
      <w:r>
        <w:t>Consider medication if psychological treatments are not feasible or acceptable.</w:t>
      </w:r>
    </w:p>
    <w:p w14:paraId="2416940B" w14:textId="77777777" w:rsidR="000041BA" w:rsidRDefault="000041BA" w:rsidP="000041BA">
      <w:pPr>
        <w:pStyle w:val="ListParagraph"/>
        <w:numPr>
          <w:ilvl w:val="0"/>
          <w:numId w:val="6"/>
        </w:numPr>
      </w:pPr>
      <w:r>
        <w:t>For patients with moderate GAD:</w:t>
      </w:r>
    </w:p>
    <w:p w14:paraId="113A1E39" w14:textId="77777777" w:rsidR="000041BA" w:rsidRDefault="000041BA" w:rsidP="000041BA">
      <w:pPr>
        <w:pStyle w:val="ListParagraph"/>
        <w:numPr>
          <w:ilvl w:val="1"/>
          <w:numId w:val="6"/>
        </w:numPr>
      </w:pPr>
      <w:r>
        <w:t>Offer a CBT-based psychological treatment or an SSRI/SNRI medication.</w:t>
      </w:r>
    </w:p>
    <w:p w14:paraId="7DA63B55" w14:textId="77777777" w:rsidR="000041BA" w:rsidRDefault="000041BA" w:rsidP="000041BA">
      <w:pPr>
        <w:pStyle w:val="ListParagraph"/>
        <w:numPr>
          <w:ilvl w:val="1"/>
          <w:numId w:val="6"/>
        </w:numPr>
      </w:pPr>
      <w:r>
        <w:t>Consider a combination of both modalities if supported by clinical need.</w:t>
      </w:r>
    </w:p>
    <w:p w14:paraId="6D3F28C8" w14:textId="77777777" w:rsidR="000041BA" w:rsidRDefault="000041BA" w:rsidP="000041BA">
      <w:pPr>
        <w:pStyle w:val="ListParagraph"/>
        <w:numPr>
          <w:ilvl w:val="0"/>
          <w:numId w:val="6"/>
        </w:numPr>
      </w:pPr>
      <w:r>
        <w:t>For patients with severe GAD, offer a combination of CBT-based psychological treatment and SSRI/SNRI medication as first-line.</w:t>
      </w:r>
    </w:p>
    <w:p w14:paraId="2B0C7911" w14:textId="77777777" w:rsidR="000041BA" w:rsidRDefault="000041BA" w:rsidP="000041BA">
      <w:pPr>
        <w:pStyle w:val="ListParagraph"/>
        <w:numPr>
          <w:ilvl w:val="0"/>
          <w:numId w:val="6"/>
        </w:numPr>
      </w:pPr>
      <w:r>
        <w:t>If treatment does not achieve adequate response in patients with GAD, assess possible reasons before considering modifying treatment or seeking specialist advice.</w:t>
      </w:r>
    </w:p>
    <w:p w14:paraId="188D571F" w14:textId="77777777" w:rsidR="000041BA" w:rsidRDefault="000041BA" w:rsidP="000041BA">
      <w:pPr>
        <w:pStyle w:val="ListParagraph"/>
        <w:numPr>
          <w:ilvl w:val="0"/>
          <w:numId w:val="6"/>
        </w:numPr>
      </w:pPr>
      <w:r>
        <w:t>Continue treatment with an SSRI or SNRI for at least six months after achieving remission.</w:t>
      </w:r>
    </w:p>
    <w:p w14:paraId="460CA257" w14:textId="015400DB" w:rsidR="000041BA" w:rsidRDefault="000041BA" w:rsidP="000041BA">
      <w:pPr>
        <w:pStyle w:val="ListParagraph"/>
        <w:numPr>
          <w:ilvl w:val="0"/>
          <w:numId w:val="6"/>
        </w:numPr>
      </w:pPr>
      <w:r>
        <w:t>Do not routinely prescribe benzodiazepines as first-line treatment for GAD.</w:t>
      </w:r>
    </w:p>
    <w:p w14:paraId="4DE862E3" w14:textId="77CF7527" w:rsidR="000041BA" w:rsidRDefault="000041BA" w:rsidP="000041BA">
      <w:r>
        <w:rPr>
          <w:rFonts w:hint="eastAsia"/>
        </w:rPr>
        <w:t>---</w:t>
      </w:r>
    </w:p>
    <w:p w14:paraId="41D493DE" w14:textId="7602E42F" w:rsidR="000041BA" w:rsidRDefault="000041BA" w:rsidP="000041BA">
      <w:r w:rsidRPr="000041BA">
        <w:t>Major depressive disorder – achieving and sustaining remission ACG</w:t>
      </w:r>
    </w:p>
    <w:p w14:paraId="20563DAB" w14:textId="77777777" w:rsidR="000041BA" w:rsidRDefault="000041BA" w:rsidP="000041BA">
      <w:pPr>
        <w:pStyle w:val="ListParagraph"/>
        <w:numPr>
          <w:ilvl w:val="0"/>
          <w:numId w:val="7"/>
        </w:numPr>
      </w:pPr>
      <w:r>
        <w:t>Evaluate MDD severity based on</w:t>
      </w:r>
    </w:p>
    <w:p w14:paraId="278885F7" w14:textId="77777777" w:rsidR="000041BA" w:rsidRDefault="000041BA" w:rsidP="000041BA">
      <w:pPr>
        <w:pStyle w:val="ListParagraph"/>
        <w:numPr>
          <w:ilvl w:val="1"/>
          <w:numId w:val="8"/>
        </w:numPr>
        <w:ind w:left="1418"/>
      </w:pPr>
      <w:r>
        <w:t>Symptom profile,</w:t>
      </w:r>
    </w:p>
    <w:p w14:paraId="3B881B17" w14:textId="77777777" w:rsidR="000041BA" w:rsidRDefault="000041BA" w:rsidP="000041BA">
      <w:pPr>
        <w:pStyle w:val="ListParagraph"/>
        <w:numPr>
          <w:ilvl w:val="1"/>
          <w:numId w:val="8"/>
        </w:numPr>
        <w:ind w:left="1418"/>
      </w:pPr>
      <w:r>
        <w:t>Functional impairment, and</w:t>
      </w:r>
    </w:p>
    <w:p w14:paraId="6F840A55" w14:textId="77777777" w:rsidR="000041BA" w:rsidRDefault="000041BA" w:rsidP="000041BA">
      <w:pPr>
        <w:pStyle w:val="ListParagraph"/>
        <w:numPr>
          <w:ilvl w:val="1"/>
          <w:numId w:val="8"/>
        </w:numPr>
        <w:ind w:left="1418"/>
      </w:pPr>
      <w:r>
        <w:t>Risk of harm (to self or others).</w:t>
      </w:r>
    </w:p>
    <w:p w14:paraId="378D5BEF" w14:textId="77777777" w:rsidR="000041BA" w:rsidRDefault="000041BA" w:rsidP="000041BA">
      <w:pPr>
        <w:pStyle w:val="ListParagraph"/>
        <w:numPr>
          <w:ilvl w:val="0"/>
          <w:numId w:val="7"/>
        </w:numPr>
      </w:pPr>
      <w:r>
        <w:t>Personalise the treatment approach based on MDD severity and other patient factors.</w:t>
      </w:r>
    </w:p>
    <w:p w14:paraId="450CBFCF" w14:textId="77777777" w:rsidR="000041BA" w:rsidRDefault="000041BA" w:rsidP="000041BA">
      <w:pPr>
        <w:pStyle w:val="ListParagraph"/>
        <w:numPr>
          <w:ilvl w:val="0"/>
          <w:numId w:val="7"/>
        </w:numPr>
      </w:pPr>
      <w:r>
        <w:t>For patients with mild to moderate MDD, offer psychological treatment over antidepressants where feasible and acceptable.</w:t>
      </w:r>
    </w:p>
    <w:p w14:paraId="152735D4" w14:textId="77777777" w:rsidR="000041BA" w:rsidRDefault="000041BA" w:rsidP="000041BA">
      <w:pPr>
        <w:pStyle w:val="ListParagraph"/>
        <w:numPr>
          <w:ilvl w:val="0"/>
          <w:numId w:val="7"/>
        </w:numPr>
      </w:pPr>
      <w:r>
        <w:t>For patients with moderately severe or severe MDD:</w:t>
      </w:r>
    </w:p>
    <w:p w14:paraId="1C48C063" w14:textId="77777777" w:rsidR="000041BA" w:rsidRDefault="000041BA" w:rsidP="000041BA">
      <w:pPr>
        <w:pStyle w:val="ListParagraph"/>
        <w:numPr>
          <w:ilvl w:val="1"/>
          <w:numId w:val="7"/>
        </w:numPr>
      </w:pPr>
      <w:r>
        <w:t>Offer a combination of a second-generation antidepressant with psychotherapy, or psychotherapy alone.</w:t>
      </w:r>
    </w:p>
    <w:p w14:paraId="2E095C8C" w14:textId="77777777" w:rsidR="000041BA" w:rsidRDefault="000041BA" w:rsidP="000041BA">
      <w:pPr>
        <w:pStyle w:val="ListParagraph"/>
        <w:numPr>
          <w:ilvl w:val="1"/>
          <w:numId w:val="7"/>
        </w:numPr>
      </w:pPr>
      <w:r>
        <w:t>Consider a second-generation antidepressant when psychotherapy is not feasible or acceptable.</w:t>
      </w:r>
    </w:p>
    <w:p w14:paraId="383044BF" w14:textId="77777777" w:rsidR="000041BA" w:rsidRDefault="000041BA" w:rsidP="000041BA">
      <w:pPr>
        <w:pStyle w:val="ListParagraph"/>
        <w:numPr>
          <w:ilvl w:val="0"/>
          <w:numId w:val="7"/>
        </w:numPr>
      </w:pPr>
      <w:r>
        <w:t>If response to initial treatment is suboptimal, assess possible reasons before adjusting management strategy.</w:t>
      </w:r>
    </w:p>
    <w:p w14:paraId="50E280D1" w14:textId="2ECA1DB8" w:rsidR="000041BA" w:rsidRDefault="000041BA" w:rsidP="000041BA">
      <w:pPr>
        <w:pStyle w:val="ListParagraph"/>
        <w:numPr>
          <w:ilvl w:val="0"/>
          <w:numId w:val="7"/>
        </w:numPr>
      </w:pPr>
      <w:r>
        <w:t>Continue treatment after remission to reduce relapse risk; if antidepressants are prescribed, continue at optimal dose for at least 6 months after remission.</w:t>
      </w:r>
    </w:p>
    <w:p w14:paraId="79AE2228" w14:textId="00FFD7BE" w:rsidR="000041BA" w:rsidRDefault="000041BA" w:rsidP="000041BA">
      <w:r>
        <w:rPr>
          <w:rFonts w:hint="eastAsia"/>
        </w:rPr>
        <w:lastRenderedPageBreak/>
        <w:t>---</w:t>
      </w:r>
    </w:p>
    <w:p w14:paraId="29B9255B" w14:textId="731DFCD9" w:rsidR="000041BA" w:rsidRDefault="000041BA" w:rsidP="000041BA">
      <w:r w:rsidRPr="000041BA">
        <w:t>Chronic obstructive pulmonary disease – diagnosis and management ACG</w:t>
      </w:r>
    </w:p>
    <w:p w14:paraId="481063F1" w14:textId="77777777" w:rsidR="000041BA" w:rsidRDefault="000041BA" w:rsidP="000041BA">
      <w:pPr>
        <w:pStyle w:val="ListParagraph"/>
        <w:numPr>
          <w:ilvl w:val="0"/>
          <w:numId w:val="9"/>
        </w:numPr>
      </w:pPr>
      <w:r>
        <w:t>Suspect chronic obstructive pulmonary disease (COPD) in any patient with at least one relevant symptom and risk factor.</w:t>
      </w:r>
    </w:p>
    <w:p w14:paraId="37D6E9BF" w14:textId="77777777" w:rsidR="000041BA" w:rsidRDefault="000041BA" w:rsidP="000041BA">
      <w:pPr>
        <w:pStyle w:val="ListParagraph"/>
        <w:numPr>
          <w:ilvl w:val="0"/>
          <w:numId w:val="9"/>
        </w:numPr>
      </w:pPr>
      <w:r>
        <w:t>Diagnose COPD in patients with relevant symptoms and risk factors who have airflow obstruction detected via spirometry (post</w:t>
      </w:r>
      <w:r w:rsidRPr="000041BA">
        <w:rPr>
          <w:rFonts w:ascii="Cambria Math" w:hAnsi="Cambria Math" w:cs="Cambria Math"/>
        </w:rPr>
        <w:t>‐</w:t>
      </w:r>
      <w:r>
        <w:t>bronchodilator FEV1/FVC &lt;0.7).</w:t>
      </w:r>
    </w:p>
    <w:p w14:paraId="4AD20C05" w14:textId="77777777" w:rsidR="000041BA" w:rsidRDefault="000041BA" w:rsidP="000041BA">
      <w:pPr>
        <w:pStyle w:val="ListParagraph"/>
        <w:numPr>
          <w:ilvl w:val="0"/>
          <w:numId w:val="9"/>
        </w:numPr>
      </w:pPr>
      <w:r>
        <w:t>Regularly assess symptoms and exacerbation risk for all patients with COPD.</w:t>
      </w:r>
    </w:p>
    <w:p w14:paraId="7723E82A" w14:textId="77777777" w:rsidR="000041BA" w:rsidRDefault="000041BA" w:rsidP="000041BA">
      <w:pPr>
        <w:pStyle w:val="ListParagraph"/>
        <w:numPr>
          <w:ilvl w:val="0"/>
          <w:numId w:val="9"/>
        </w:numPr>
      </w:pPr>
      <w:r>
        <w:t>Explain the benefits of smoking cessation on COPD progression and strongly encourage those who smoke to quit.</w:t>
      </w:r>
    </w:p>
    <w:p w14:paraId="378E96FC" w14:textId="77777777" w:rsidR="000041BA" w:rsidRDefault="000041BA" w:rsidP="000041BA">
      <w:pPr>
        <w:pStyle w:val="ListParagraph"/>
        <w:numPr>
          <w:ilvl w:val="0"/>
          <w:numId w:val="9"/>
        </w:numPr>
      </w:pPr>
      <w:r>
        <w:t>Start bronchodilator treatment, preferably a long-acting bronchodilator, for patients with infrequent or less intense symptoms and lower risk of exacerbation.</w:t>
      </w:r>
    </w:p>
    <w:p w14:paraId="74430175" w14:textId="77777777" w:rsidR="000041BA" w:rsidRDefault="000041BA" w:rsidP="000041BA">
      <w:pPr>
        <w:pStyle w:val="ListParagraph"/>
        <w:numPr>
          <w:ilvl w:val="0"/>
          <w:numId w:val="9"/>
        </w:numPr>
      </w:pPr>
      <w:r>
        <w:t>Start dual bronchodilator therapy with long-acting muscarinic antagonist (LAMA) + long-acting beta2-agonist (LABA) for patients with frequent or intense COPD symptoms, or a higher risk of exacerbations.</w:t>
      </w:r>
    </w:p>
    <w:p w14:paraId="499BE362" w14:textId="77777777" w:rsidR="000041BA" w:rsidRDefault="000041BA" w:rsidP="000041BA">
      <w:pPr>
        <w:pStyle w:val="ListParagraph"/>
        <w:numPr>
          <w:ilvl w:val="0"/>
          <w:numId w:val="9"/>
        </w:numPr>
      </w:pPr>
      <w:r>
        <w:t>Consider triple therapy with LAMA + LABA + inhaled corticosteroid (ICS) for patients with frequent COPD exacerbations and eosinophilia.</w:t>
      </w:r>
    </w:p>
    <w:p w14:paraId="41BF0820" w14:textId="7C6F066E" w:rsidR="000041BA" w:rsidRDefault="000041BA" w:rsidP="000041BA">
      <w:pPr>
        <w:pStyle w:val="ListParagraph"/>
        <w:numPr>
          <w:ilvl w:val="0"/>
          <w:numId w:val="9"/>
        </w:numPr>
      </w:pPr>
      <w:r>
        <w:t>Assess inhaler technique and medication adherence at every visit and provide support to ensure optimal benefits from medications.</w:t>
      </w:r>
    </w:p>
    <w:p w14:paraId="61393988" w14:textId="007B43E3" w:rsidR="000041BA" w:rsidRDefault="000041BA" w:rsidP="000041BA">
      <w:r>
        <w:rPr>
          <w:rFonts w:hint="eastAsia"/>
        </w:rPr>
        <w:t>---</w:t>
      </w:r>
    </w:p>
    <w:p w14:paraId="46C33A0C" w14:textId="5BE94329" w:rsidR="000041BA" w:rsidRDefault="000041BA" w:rsidP="000041BA">
      <w:pPr>
        <w:rPr>
          <w:lang w:val="en-US"/>
        </w:rPr>
      </w:pPr>
      <w:r w:rsidRPr="000041BA">
        <w:rPr>
          <w:lang w:val="en-US"/>
        </w:rPr>
        <w:t>Initiating basal insulin in type 2 diabetes mellitus ACG</w:t>
      </w:r>
    </w:p>
    <w:p w14:paraId="2A6B02BE" w14:textId="77777777" w:rsidR="000041BA" w:rsidRDefault="000041BA" w:rsidP="000041BA">
      <w:pPr>
        <w:pStyle w:val="ListParagraph"/>
        <w:numPr>
          <w:ilvl w:val="0"/>
          <w:numId w:val="10"/>
        </w:numPr>
      </w:pPr>
      <w:r>
        <w:t>Start basal insulin if glycaemic targets are not met despite optimal treatment with non-insulin T2DM medications.</w:t>
      </w:r>
    </w:p>
    <w:p w14:paraId="6654F449" w14:textId="77777777" w:rsidR="000041BA" w:rsidRDefault="000041BA" w:rsidP="000041BA">
      <w:pPr>
        <w:pStyle w:val="ListParagraph"/>
        <w:numPr>
          <w:ilvl w:val="0"/>
          <w:numId w:val="10"/>
        </w:numPr>
      </w:pPr>
      <w:r>
        <w:t>Review concomitant T2DM medications when starting basal insulin and continue them at the current or lower dose where appropriate.</w:t>
      </w:r>
    </w:p>
    <w:p w14:paraId="252B47C0" w14:textId="642C7660" w:rsidR="000041BA" w:rsidRDefault="000041BA" w:rsidP="000041BA">
      <w:pPr>
        <w:pStyle w:val="ListParagraph"/>
        <w:numPr>
          <w:ilvl w:val="0"/>
          <w:numId w:val="10"/>
        </w:numPr>
      </w:pPr>
      <w:r>
        <w:t>Educate patients and their caregivers on how to use insulin safely and effectively, including how to prevent and manage hypoglycaemia.</w:t>
      </w:r>
    </w:p>
    <w:p w14:paraId="42D80E84" w14:textId="26CF819F" w:rsidR="000041BA" w:rsidRDefault="000041BA" w:rsidP="000041BA">
      <w:r>
        <w:t>---</w:t>
      </w:r>
    </w:p>
    <w:p w14:paraId="4FECCE8B" w14:textId="7876815C" w:rsidR="000041BA" w:rsidRDefault="000041BA" w:rsidP="000041BA">
      <w:r w:rsidRPr="000041BA">
        <w:t>Foot assessment in patients with diabetes mellitus ACG</w:t>
      </w:r>
    </w:p>
    <w:p w14:paraId="5523DBDA" w14:textId="77777777" w:rsidR="000041BA" w:rsidRDefault="000041BA" w:rsidP="000041BA">
      <w:pPr>
        <w:pStyle w:val="ListParagraph"/>
        <w:numPr>
          <w:ilvl w:val="0"/>
          <w:numId w:val="11"/>
        </w:numPr>
      </w:pPr>
      <w:r>
        <w:t>Check for presence of active diabetic foot conditions in all patients with diabetes mellitus.</w:t>
      </w:r>
    </w:p>
    <w:p w14:paraId="5BB62112" w14:textId="77777777" w:rsidR="000041BA" w:rsidRDefault="000041BA" w:rsidP="000041BA">
      <w:pPr>
        <w:pStyle w:val="ListParagraph"/>
        <w:numPr>
          <w:ilvl w:val="0"/>
          <w:numId w:val="11"/>
        </w:numPr>
      </w:pPr>
      <w:r>
        <w:t xml:space="preserve">Use foot assessment findings to determine the risk of developing a diabetic foot ulcer, corresponding review frequency, and need for referral. </w:t>
      </w:r>
    </w:p>
    <w:p w14:paraId="3BF31CD8" w14:textId="751F9870" w:rsidR="000041BA" w:rsidRDefault="000041BA" w:rsidP="000041BA">
      <w:pPr>
        <w:pStyle w:val="ListParagraph"/>
        <w:numPr>
          <w:ilvl w:val="0"/>
          <w:numId w:val="11"/>
        </w:numPr>
      </w:pPr>
      <w:r>
        <w:t>Educate all patients with diabetes mellitus regularly on lifestyle, regular foot assessment, foot care and appropriate footwear, to reduce risk of developing diabetic foot ulcers.</w:t>
      </w:r>
    </w:p>
    <w:p w14:paraId="03606871" w14:textId="184F064E" w:rsidR="000041BA" w:rsidRDefault="000041BA" w:rsidP="000041BA">
      <w:r>
        <w:lastRenderedPageBreak/>
        <w:t>---</w:t>
      </w:r>
    </w:p>
    <w:p w14:paraId="793C49D8" w14:textId="7DD688C8" w:rsidR="000041BA" w:rsidRDefault="000041BA" w:rsidP="000041BA">
      <w:r w:rsidRPr="000041BA">
        <w:t>Venous thromboembolism — treating with the appropriate anticoagulant and duration ACG</w:t>
      </w:r>
    </w:p>
    <w:p w14:paraId="7CED9B21" w14:textId="77777777" w:rsidR="000041BA" w:rsidRDefault="000041BA" w:rsidP="000041BA">
      <w:pPr>
        <w:pStyle w:val="ListParagraph"/>
        <w:numPr>
          <w:ilvl w:val="0"/>
          <w:numId w:val="12"/>
        </w:numPr>
      </w:pPr>
      <w:r>
        <w:t>Start anticoagulation as soon as possible for patients with confirmed proximal DVT or PE, unless contraindicated.</w:t>
      </w:r>
    </w:p>
    <w:p w14:paraId="42653E7E" w14:textId="77777777" w:rsidR="000041BA" w:rsidRDefault="000041BA" w:rsidP="000041BA">
      <w:pPr>
        <w:pStyle w:val="ListParagraph"/>
        <w:numPr>
          <w:ilvl w:val="0"/>
          <w:numId w:val="12"/>
        </w:numPr>
      </w:pPr>
      <w:r>
        <w:t>For patients from the general population, use a DOAC for at least 3 months as the preferred anticoagulant for VTE treatment; consider warfarin as an alternative if DOACs are not suitable.</w:t>
      </w:r>
    </w:p>
    <w:p w14:paraId="7F5F0D1A" w14:textId="411B4B34" w:rsidR="000041BA" w:rsidRDefault="000041BA" w:rsidP="000041BA">
      <w:pPr>
        <w:pStyle w:val="ListParagraph"/>
        <w:numPr>
          <w:ilvl w:val="0"/>
          <w:numId w:val="12"/>
        </w:numPr>
      </w:pPr>
      <w:r>
        <w:t xml:space="preserve">For patients with cancer needing VTE treatment, use apixaban, </w:t>
      </w:r>
      <w:proofErr w:type="spellStart"/>
      <w:r>
        <w:t>edoxaban</w:t>
      </w:r>
      <w:proofErr w:type="spellEnd"/>
      <w:r>
        <w:t>, rivaroxaban, or LMWH for the initial and treatment phases for at least 6 months; LMWH is preferred if the patient has gastrointestinal cancer.</w:t>
      </w:r>
    </w:p>
    <w:p w14:paraId="336051E0" w14:textId="7402D9DF" w:rsidR="000041BA" w:rsidRDefault="000041BA" w:rsidP="000041BA">
      <w:r>
        <w:t>---</w:t>
      </w:r>
    </w:p>
    <w:p w14:paraId="75737917" w14:textId="42C4809E" w:rsidR="000041BA" w:rsidRDefault="000041BA" w:rsidP="000041BA">
      <w:r w:rsidRPr="000041BA">
        <w:t>Lipid management: focus on cardiovascular risk ACG</w:t>
      </w:r>
    </w:p>
    <w:p w14:paraId="5D3415CA" w14:textId="77777777" w:rsidR="000041BA" w:rsidRDefault="000041BA" w:rsidP="000041BA">
      <w:pPr>
        <w:pStyle w:val="ListParagraph"/>
        <w:numPr>
          <w:ilvl w:val="0"/>
          <w:numId w:val="13"/>
        </w:numPr>
      </w:pPr>
      <w:r>
        <w:t>Assess overall CV risk to inform initial and ongoing management of hyperlipidaemia.</w:t>
      </w:r>
    </w:p>
    <w:p w14:paraId="3234DE7E" w14:textId="77777777" w:rsidR="000041BA" w:rsidRDefault="000041BA" w:rsidP="000041BA">
      <w:pPr>
        <w:pStyle w:val="ListParagraph"/>
        <w:numPr>
          <w:ilvl w:val="0"/>
          <w:numId w:val="13"/>
        </w:numPr>
      </w:pPr>
      <w:r>
        <w:t>Individualise management goals, including use of LDL-C targets, in the context of patient-specific risk factors.</w:t>
      </w:r>
    </w:p>
    <w:p w14:paraId="31486822" w14:textId="77777777" w:rsidR="000041BA" w:rsidRDefault="000041BA" w:rsidP="000041BA">
      <w:pPr>
        <w:pStyle w:val="ListParagraph"/>
        <w:numPr>
          <w:ilvl w:val="0"/>
          <w:numId w:val="13"/>
        </w:numPr>
      </w:pPr>
      <w:r>
        <w:t>Encourage and support healthy diet, physical activity, weight management, or smoking cessation, tailored to the patient’s circumstances.</w:t>
      </w:r>
    </w:p>
    <w:p w14:paraId="41CFAA75" w14:textId="77777777" w:rsidR="000041BA" w:rsidRDefault="000041BA" w:rsidP="000041BA">
      <w:pPr>
        <w:pStyle w:val="ListParagraph"/>
        <w:numPr>
          <w:ilvl w:val="0"/>
          <w:numId w:val="13"/>
        </w:numPr>
      </w:pPr>
      <w:r>
        <w:t>Select intensive lipid-lowering therapy, using maximally-tolerated statin and adding ezetimibe as needed, for patients with:</w:t>
      </w:r>
    </w:p>
    <w:p w14:paraId="56CB16A1" w14:textId="77777777" w:rsidR="000041BA" w:rsidRDefault="000041BA" w:rsidP="000041BA">
      <w:pPr>
        <w:pStyle w:val="ListParagraph"/>
        <w:numPr>
          <w:ilvl w:val="1"/>
          <w:numId w:val="13"/>
        </w:numPr>
      </w:pPr>
      <w:r>
        <w:t>Atherosclerotic cardiovascular disease (ASCVD);</w:t>
      </w:r>
    </w:p>
    <w:p w14:paraId="19FEA4ED" w14:textId="77777777" w:rsidR="000041BA" w:rsidRDefault="000041BA" w:rsidP="000041BA">
      <w:pPr>
        <w:pStyle w:val="ListParagraph"/>
        <w:numPr>
          <w:ilvl w:val="1"/>
          <w:numId w:val="13"/>
        </w:numPr>
      </w:pPr>
      <w:r>
        <w:t>Familial hypercholesterolaemia (FH).</w:t>
      </w:r>
    </w:p>
    <w:p w14:paraId="75845C36" w14:textId="1AF73D7D" w:rsidR="000041BA" w:rsidRDefault="000041BA" w:rsidP="000041BA">
      <w:pPr>
        <w:pStyle w:val="ListParagraph"/>
        <w:ind w:left="1440"/>
      </w:pPr>
      <w:r>
        <w:t xml:space="preserve">Consider adding a PCSK9 monoclonal antibody or </w:t>
      </w:r>
      <w:proofErr w:type="spellStart"/>
      <w:r>
        <w:t>inclisiran</w:t>
      </w:r>
      <w:proofErr w:type="spellEnd"/>
      <w:r>
        <w:t xml:space="preserve"> for further risk reduction based on LDL-C level and clinical need.</w:t>
      </w:r>
    </w:p>
    <w:p w14:paraId="71D26E16" w14:textId="77777777" w:rsidR="000041BA" w:rsidRDefault="000041BA" w:rsidP="000041BA">
      <w:pPr>
        <w:pStyle w:val="ListParagraph"/>
        <w:numPr>
          <w:ilvl w:val="0"/>
          <w:numId w:val="13"/>
        </w:numPr>
      </w:pPr>
      <w:r>
        <w:t>Select a statin for patients with diabetes mellitus (DM), chronic kidney disease (CKD), or high 10-year CV risk (&gt;20%). Consider adding ezetimibe for further risk reduction if needed.</w:t>
      </w:r>
    </w:p>
    <w:p w14:paraId="30D6468B" w14:textId="77777777" w:rsidR="000041BA" w:rsidRDefault="000041BA" w:rsidP="000041BA">
      <w:pPr>
        <w:pStyle w:val="ListParagraph"/>
        <w:numPr>
          <w:ilvl w:val="0"/>
          <w:numId w:val="13"/>
        </w:numPr>
      </w:pPr>
      <w:r>
        <w:t>Consider prescribing a statin for patients with 10-year CV risk between 10-20%, especially in the presence of risk enhancers.</w:t>
      </w:r>
    </w:p>
    <w:p w14:paraId="275D0269" w14:textId="77777777" w:rsidR="000041BA" w:rsidRDefault="000041BA" w:rsidP="000041BA">
      <w:pPr>
        <w:pStyle w:val="ListParagraph"/>
        <w:numPr>
          <w:ilvl w:val="0"/>
          <w:numId w:val="13"/>
        </w:numPr>
      </w:pPr>
      <w:r>
        <w:t>Provide education and a lifestyle management plan for patients with 10-year CV risk below 10%; consider assessing risk enhancers for patients with borderline risk to discuss the clinical need for a statin.</w:t>
      </w:r>
    </w:p>
    <w:p w14:paraId="36324DA9" w14:textId="77777777" w:rsidR="000041BA" w:rsidRDefault="000041BA" w:rsidP="000041BA">
      <w:pPr>
        <w:pStyle w:val="ListParagraph"/>
        <w:numPr>
          <w:ilvl w:val="0"/>
          <w:numId w:val="13"/>
        </w:numPr>
      </w:pPr>
      <w:r>
        <w:t>For patients with elevated triglycerides (TG):</w:t>
      </w:r>
    </w:p>
    <w:p w14:paraId="42DA2C3A" w14:textId="77777777" w:rsidR="000041BA" w:rsidRDefault="000041BA" w:rsidP="000041BA">
      <w:pPr>
        <w:pStyle w:val="ListParagraph"/>
        <w:numPr>
          <w:ilvl w:val="1"/>
          <w:numId w:val="13"/>
        </w:numPr>
      </w:pPr>
      <w:r>
        <w:t>Assess and manage lifestyle-related and secondary causes;</w:t>
      </w:r>
    </w:p>
    <w:p w14:paraId="46DF931F" w14:textId="77777777" w:rsidR="000041BA" w:rsidRDefault="000041BA" w:rsidP="000041BA">
      <w:pPr>
        <w:pStyle w:val="ListParagraph"/>
        <w:numPr>
          <w:ilvl w:val="1"/>
          <w:numId w:val="13"/>
        </w:numPr>
      </w:pPr>
      <w:r>
        <w:t>At higher levels exceeding 4.5 mmol/L (400 mg/dL), consider fibrates to lower the risk of pancreatitis.</w:t>
      </w:r>
    </w:p>
    <w:p w14:paraId="346B5729" w14:textId="0A1BF53D" w:rsidR="000041BA" w:rsidRDefault="000041BA" w:rsidP="000041BA">
      <w:pPr>
        <w:pStyle w:val="ListParagraph"/>
        <w:numPr>
          <w:ilvl w:val="0"/>
          <w:numId w:val="13"/>
        </w:numPr>
      </w:pPr>
      <w:r>
        <w:lastRenderedPageBreak/>
        <w:t>Encourage statin adherence by providing patient education, managing adverse effects, and optimising treatment to improve tolerability as needed.</w:t>
      </w:r>
    </w:p>
    <w:p w14:paraId="369B1F9E" w14:textId="3FF390C1" w:rsidR="000041BA" w:rsidRDefault="000041BA" w:rsidP="000041BA">
      <w:r>
        <w:t>---</w:t>
      </w:r>
    </w:p>
    <w:p w14:paraId="20E388F3" w14:textId="56C3797F" w:rsidR="000041BA" w:rsidRDefault="00991494" w:rsidP="000041BA">
      <w:r w:rsidRPr="00991494">
        <w:t>Hypertension – tailoring the management plan to optimise blood pressure control ACG</w:t>
      </w:r>
    </w:p>
    <w:p w14:paraId="7B384843" w14:textId="77777777" w:rsidR="00991494" w:rsidRDefault="00991494" w:rsidP="00991494">
      <w:pPr>
        <w:pStyle w:val="ListParagraph"/>
        <w:numPr>
          <w:ilvl w:val="0"/>
          <w:numId w:val="14"/>
        </w:numPr>
      </w:pPr>
      <w:r>
        <w:t>Include cardiovascular risk assessment to inform management options for patients with elevated BP.</w:t>
      </w:r>
    </w:p>
    <w:p w14:paraId="3939261B" w14:textId="77777777" w:rsidR="00991494" w:rsidRDefault="00991494" w:rsidP="00991494">
      <w:pPr>
        <w:pStyle w:val="ListParagraph"/>
        <w:numPr>
          <w:ilvl w:val="0"/>
          <w:numId w:val="14"/>
        </w:numPr>
      </w:pPr>
      <w:r>
        <w:t>Use an ACE inhibitor, ARB, or CCB as first-line antihypertensive medications; consider thiazide/thiazide-like diuretics as alternative first-line if indicated.</w:t>
      </w:r>
    </w:p>
    <w:p w14:paraId="6077A5B6" w14:textId="77777777" w:rsidR="00991494" w:rsidRDefault="00991494" w:rsidP="00991494">
      <w:pPr>
        <w:pStyle w:val="ListParagraph"/>
        <w:numPr>
          <w:ilvl w:val="0"/>
          <w:numId w:val="14"/>
        </w:numPr>
      </w:pPr>
      <w:r>
        <w:t>Avoid initiating beta blockers (BBs) as first-line monotherapy for BP control unless BB use is expected to have favourable effect on patient comorbidities.</w:t>
      </w:r>
    </w:p>
    <w:p w14:paraId="691D1107" w14:textId="77777777" w:rsidR="00991494" w:rsidRDefault="00991494" w:rsidP="00991494">
      <w:pPr>
        <w:pStyle w:val="ListParagraph"/>
        <w:numPr>
          <w:ilvl w:val="0"/>
          <w:numId w:val="14"/>
        </w:numPr>
      </w:pPr>
      <w:r>
        <w:t>Consider initiating low dose dual therapy from two different antihypertensive medication classes based on required BP reduction and cardiovascular risk.</w:t>
      </w:r>
    </w:p>
    <w:p w14:paraId="1B23388D" w14:textId="77777777" w:rsidR="00991494" w:rsidRDefault="00991494" w:rsidP="00991494">
      <w:pPr>
        <w:pStyle w:val="ListParagraph"/>
        <w:numPr>
          <w:ilvl w:val="0"/>
          <w:numId w:val="14"/>
        </w:numPr>
      </w:pPr>
      <w:r>
        <w:t>Intensify antihypertensive medications to optimise BP control if response to initial treatment is not achieved as expected (e.g. within three months).</w:t>
      </w:r>
    </w:p>
    <w:p w14:paraId="684684EE" w14:textId="313D2821" w:rsidR="00991494" w:rsidRDefault="00991494" w:rsidP="00991494">
      <w:pPr>
        <w:pStyle w:val="ListParagraph"/>
        <w:numPr>
          <w:ilvl w:val="0"/>
          <w:numId w:val="14"/>
        </w:numPr>
      </w:pPr>
      <w:r>
        <w:t>Follow up all patients with hypertension at least every six months, with more frequent review as needed.</w:t>
      </w:r>
    </w:p>
    <w:p w14:paraId="75388B08" w14:textId="0161EC92" w:rsidR="00991494" w:rsidRDefault="00991494" w:rsidP="00991494">
      <w:r>
        <w:t>---</w:t>
      </w:r>
    </w:p>
    <w:p w14:paraId="0C709905" w14:textId="0D7A54AF" w:rsidR="00991494" w:rsidRDefault="00991494" w:rsidP="00991494">
      <w:r w:rsidRPr="00991494">
        <w:t>Gout — achieving the management goal ACG</w:t>
      </w:r>
    </w:p>
    <w:p w14:paraId="0186FA85" w14:textId="77777777" w:rsidR="00991494" w:rsidRDefault="00991494" w:rsidP="00991494">
      <w:pPr>
        <w:pStyle w:val="ListParagraph"/>
        <w:numPr>
          <w:ilvl w:val="0"/>
          <w:numId w:val="15"/>
        </w:numPr>
      </w:pPr>
      <w:r>
        <w:t>Initiate urate-lowering therapy (ULT) for patients who meet the ULT treatment criteria, starting at a low dose and slowly titrating upwards as needed.</w:t>
      </w:r>
    </w:p>
    <w:p w14:paraId="32456050" w14:textId="77777777" w:rsidR="00991494" w:rsidRDefault="00991494" w:rsidP="00991494">
      <w:pPr>
        <w:pStyle w:val="ListParagraph"/>
        <w:numPr>
          <w:ilvl w:val="0"/>
          <w:numId w:val="15"/>
        </w:numPr>
      </w:pPr>
      <w:r>
        <w:t>Provide prophylaxis with colchicine; if colchicine is not suitable, consider a low-dose oral nonsteroidal anti-inflammatory drug (NSAID), or a low-dose oral corticosteroid if NSAIDs are not suitable.</w:t>
      </w:r>
    </w:p>
    <w:p w14:paraId="2A8CA60C" w14:textId="77777777" w:rsidR="00991494" w:rsidRDefault="00991494" w:rsidP="00991494">
      <w:pPr>
        <w:pStyle w:val="ListParagraph"/>
        <w:numPr>
          <w:ilvl w:val="0"/>
          <w:numId w:val="15"/>
        </w:numPr>
      </w:pPr>
      <w:r>
        <w:t>Mitigate the risk of developing severe cutaneous adverse reactions (SCARs) and provide counselling on SCAR monitoring for patients on allopurinol or febuxostat.</w:t>
      </w:r>
    </w:p>
    <w:p w14:paraId="0C5C94D1" w14:textId="70CAD630" w:rsidR="00991494" w:rsidRDefault="00991494" w:rsidP="00991494">
      <w:pPr>
        <w:pStyle w:val="ListParagraph"/>
        <w:numPr>
          <w:ilvl w:val="0"/>
          <w:numId w:val="15"/>
        </w:numPr>
      </w:pPr>
      <w:r>
        <w:t>Manage acute flares as soon as possible, including treatment with colchicine, NSAIDs, or corticosteroids.</w:t>
      </w:r>
    </w:p>
    <w:p w14:paraId="2DA0521B" w14:textId="0CE3D8C4" w:rsidR="00991494" w:rsidRDefault="00991494" w:rsidP="00991494">
      <w:r>
        <w:t>---</w:t>
      </w:r>
    </w:p>
    <w:p w14:paraId="3569A788" w14:textId="3214FA16" w:rsidR="00991494" w:rsidRDefault="00991494" w:rsidP="00991494">
      <w:r w:rsidRPr="00991494">
        <w:t>Urinary tract infections — appropriate diagnosis and antibiotic use for uncomplicated cystitis and pyelonephritis ACG</w:t>
      </w:r>
    </w:p>
    <w:p w14:paraId="1F61795D" w14:textId="77777777" w:rsidR="00991494" w:rsidRDefault="00991494" w:rsidP="00991494">
      <w:pPr>
        <w:pStyle w:val="ListParagraph"/>
        <w:numPr>
          <w:ilvl w:val="0"/>
          <w:numId w:val="16"/>
        </w:numPr>
      </w:pPr>
      <w:r>
        <w:t>Avoid routinely screening for and treating asymptomatic bacteriuria.</w:t>
      </w:r>
    </w:p>
    <w:p w14:paraId="0C928A16" w14:textId="77777777" w:rsidR="00991494" w:rsidRDefault="00991494" w:rsidP="00991494">
      <w:pPr>
        <w:pStyle w:val="ListParagraph"/>
        <w:numPr>
          <w:ilvl w:val="0"/>
          <w:numId w:val="16"/>
        </w:numPr>
      </w:pPr>
      <w:r>
        <w:t>Diagnose uncomplicated cystitis based on history and presentation in patients with two or more typical signs or symptoms such as dysuria, frequency, urgency, or absence of vaginal discharge.</w:t>
      </w:r>
    </w:p>
    <w:p w14:paraId="6E139C4B" w14:textId="77777777" w:rsidR="00991494" w:rsidRDefault="00991494" w:rsidP="00991494">
      <w:pPr>
        <w:pStyle w:val="ListParagraph"/>
        <w:numPr>
          <w:ilvl w:val="0"/>
          <w:numId w:val="16"/>
        </w:numPr>
      </w:pPr>
      <w:r>
        <w:t xml:space="preserve">a. </w:t>
      </w:r>
      <w:r>
        <w:t>Conduct a urine dipstick test to confirm diagnosis of uncomplicated cystitis where there is uncertainty; and</w:t>
      </w:r>
    </w:p>
    <w:p w14:paraId="523F4BCD" w14:textId="7C24C6A0" w:rsidR="00991494" w:rsidRDefault="00991494" w:rsidP="00991494">
      <w:pPr>
        <w:pStyle w:val="ListParagraph"/>
      </w:pPr>
      <w:r>
        <w:t xml:space="preserve">b. </w:t>
      </w:r>
      <w:r>
        <w:t>Conduct a urine culture and sensitivity test for unresolved or recurrent cystitis.</w:t>
      </w:r>
    </w:p>
    <w:p w14:paraId="614BEC0F" w14:textId="77777777" w:rsidR="00991494" w:rsidRDefault="00991494" w:rsidP="00991494">
      <w:pPr>
        <w:pStyle w:val="ListParagraph"/>
        <w:numPr>
          <w:ilvl w:val="0"/>
          <w:numId w:val="16"/>
        </w:numPr>
      </w:pPr>
      <w:r>
        <w:lastRenderedPageBreak/>
        <w:t>Suspect uncomplicated pyelonephritis in patients presenting with sudden-onset flank pain or tenderness, particularly when accompanied by other systemic symptoms such as fever, nausea or vomiting.</w:t>
      </w:r>
    </w:p>
    <w:p w14:paraId="38ABED91" w14:textId="77777777" w:rsidR="00991494" w:rsidRDefault="00991494" w:rsidP="00991494">
      <w:pPr>
        <w:pStyle w:val="ListParagraph"/>
        <w:numPr>
          <w:ilvl w:val="0"/>
          <w:numId w:val="16"/>
        </w:numPr>
      </w:pPr>
      <w:r>
        <w:t>Conduct urine tests (dipstick or microscopy, plus culture and sensitivity) for all patients with suspected uncomplicated pyelonephritis to confirm diagnosis and guide management.</w:t>
      </w:r>
    </w:p>
    <w:p w14:paraId="36C59FA7" w14:textId="77777777" w:rsidR="00991494" w:rsidRDefault="00991494" w:rsidP="00991494">
      <w:pPr>
        <w:pStyle w:val="ListParagraph"/>
        <w:numPr>
          <w:ilvl w:val="0"/>
          <w:numId w:val="16"/>
        </w:numPr>
      </w:pPr>
      <w:r>
        <w:t xml:space="preserve">Prescribe nitrofurantoin empirically for uncomplicated cystitis; if nitrofurantoin is not suitable, prescribe amoxicillin-clavulanate or </w:t>
      </w:r>
      <w:proofErr w:type="spellStart"/>
      <w:r>
        <w:t>fosfomycin</w:t>
      </w:r>
      <w:proofErr w:type="spellEnd"/>
      <w:r>
        <w:t>.</w:t>
      </w:r>
    </w:p>
    <w:p w14:paraId="477DCD45" w14:textId="568AAA8D" w:rsidR="00991494" w:rsidRDefault="00991494" w:rsidP="00991494">
      <w:pPr>
        <w:pStyle w:val="ListParagraph"/>
        <w:numPr>
          <w:ilvl w:val="0"/>
          <w:numId w:val="16"/>
        </w:numPr>
      </w:pPr>
      <w:r>
        <w:t>Prescribe amoxicillin-clavulanate empirically for patients with uncomplicated pyelonephritis and tailor antibiotic choice accordingly when urine culture and sensitivity results are available; if amoxicillin-clavulanate is not suitable, consider cefuroxime as an alternative.</w:t>
      </w:r>
    </w:p>
    <w:p w14:paraId="3BF5196B" w14:textId="46027A54" w:rsidR="00991494" w:rsidRDefault="00991494" w:rsidP="00991494">
      <w:r>
        <w:t>---</w:t>
      </w:r>
    </w:p>
    <w:p w14:paraId="09330ECF" w14:textId="13D21A33" w:rsidR="00991494" w:rsidRDefault="00991494" w:rsidP="00991494">
      <w:r w:rsidRPr="00991494">
        <w:t>Oral anticoagulation for atrial fibrillation ACG</w:t>
      </w:r>
    </w:p>
    <w:p w14:paraId="576316B7" w14:textId="77777777" w:rsidR="00991494" w:rsidRDefault="00991494" w:rsidP="00991494">
      <w:pPr>
        <w:pStyle w:val="ListParagraph"/>
        <w:numPr>
          <w:ilvl w:val="0"/>
          <w:numId w:val="17"/>
        </w:numPr>
      </w:pPr>
      <w:r>
        <w:t>Estimate stroke risk for patients with AF and start OAC therapy for those with a modified CHA2DS2VASc score ≥ 2.</w:t>
      </w:r>
    </w:p>
    <w:p w14:paraId="0F6B613F" w14:textId="77777777" w:rsidR="00991494" w:rsidRDefault="00991494" w:rsidP="00991494">
      <w:pPr>
        <w:pStyle w:val="ListParagraph"/>
        <w:numPr>
          <w:ilvl w:val="0"/>
          <w:numId w:val="17"/>
        </w:numPr>
      </w:pPr>
      <w:r>
        <w:t>Choose a DOAC as the preferred OAC therapy for patients with AF, except for patients with mechanical heart valves or moderate-to-severe mitral stenosis for whom warfarin is the treatment of choice.</w:t>
      </w:r>
    </w:p>
    <w:p w14:paraId="257E5D8B" w14:textId="77777777" w:rsidR="00991494" w:rsidRDefault="00991494" w:rsidP="00991494">
      <w:pPr>
        <w:pStyle w:val="ListParagraph"/>
        <w:numPr>
          <w:ilvl w:val="0"/>
          <w:numId w:val="17"/>
        </w:numPr>
      </w:pPr>
      <w:r>
        <w:t>Conduct monitoring tests and relevant assessments to ensure the safe use of OAC therapy and to minimise bleeding risk.</w:t>
      </w:r>
    </w:p>
    <w:p w14:paraId="0D84A97F" w14:textId="7BD7650D" w:rsidR="00991494" w:rsidRDefault="00991494" w:rsidP="00991494">
      <w:pPr>
        <w:pStyle w:val="ListParagraph"/>
        <w:numPr>
          <w:ilvl w:val="0"/>
          <w:numId w:val="17"/>
        </w:numPr>
      </w:pPr>
      <w:r>
        <w:t>Reassess stroke risk and review the need for an OAC in patients who are not on OAC therapy at least annually, and when clinical circumstances change.</w:t>
      </w:r>
    </w:p>
    <w:p w14:paraId="19634C21" w14:textId="681525DB" w:rsidR="00991494" w:rsidRDefault="00991494" w:rsidP="00991494">
      <w:r>
        <w:t>---</w:t>
      </w:r>
    </w:p>
    <w:p w14:paraId="33257989" w14:textId="59DB3180" w:rsidR="00991494" w:rsidRDefault="00991494" w:rsidP="00991494">
      <w:r w:rsidRPr="00991494">
        <w:t>Chronic kidney disease — delaying progression and reducing cardiovascular complications ACG</w:t>
      </w:r>
    </w:p>
    <w:p w14:paraId="14163623" w14:textId="77777777" w:rsidR="00991494" w:rsidRDefault="00991494" w:rsidP="00991494">
      <w:pPr>
        <w:pStyle w:val="ListParagraph"/>
        <w:numPr>
          <w:ilvl w:val="0"/>
          <w:numId w:val="18"/>
        </w:numPr>
      </w:pPr>
      <w:r>
        <w:t>Personalise the management plan based on CKD stage, including underlying cause.</w:t>
      </w:r>
    </w:p>
    <w:p w14:paraId="33279177" w14:textId="77777777" w:rsidR="00991494" w:rsidRDefault="00991494" w:rsidP="00991494">
      <w:pPr>
        <w:pStyle w:val="ListParagraph"/>
        <w:numPr>
          <w:ilvl w:val="0"/>
          <w:numId w:val="18"/>
        </w:numPr>
      </w:pPr>
      <w:r>
        <w:t>Optimise blood pressure control and albuminuria management with an ACE inhibitor or ARB, and titrate to maximum tolerated dose as needed.</w:t>
      </w:r>
    </w:p>
    <w:p w14:paraId="10045747" w14:textId="77777777" w:rsidR="00991494" w:rsidRDefault="00991494" w:rsidP="00991494">
      <w:pPr>
        <w:pStyle w:val="ListParagraph"/>
        <w:numPr>
          <w:ilvl w:val="0"/>
          <w:numId w:val="18"/>
        </w:numPr>
      </w:pPr>
      <w:r>
        <w:t>Add an SGLT2 inhibitor to ACE inhibitor/ARB therapy for patients with CKD and persistent albuminuria, regardless of DM status.</w:t>
      </w:r>
    </w:p>
    <w:p w14:paraId="1194F87E" w14:textId="77777777" w:rsidR="00991494" w:rsidRDefault="00991494" w:rsidP="00991494">
      <w:pPr>
        <w:pStyle w:val="ListParagraph"/>
        <w:numPr>
          <w:ilvl w:val="0"/>
          <w:numId w:val="18"/>
        </w:numPr>
      </w:pPr>
      <w:r>
        <w:t>Optimise management of CKD-related comorbidities.</w:t>
      </w:r>
    </w:p>
    <w:p w14:paraId="1B0DA802" w14:textId="77777777" w:rsidR="00991494" w:rsidRDefault="00991494" w:rsidP="00991494">
      <w:pPr>
        <w:pStyle w:val="ListParagraph"/>
        <w:numPr>
          <w:ilvl w:val="0"/>
          <w:numId w:val="18"/>
        </w:numPr>
      </w:pPr>
      <w:r>
        <w:t>Encourage and provide education on lifestyle intervention through shared decision-making</w:t>
      </w:r>
    </w:p>
    <w:p w14:paraId="75F30AF9" w14:textId="77777777" w:rsidR="00991494" w:rsidRDefault="00991494" w:rsidP="00991494">
      <w:pPr>
        <w:pStyle w:val="ListParagraph"/>
        <w:numPr>
          <w:ilvl w:val="0"/>
          <w:numId w:val="18"/>
        </w:numPr>
      </w:pPr>
      <w:r>
        <w:t>Regularly follow up all patients with CKD, with more frequent review for those at increased risk of disease progression.</w:t>
      </w:r>
    </w:p>
    <w:p w14:paraId="612C2C1B" w14:textId="07F8DFC8" w:rsidR="00991494" w:rsidRDefault="00991494" w:rsidP="00991494">
      <w:pPr>
        <w:pStyle w:val="ListParagraph"/>
        <w:numPr>
          <w:ilvl w:val="0"/>
          <w:numId w:val="18"/>
        </w:numPr>
      </w:pPr>
      <w:r>
        <w:lastRenderedPageBreak/>
        <w:t>Consider shared or multidisciplinary care depending on CKD progression and other clinical needs.</w:t>
      </w:r>
    </w:p>
    <w:p w14:paraId="08375167" w14:textId="65674A2A" w:rsidR="00991494" w:rsidRDefault="00991494" w:rsidP="00991494">
      <w:r>
        <w:t>---</w:t>
      </w:r>
    </w:p>
    <w:p w14:paraId="60A26035" w14:textId="4EB44837" w:rsidR="00991494" w:rsidRDefault="00991494" w:rsidP="00991494">
      <w:r w:rsidRPr="00991494">
        <w:t>Type 2 diabetes mellitus — personalising management with non-insulin medications ACG</w:t>
      </w:r>
    </w:p>
    <w:p w14:paraId="7EC30C1B" w14:textId="77777777" w:rsidR="00991494" w:rsidRDefault="00991494" w:rsidP="00991494">
      <w:pPr>
        <w:pStyle w:val="ListParagraph"/>
        <w:numPr>
          <w:ilvl w:val="0"/>
          <w:numId w:val="19"/>
        </w:numPr>
      </w:pPr>
      <w:r>
        <w:t>Assess the patient’s glycaemic control and risk of adverse cardiorenal outcomes.</w:t>
      </w:r>
    </w:p>
    <w:p w14:paraId="1BB46611" w14:textId="77777777" w:rsidR="00991494" w:rsidRDefault="00991494" w:rsidP="00991494">
      <w:pPr>
        <w:pStyle w:val="ListParagraph"/>
        <w:numPr>
          <w:ilvl w:val="0"/>
          <w:numId w:val="19"/>
        </w:numPr>
      </w:pPr>
      <w:r>
        <w:t>Select and adjust T2DM medication(s) based on the patient’s glycaemic control and their risk of adverse cardiorenal outcomes.</w:t>
      </w:r>
    </w:p>
    <w:p w14:paraId="72BC5032" w14:textId="77777777" w:rsidR="00991494" w:rsidRDefault="00991494" w:rsidP="00991494">
      <w:pPr>
        <w:pStyle w:val="ListParagraph"/>
        <w:numPr>
          <w:ilvl w:val="0"/>
          <w:numId w:val="19"/>
        </w:numPr>
      </w:pPr>
      <w:r>
        <w:t>Consider metformin as first-line T2DM medication.</w:t>
      </w:r>
    </w:p>
    <w:p w14:paraId="3D5D8CF1" w14:textId="77777777" w:rsidR="00991494" w:rsidRDefault="00991494" w:rsidP="00991494">
      <w:pPr>
        <w:pStyle w:val="ListParagraph"/>
        <w:numPr>
          <w:ilvl w:val="0"/>
          <w:numId w:val="19"/>
        </w:numPr>
      </w:pPr>
      <w:r>
        <w:t>Consider prescribing an SGLT2 inhibitor or GLP-1 RA for patients with T2DM who need to reduce their risk of adverse cardiorenal outcomes.</w:t>
      </w:r>
    </w:p>
    <w:p w14:paraId="48F4E047" w14:textId="77777777" w:rsidR="00991494" w:rsidRDefault="00991494" w:rsidP="00991494">
      <w:pPr>
        <w:pStyle w:val="ListParagraph"/>
        <w:numPr>
          <w:ilvl w:val="0"/>
          <w:numId w:val="19"/>
        </w:numPr>
      </w:pPr>
      <w:r>
        <w:t>Adopt a patient-centred approach to make shared decisions on T2DM management.</w:t>
      </w:r>
    </w:p>
    <w:p w14:paraId="754CDEC1" w14:textId="77777777" w:rsidR="00991494" w:rsidRDefault="00991494" w:rsidP="00991494">
      <w:pPr>
        <w:pStyle w:val="ListParagraph"/>
        <w:numPr>
          <w:ilvl w:val="0"/>
          <w:numId w:val="19"/>
        </w:numPr>
      </w:pPr>
      <w:r>
        <w:t>Educate patients with T2DM on sustained lifestyle intervention, medication adherence, and regular review.</w:t>
      </w:r>
    </w:p>
    <w:p w14:paraId="7CA1EEF3" w14:textId="210A7F96" w:rsidR="00991494" w:rsidRDefault="00991494" w:rsidP="00991494">
      <w:pPr>
        <w:pStyle w:val="ListParagraph"/>
        <w:numPr>
          <w:ilvl w:val="0"/>
          <w:numId w:val="19"/>
        </w:numPr>
      </w:pPr>
      <w:r>
        <w:t>Review all patients with T2DM regularly, including treatment response and complication screening.</w:t>
      </w:r>
    </w:p>
    <w:p w14:paraId="72D2F475" w14:textId="6711DFA9" w:rsidR="00991494" w:rsidRDefault="00991494" w:rsidP="00991494">
      <w:r>
        <w:t>---</w:t>
      </w:r>
    </w:p>
    <w:p w14:paraId="25105FA8" w14:textId="4C523AB7" w:rsidR="00991494" w:rsidRDefault="00991494" w:rsidP="00991494">
      <w:r w:rsidRPr="00991494">
        <w:t>Chronic kidney disease — early detection ACG</w:t>
      </w:r>
    </w:p>
    <w:p w14:paraId="3FB5E59C" w14:textId="77777777" w:rsidR="00991494" w:rsidRDefault="00991494" w:rsidP="00991494">
      <w:pPr>
        <w:pStyle w:val="ListParagraph"/>
        <w:numPr>
          <w:ilvl w:val="0"/>
          <w:numId w:val="20"/>
        </w:numPr>
      </w:pPr>
      <w:r>
        <w:t>Identify patients at increased risk of CKD by assessing their risk factors and determine the need to evaluate for CKD.</w:t>
      </w:r>
    </w:p>
    <w:p w14:paraId="403664EB" w14:textId="77777777" w:rsidR="00991494" w:rsidRDefault="00991494" w:rsidP="00991494">
      <w:pPr>
        <w:pStyle w:val="ListParagraph"/>
        <w:numPr>
          <w:ilvl w:val="0"/>
          <w:numId w:val="20"/>
        </w:numPr>
      </w:pPr>
      <w:r>
        <w:t>Diagnose CKD if any of the following is present for at least three months:</w:t>
      </w:r>
    </w:p>
    <w:p w14:paraId="01CA5DA5" w14:textId="77777777" w:rsidR="00991494" w:rsidRDefault="00991494" w:rsidP="00991494">
      <w:pPr>
        <w:pStyle w:val="ListParagraph"/>
        <w:numPr>
          <w:ilvl w:val="1"/>
          <w:numId w:val="20"/>
        </w:numPr>
      </w:pPr>
      <w:r>
        <w:t>GFR &lt; 60 mL/min/1.73m2</w:t>
      </w:r>
    </w:p>
    <w:p w14:paraId="4B77475A" w14:textId="77777777" w:rsidR="00991494" w:rsidRDefault="00991494" w:rsidP="00991494">
      <w:pPr>
        <w:pStyle w:val="ListParagraph"/>
        <w:numPr>
          <w:ilvl w:val="1"/>
          <w:numId w:val="20"/>
        </w:numPr>
      </w:pPr>
      <w:r>
        <w:t>UACR ≥ 3 mg/mmol (≥ 30 mg/g)</w:t>
      </w:r>
    </w:p>
    <w:p w14:paraId="39F91B51" w14:textId="77777777" w:rsidR="00991494" w:rsidRDefault="00991494" w:rsidP="00991494">
      <w:pPr>
        <w:pStyle w:val="ListParagraph"/>
        <w:numPr>
          <w:ilvl w:val="1"/>
          <w:numId w:val="20"/>
        </w:numPr>
      </w:pPr>
      <w:r>
        <w:t>Other marker of kidney damage</w:t>
      </w:r>
    </w:p>
    <w:p w14:paraId="2499D82E" w14:textId="77777777" w:rsidR="00991494" w:rsidRDefault="00991494" w:rsidP="00991494">
      <w:pPr>
        <w:pStyle w:val="ListParagraph"/>
        <w:numPr>
          <w:ilvl w:val="0"/>
          <w:numId w:val="20"/>
        </w:numPr>
      </w:pPr>
      <w:r>
        <w:t>Determine the stage of CKD based on GFR, UACR, and the cause(s) of CKD.</w:t>
      </w:r>
    </w:p>
    <w:p w14:paraId="3D0729D0" w14:textId="77777777" w:rsidR="00991494" w:rsidRDefault="00991494" w:rsidP="00991494">
      <w:pPr>
        <w:pStyle w:val="ListParagraph"/>
        <w:numPr>
          <w:ilvl w:val="0"/>
          <w:numId w:val="20"/>
        </w:numPr>
      </w:pPr>
      <w:r>
        <w:t>For patients diagnosed with CKD, discuss the diagnosis and management options with the patient.</w:t>
      </w:r>
    </w:p>
    <w:p w14:paraId="56DBE6E1" w14:textId="77777777" w:rsidR="00991494" w:rsidRDefault="00991494" w:rsidP="00991494">
      <w:pPr>
        <w:pStyle w:val="ListParagraph"/>
        <w:numPr>
          <w:ilvl w:val="0"/>
          <w:numId w:val="20"/>
        </w:numPr>
      </w:pPr>
      <w:r>
        <w:t>For patients who do not have CKD but are at increased risk, monitor for CKD regularly.</w:t>
      </w:r>
    </w:p>
    <w:p w14:paraId="436C9CD9" w14:textId="4D35292B" w:rsidR="00991494" w:rsidRDefault="00991494" w:rsidP="00991494">
      <w:pPr>
        <w:pStyle w:val="ListParagraph"/>
        <w:numPr>
          <w:ilvl w:val="0"/>
          <w:numId w:val="20"/>
        </w:numPr>
      </w:pPr>
      <w:r>
        <w:t>Referral to a specialist could be made at any point.</w:t>
      </w:r>
    </w:p>
    <w:p w14:paraId="384C0CE6" w14:textId="55D9BA04" w:rsidR="00991494" w:rsidRDefault="00991494" w:rsidP="00991494">
      <w:r>
        <w:t>---</w:t>
      </w:r>
    </w:p>
    <w:p w14:paraId="59FBA3CC" w14:textId="39A2255D" w:rsidR="00991494" w:rsidRDefault="00991494" w:rsidP="00991494">
      <w:r w:rsidRPr="00991494">
        <w:t>When to order CT/MRI for headache ACG</w:t>
      </w:r>
    </w:p>
    <w:p w14:paraId="3C6DBE6E" w14:textId="77777777" w:rsidR="00991494" w:rsidRDefault="00991494" w:rsidP="00991494">
      <w:pPr>
        <w:pStyle w:val="ListParagraph"/>
        <w:numPr>
          <w:ilvl w:val="0"/>
          <w:numId w:val="21"/>
        </w:numPr>
      </w:pPr>
      <w:r>
        <w:t>Patients with migraine or TTH, without red flags: CT is not indicated; MRI is not indicated.</w:t>
      </w:r>
    </w:p>
    <w:p w14:paraId="592F57C1" w14:textId="77777777" w:rsidR="00991494" w:rsidRDefault="00991494" w:rsidP="00991494">
      <w:pPr>
        <w:pStyle w:val="ListParagraph"/>
        <w:numPr>
          <w:ilvl w:val="0"/>
          <w:numId w:val="21"/>
        </w:numPr>
      </w:pPr>
      <w:r>
        <w:lastRenderedPageBreak/>
        <w:t>Patients with cluster headache or other trigeminal autonomic cephalalgias, without red flags: CT may be indicated; MRI is indicated.</w:t>
      </w:r>
    </w:p>
    <w:p w14:paraId="08467723" w14:textId="77777777" w:rsidR="00991494" w:rsidRDefault="00991494" w:rsidP="00991494">
      <w:pPr>
        <w:pStyle w:val="ListParagraph"/>
        <w:numPr>
          <w:ilvl w:val="0"/>
          <w:numId w:val="21"/>
        </w:numPr>
      </w:pPr>
      <w:r>
        <w:t>Patients with sudden, severe headache: CT is indicated; MRI may be indicated.</w:t>
      </w:r>
    </w:p>
    <w:p w14:paraId="12551C09" w14:textId="77777777" w:rsidR="00991494" w:rsidRDefault="00991494" w:rsidP="00991494">
      <w:pPr>
        <w:pStyle w:val="ListParagraph"/>
        <w:numPr>
          <w:ilvl w:val="0"/>
          <w:numId w:val="21"/>
        </w:numPr>
      </w:pPr>
      <w:r>
        <w:t>Patients with headache and cancer or infection (suspected or known): CT may be indicated; MRI is indicated.</w:t>
      </w:r>
    </w:p>
    <w:p w14:paraId="66214016" w14:textId="77777777" w:rsidR="00991494" w:rsidRDefault="00991494" w:rsidP="00991494">
      <w:pPr>
        <w:pStyle w:val="ListParagraph"/>
        <w:numPr>
          <w:ilvl w:val="0"/>
          <w:numId w:val="21"/>
        </w:numPr>
      </w:pPr>
      <w:r>
        <w:t>Patients with post-traumatic headache: CT is indicated; MRI may be indicated.</w:t>
      </w:r>
    </w:p>
    <w:p w14:paraId="7D4A89D2" w14:textId="24A47C63" w:rsidR="00991494" w:rsidRDefault="00991494" w:rsidP="00991494">
      <w:pPr>
        <w:pStyle w:val="ListParagraph"/>
        <w:numPr>
          <w:ilvl w:val="0"/>
          <w:numId w:val="21"/>
        </w:numPr>
      </w:pPr>
      <w:r>
        <w:t>Patients with new headache accompanied by red flags, or with worsening headache: CT may be indicated; MRI is indicated.</w:t>
      </w:r>
    </w:p>
    <w:p w14:paraId="67F9A242" w14:textId="4361169E" w:rsidR="00991494" w:rsidRDefault="00991494" w:rsidP="00991494">
      <w:r>
        <w:t>---</w:t>
      </w:r>
    </w:p>
    <w:p w14:paraId="63FC8E63" w14:textId="67790026" w:rsidR="00991494" w:rsidRDefault="00991494" w:rsidP="00991494">
      <w:r w:rsidRPr="00991494">
        <w:t>Gestational diabetes mellitus — an update on screening, diagnosis, and follow-up ACG</w:t>
      </w:r>
    </w:p>
    <w:p w14:paraId="0FFD2FA5" w14:textId="77777777" w:rsidR="00991494" w:rsidRDefault="00991494" w:rsidP="00991494">
      <w:pPr>
        <w:pStyle w:val="ListParagraph"/>
        <w:numPr>
          <w:ilvl w:val="0"/>
          <w:numId w:val="22"/>
        </w:numPr>
      </w:pPr>
      <w:r>
        <w:t>During their first trimester, screen for pre-existing diabetes in women at increased risk of it using non-pregnancy glucose thresholds. If results are normal, re-evaluate women for gestational diabetes mellitus (GDM) at 24 to 28 weeks of gestation.</w:t>
      </w:r>
    </w:p>
    <w:p w14:paraId="7F197F97" w14:textId="77777777" w:rsidR="00991494" w:rsidRDefault="00991494" w:rsidP="00991494">
      <w:pPr>
        <w:pStyle w:val="ListParagraph"/>
        <w:numPr>
          <w:ilvl w:val="0"/>
          <w:numId w:val="22"/>
        </w:numPr>
      </w:pPr>
      <w:r>
        <w:t xml:space="preserve">At 24 to 28 weeks of gestation, screen all women for GDM using 3-point 75 g oral glucose tolerance test (OGTT) unless they have already been diagnosed with diabetes or pre-diabetes. </w:t>
      </w:r>
    </w:p>
    <w:p w14:paraId="49BACE9B" w14:textId="1040BBF8" w:rsidR="00991494" w:rsidRDefault="00991494" w:rsidP="00991494">
      <w:pPr>
        <w:pStyle w:val="ListParagraph"/>
        <w:numPr>
          <w:ilvl w:val="0"/>
          <w:numId w:val="22"/>
        </w:numPr>
      </w:pPr>
      <w:r>
        <w:t>At 6 to 12 weeks after delivery, reassess glycaemic status in women with diabetes diagnosed during pregnancy using 2-point 75 g OGTT. If results are normal, screen women with a history of diabetes diagnosed during pregnancy for diabetes every 1 to 3 years (ideally annually) from then on.</w:t>
      </w:r>
    </w:p>
    <w:p w14:paraId="5D6127F9" w14:textId="3CB0FCEE" w:rsidR="00991494" w:rsidRDefault="00991494" w:rsidP="00991494">
      <w:r>
        <w:t>---</w:t>
      </w:r>
    </w:p>
    <w:p w14:paraId="05C4FAF7" w14:textId="4237CCB8" w:rsidR="00991494" w:rsidRDefault="00991494" w:rsidP="00991494">
      <w:r w:rsidRPr="00991494">
        <w:t>Managing pre-diabetes — a growing health concern ACG</w:t>
      </w:r>
    </w:p>
    <w:p w14:paraId="5F12B8AC" w14:textId="77777777" w:rsidR="00991494" w:rsidRDefault="00991494" w:rsidP="00991494">
      <w:pPr>
        <w:pStyle w:val="ListParagraph"/>
        <w:numPr>
          <w:ilvl w:val="0"/>
          <w:numId w:val="23"/>
        </w:numPr>
      </w:pPr>
      <w:r>
        <w:t>Pre-diabetes is asymptomatic but puts a person at high risk of developing type 2 diabetes mellitus (T2DM) and cardiovascular disease (CVD).</w:t>
      </w:r>
    </w:p>
    <w:p w14:paraId="6C439312" w14:textId="77777777" w:rsidR="00991494" w:rsidRDefault="00991494" w:rsidP="00991494">
      <w:pPr>
        <w:pStyle w:val="ListParagraph"/>
        <w:numPr>
          <w:ilvl w:val="0"/>
          <w:numId w:val="23"/>
        </w:numPr>
      </w:pPr>
      <w:r>
        <w:t>Early diagnosis, appropriate management and follow-up help to prevent or delay T2DM in persons with pre-diabetes.</w:t>
      </w:r>
    </w:p>
    <w:p w14:paraId="776E0BA7" w14:textId="77777777" w:rsidR="00991494" w:rsidRDefault="00991494" w:rsidP="00991494">
      <w:pPr>
        <w:pStyle w:val="ListParagraph"/>
        <w:numPr>
          <w:ilvl w:val="0"/>
          <w:numId w:val="23"/>
        </w:numPr>
      </w:pPr>
      <w:r>
        <w:t>Recommend lifestyle intervention to all persons with pre-diabetes.</w:t>
      </w:r>
    </w:p>
    <w:p w14:paraId="53C1F815" w14:textId="77777777" w:rsidR="00991494" w:rsidRDefault="00991494" w:rsidP="00991494">
      <w:pPr>
        <w:pStyle w:val="ListParagraph"/>
        <w:numPr>
          <w:ilvl w:val="0"/>
          <w:numId w:val="23"/>
        </w:numPr>
      </w:pPr>
      <w:r>
        <w:t>Tailor lifestyle intervention to individual needs for sustained behavioural changes.</w:t>
      </w:r>
    </w:p>
    <w:p w14:paraId="5357258E" w14:textId="77777777" w:rsidR="00991494" w:rsidRDefault="00991494" w:rsidP="00991494">
      <w:pPr>
        <w:pStyle w:val="ListParagraph"/>
        <w:numPr>
          <w:ilvl w:val="0"/>
          <w:numId w:val="23"/>
        </w:numPr>
      </w:pPr>
      <w:r>
        <w:t>Consider metformin for persons with pre-diabetes when</w:t>
      </w:r>
    </w:p>
    <w:p w14:paraId="51488FF4" w14:textId="77777777" w:rsidR="00991494" w:rsidRDefault="00991494" w:rsidP="00991494">
      <w:pPr>
        <w:pStyle w:val="ListParagraph"/>
        <w:numPr>
          <w:ilvl w:val="1"/>
          <w:numId w:val="24"/>
        </w:numPr>
        <w:ind w:left="1276"/>
      </w:pPr>
      <w:r>
        <w:t>glycaemic status does not improve despite lifestyle intervention OR</w:t>
      </w:r>
    </w:p>
    <w:p w14:paraId="67C75589" w14:textId="77777777" w:rsidR="00991494" w:rsidRDefault="00991494" w:rsidP="00991494">
      <w:pPr>
        <w:pStyle w:val="ListParagraph"/>
        <w:numPr>
          <w:ilvl w:val="1"/>
          <w:numId w:val="24"/>
        </w:numPr>
        <w:ind w:left="1276"/>
      </w:pPr>
      <w:r>
        <w:t>they are unable to adopt lifestyle intervention,</w:t>
      </w:r>
    </w:p>
    <w:p w14:paraId="5082A7CB" w14:textId="65295710" w:rsidR="00991494" w:rsidRDefault="00991494" w:rsidP="00991494">
      <w:pPr>
        <w:pStyle w:val="ListParagraph"/>
      </w:pPr>
      <w:r>
        <w:t>especially if the persons outlined in the two points above have a body mass index (BMI) of ≥ 23 kg/m2, are younger than 60 years of age, or are women with a history of gestational diabetes.</w:t>
      </w:r>
    </w:p>
    <w:p w14:paraId="7EC3C54A" w14:textId="5444B49A" w:rsidR="00991494" w:rsidRDefault="00991494" w:rsidP="00991494">
      <w:r>
        <w:t>---</w:t>
      </w:r>
    </w:p>
    <w:p w14:paraId="7D7A43D3" w14:textId="442C0E9B" w:rsidR="00991494" w:rsidRDefault="00991494" w:rsidP="00991494">
      <w:r w:rsidRPr="00991494">
        <w:lastRenderedPageBreak/>
        <w:t>When not to order chest X-ray ACG</w:t>
      </w:r>
    </w:p>
    <w:p w14:paraId="0E62A1B5" w14:textId="77777777" w:rsidR="00991494" w:rsidRDefault="00991494" w:rsidP="00991494">
      <w:r>
        <w:t>Chest X-ray (CXR) is one of the most common imaging tests performed in clinical practice worldwide, including in Singapore. Its widespread use across various settings encompasses diverse indications. However, for most individuals with neither symptoms nor significant findings from history and physical examination suggesting that CXR may be required, current evidence shows that the test does not confer clinical benefits.</w:t>
      </w:r>
    </w:p>
    <w:p w14:paraId="78E24463" w14:textId="77777777" w:rsidR="00991494" w:rsidRDefault="00991494" w:rsidP="00991494">
      <w:r>
        <w:t>Clinical utility of CXR</w:t>
      </w:r>
    </w:p>
    <w:p w14:paraId="1B668D8B" w14:textId="11076845" w:rsidR="00991494" w:rsidRDefault="00991494" w:rsidP="00991494">
      <w:r>
        <w:t>The decision regarding whether to order CXR, like any clinical decision-making, involves weighing the expected benefits against the potential risks. The potential risks with CXR include adverse effects of radiation exposure and morbidity arising from investigation or management of incidental findings.</w:t>
      </w:r>
    </w:p>
    <w:p w14:paraId="4850BF79" w14:textId="4F83762B" w:rsidR="00991494" w:rsidRDefault="00991494" w:rsidP="00991494">
      <w:r>
        <w:t>CXR is typically not indicated for individuals with neither symptoms nor significant findings from history and physical examination suggesting a clinical need for it. In such instances, CXR is generally of low yield, not adding meaningful information to reliable history and physical examination</w:t>
      </w:r>
      <w:r>
        <w:t xml:space="preserve">. </w:t>
      </w:r>
      <w:r>
        <w:t>Conversely, CXR can be a helpful test when used in a targeted manner in response to an identified clinical need.</w:t>
      </w:r>
    </w:p>
    <w:p w14:paraId="5CCE64B7" w14:textId="77777777" w:rsidR="00991494" w:rsidRDefault="00991494" w:rsidP="00991494">
      <w:r>
        <w:t>This clinical guidance outlines some common clinical contexts in which CXR is unlikely to confer clinical benefits.</w:t>
      </w:r>
    </w:p>
    <w:p w14:paraId="3C0BBC50" w14:textId="77777777" w:rsidR="00EC55C9" w:rsidRDefault="00EC55C9" w:rsidP="00991494"/>
    <w:p w14:paraId="4DC84468" w14:textId="77777777" w:rsidR="00991494" w:rsidRDefault="00991494" w:rsidP="00991494">
      <w:r>
        <w:t>Recommendation 1: General medical examination: CXR may not be indicated</w:t>
      </w:r>
    </w:p>
    <w:p w14:paraId="16F5359B" w14:textId="2E9A6EDC" w:rsidR="00991494" w:rsidRDefault="00991494" w:rsidP="00991494">
      <w:r>
        <w:t>CXR is common as part of general medical examination, including for employment and admission into higher learning institutions.</w:t>
      </w:r>
      <w:r>
        <w:t xml:space="preserve"> </w:t>
      </w:r>
      <w:r>
        <w:t>Historically, the main reason for CXR in general medical examination has been to screen for possible underlying pathology, particularly active pulmonary tuberculosis (TB).</w:t>
      </w:r>
    </w:p>
    <w:p w14:paraId="58163D65" w14:textId="6A78A8F2" w:rsidR="00991494" w:rsidRDefault="00991494" w:rsidP="00991494">
      <w:r>
        <w:t>Current evidence points to CXR contributing little to detection of new TB cases in the absence of risk factors for or symptoms of active pulmonary TB. In line with this evidence, the World Health Organization (WHO) recommends targeted screening for active pulmonary TB, namely in individuals at higher risk of active pulmonary TB (such as those with human immunodeficiency virus (HIV) or close contacts of TB cases).</w:t>
      </w:r>
    </w:p>
    <w:p w14:paraId="683E2D78" w14:textId="77777777" w:rsidR="00991494" w:rsidRDefault="00991494" w:rsidP="00EC55C9">
      <w:r>
        <w:t>Other examples of targeted use of CXR as part of general medical examination in Singapore may include:</w:t>
      </w:r>
    </w:p>
    <w:p w14:paraId="3463565F" w14:textId="77777777" w:rsidR="00991494" w:rsidRDefault="00991494" w:rsidP="00EC55C9">
      <w:pPr>
        <w:pStyle w:val="ListParagraph"/>
        <w:numPr>
          <w:ilvl w:val="0"/>
          <w:numId w:val="26"/>
        </w:numPr>
      </w:pPr>
      <w:r>
        <w:t>Individuals undergoing pre-employment or pre-enrolment medical examination for certain jobs or courses, including those involving interaction with vulnerable populations (such as healthcare or early childhood education)</w:t>
      </w:r>
    </w:p>
    <w:p w14:paraId="61F54510" w14:textId="77777777" w:rsidR="00991494" w:rsidRDefault="00991494" w:rsidP="00EC55C9">
      <w:pPr>
        <w:pStyle w:val="ListParagraph"/>
        <w:numPr>
          <w:ilvl w:val="0"/>
          <w:numId w:val="26"/>
        </w:numPr>
      </w:pPr>
      <w:r>
        <w:t>Individuals employed for particular vocations (such as commercial divers or those with occupational exposure to respiratory hazards)</w:t>
      </w:r>
    </w:p>
    <w:p w14:paraId="19676CC1" w14:textId="710A6D48" w:rsidR="00991494" w:rsidRDefault="00991494" w:rsidP="00EC55C9">
      <w:pPr>
        <w:pStyle w:val="ListParagraph"/>
        <w:numPr>
          <w:ilvl w:val="0"/>
          <w:numId w:val="26"/>
        </w:numPr>
      </w:pPr>
      <w:r>
        <w:lastRenderedPageBreak/>
        <w:t>Foreigners applying for work pass, dependent pass, student pass, or long-term visit pass</w:t>
      </w:r>
    </w:p>
    <w:p w14:paraId="073C47FF" w14:textId="16F284F6" w:rsidR="00991494" w:rsidRDefault="00991494" w:rsidP="00EC55C9">
      <w:r>
        <w:t>Note on general medical examination in Singapore</w:t>
      </w:r>
    </w:p>
    <w:p w14:paraId="2EA2C2E7" w14:textId="77777777" w:rsidR="00991494" w:rsidRDefault="00991494" w:rsidP="00EC55C9">
      <w:r>
        <w:t>Individuals should be advised to check and adhere to prevailing medical examination requirements stipulated by the employer, admitting higher learning institution, or other relevant agencies (for example, Ministry of Manpower or Ministry of Education).</w:t>
      </w:r>
    </w:p>
    <w:p w14:paraId="351BD369" w14:textId="77777777" w:rsidR="00991494" w:rsidRDefault="00991494" w:rsidP="00EC55C9"/>
    <w:p w14:paraId="5E9A1279" w14:textId="77777777" w:rsidR="00991494" w:rsidRDefault="00991494" w:rsidP="00EC55C9">
      <w:r>
        <w:t>Recommendation 2: Preoperative testing: CXR may not be indicated</w:t>
      </w:r>
    </w:p>
    <w:p w14:paraId="7DA00A95" w14:textId="77777777" w:rsidR="00EC55C9" w:rsidRDefault="00991494" w:rsidP="00EC55C9">
      <w:r>
        <w:t>When there are no symptoms and no significant findings from history and physical examination suggesting that CXR may be required, CXR findings usually do not alter the management decision or clinical outcomes.</w:t>
      </w:r>
    </w:p>
    <w:p w14:paraId="073503A4" w14:textId="5834D36E" w:rsidR="00991494" w:rsidRDefault="00991494" w:rsidP="00EC55C9">
      <w:r>
        <w:t>CXR would still be useful for specific clinical presentations, with some examples below of targeted use of CXR for preoperative assessment:</w:t>
      </w:r>
    </w:p>
    <w:p w14:paraId="17D96480" w14:textId="77777777" w:rsidR="00991494" w:rsidRDefault="00991494" w:rsidP="00EC55C9">
      <w:pPr>
        <w:pStyle w:val="ListParagraph"/>
        <w:numPr>
          <w:ilvl w:val="0"/>
          <w:numId w:val="27"/>
        </w:numPr>
      </w:pPr>
      <w:r>
        <w:t>Chest-related surgery</w:t>
      </w:r>
    </w:p>
    <w:p w14:paraId="09F145A4" w14:textId="77777777" w:rsidR="00991494" w:rsidRDefault="00991494" w:rsidP="00EC55C9">
      <w:pPr>
        <w:pStyle w:val="ListParagraph"/>
        <w:numPr>
          <w:ilvl w:val="0"/>
          <w:numId w:val="27"/>
        </w:numPr>
      </w:pPr>
      <w:r>
        <w:t>Suspicion of acute or potentially unstable chronic cardiopulmonary disease</w:t>
      </w:r>
    </w:p>
    <w:p w14:paraId="08094E77" w14:textId="77777777" w:rsidR="00991494" w:rsidRDefault="00991494" w:rsidP="00EC55C9">
      <w:pPr>
        <w:pStyle w:val="ListParagraph"/>
        <w:numPr>
          <w:ilvl w:val="0"/>
          <w:numId w:val="27"/>
        </w:numPr>
      </w:pPr>
      <w:r>
        <w:t>Elderly patients (especially those aged 70 years and older)</w:t>
      </w:r>
    </w:p>
    <w:p w14:paraId="6813F34F" w14:textId="77777777" w:rsidR="00991494" w:rsidRDefault="00991494" w:rsidP="00EC55C9">
      <w:pPr>
        <w:pStyle w:val="ListParagraph"/>
        <w:numPr>
          <w:ilvl w:val="0"/>
          <w:numId w:val="27"/>
        </w:numPr>
      </w:pPr>
      <w:r>
        <w:t>Increased patient-related or procedure-related risk (such as history of cardiopulmonary disease, unreliable history or physical examination, high-risk surgery)</w:t>
      </w:r>
    </w:p>
    <w:p w14:paraId="71F4CCF9" w14:textId="77777777" w:rsidR="00EC55C9" w:rsidRDefault="00EC55C9" w:rsidP="00EC55C9"/>
    <w:p w14:paraId="6088C9EB" w14:textId="21EBE675" w:rsidR="00991494" w:rsidRDefault="00991494" w:rsidP="00EC55C9">
      <w:r>
        <w:t>Recommendation 3: Lung cancer screening: CXR is not indicated</w:t>
      </w:r>
    </w:p>
    <w:p w14:paraId="7AB724E5" w14:textId="44BBCC62" w:rsidR="00991494" w:rsidRDefault="00991494" w:rsidP="00EC55C9">
      <w:r>
        <w:t>Lung cancer screening is aimed at detecting lung cancer in individuals at higher risk of the disease before symptom onset. Not having adequate sensitivity or specificity as a lung cancer screening test, CXR has not been found to be beneficial in lung cancer screening. Low-dose computed tomography (CT) is the imaging modality and test of choice to screen for lung cancer in individuals at higher risk of the disease.</w:t>
      </w:r>
    </w:p>
    <w:p w14:paraId="522998EE" w14:textId="37B6BF09" w:rsidR="00991494" w:rsidRDefault="00EC55C9" w:rsidP="00EC55C9">
      <w:r>
        <w:t>---</w:t>
      </w:r>
    </w:p>
    <w:p w14:paraId="32E07DA6" w14:textId="0766D0DA" w:rsidR="00EC55C9" w:rsidRDefault="00EC55C9" w:rsidP="00EC55C9">
      <w:r w:rsidRPr="00EC55C9">
        <w:t>Asthma — optimising long-term management with inhaled corticosteroid ACG</w:t>
      </w:r>
    </w:p>
    <w:p w14:paraId="1D246822" w14:textId="77777777" w:rsidR="00EC55C9" w:rsidRDefault="00EC55C9" w:rsidP="00EC55C9">
      <w:pPr>
        <w:pStyle w:val="ListParagraph"/>
        <w:numPr>
          <w:ilvl w:val="0"/>
          <w:numId w:val="28"/>
        </w:numPr>
      </w:pPr>
      <w:r>
        <w:t>Regularly assess asthma symptoms and risk of poor asthma outcomes, including factors that can influence these.</w:t>
      </w:r>
    </w:p>
    <w:p w14:paraId="18BBA2AA" w14:textId="77777777" w:rsidR="00EC55C9" w:rsidRDefault="00EC55C9" w:rsidP="00EC55C9">
      <w:pPr>
        <w:pStyle w:val="ListParagraph"/>
        <w:numPr>
          <w:ilvl w:val="0"/>
          <w:numId w:val="28"/>
        </w:numPr>
      </w:pPr>
      <w:r>
        <w:t>Consider using a validated questionnaire to assess asthma symptoms.</w:t>
      </w:r>
    </w:p>
    <w:p w14:paraId="715C2414" w14:textId="77777777" w:rsidR="00EC55C9" w:rsidRDefault="00EC55C9" w:rsidP="00EC55C9">
      <w:pPr>
        <w:pStyle w:val="ListParagraph"/>
        <w:numPr>
          <w:ilvl w:val="0"/>
          <w:numId w:val="28"/>
        </w:numPr>
      </w:pPr>
      <w:r>
        <w:t>Assess factors influencing asthma symptoms or risk of poor asthma outcomes. These can be remembered with the acronym BREATHE.</w:t>
      </w:r>
    </w:p>
    <w:p w14:paraId="76E108AD" w14:textId="77777777" w:rsidR="00EC55C9" w:rsidRDefault="00EC55C9" w:rsidP="00EC55C9">
      <w:pPr>
        <w:pStyle w:val="ListParagraph"/>
        <w:numPr>
          <w:ilvl w:val="0"/>
          <w:numId w:val="28"/>
        </w:numPr>
      </w:pPr>
      <w:r>
        <w:t>Use inhaled corticosteroid as the mainstay of long-term asthma management.</w:t>
      </w:r>
    </w:p>
    <w:p w14:paraId="3216C6F7" w14:textId="77777777" w:rsidR="00EC55C9" w:rsidRDefault="00EC55C9" w:rsidP="00EC55C9">
      <w:pPr>
        <w:pStyle w:val="ListParagraph"/>
        <w:numPr>
          <w:ilvl w:val="0"/>
          <w:numId w:val="28"/>
        </w:numPr>
      </w:pPr>
      <w:r>
        <w:lastRenderedPageBreak/>
        <w:t>For patients aged 6 years and older, do not use short-acting beta2agonist alone (without a preventer) to treat asthma long term.</w:t>
      </w:r>
    </w:p>
    <w:p w14:paraId="2EDBBDC9" w14:textId="77777777" w:rsidR="00EC55C9" w:rsidRDefault="00EC55C9" w:rsidP="00EC55C9">
      <w:pPr>
        <w:pStyle w:val="ListParagraph"/>
        <w:numPr>
          <w:ilvl w:val="0"/>
          <w:numId w:val="28"/>
        </w:numPr>
      </w:pPr>
      <w:r>
        <w:t>Use a stepwise approach when selecting or adjusting preventer treatment for asthma (see Figure 2 on page 6).</w:t>
      </w:r>
    </w:p>
    <w:p w14:paraId="3F0C8982" w14:textId="77777777" w:rsidR="00EC55C9" w:rsidRDefault="00EC55C9" w:rsidP="00EC55C9">
      <w:pPr>
        <w:pStyle w:val="ListParagraph"/>
        <w:numPr>
          <w:ilvl w:val="0"/>
          <w:numId w:val="28"/>
        </w:numPr>
      </w:pPr>
      <w:r>
        <w:t>Educate all patients with asthma or their caregivers on how to self-manage.</w:t>
      </w:r>
    </w:p>
    <w:p w14:paraId="5F0410A0" w14:textId="77777777" w:rsidR="00EC55C9" w:rsidRDefault="00EC55C9" w:rsidP="00EC55C9">
      <w:pPr>
        <w:pStyle w:val="ListParagraph"/>
        <w:numPr>
          <w:ilvl w:val="0"/>
          <w:numId w:val="28"/>
        </w:numPr>
      </w:pPr>
      <w:r>
        <w:t>Regularly follow up all patients with asthma.</w:t>
      </w:r>
    </w:p>
    <w:p w14:paraId="203D92DF" w14:textId="39FEA025" w:rsidR="00EC55C9" w:rsidRDefault="00EC55C9" w:rsidP="00EC55C9">
      <w:pPr>
        <w:pStyle w:val="ListParagraph"/>
        <w:numPr>
          <w:ilvl w:val="0"/>
          <w:numId w:val="28"/>
        </w:numPr>
      </w:pPr>
      <w:r>
        <w:t>Referral to a specialist could be made at any point.</w:t>
      </w:r>
    </w:p>
    <w:p w14:paraId="46D642CC" w14:textId="2698B809" w:rsidR="00EC55C9" w:rsidRDefault="00EC55C9" w:rsidP="00EC55C9">
      <w:r>
        <w:t>---</w:t>
      </w:r>
    </w:p>
    <w:p w14:paraId="5F6F6FA5" w14:textId="2C2A04F6" w:rsidR="00EC55C9" w:rsidRDefault="00EC55C9" w:rsidP="00EC55C9">
      <w:pPr>
        <w:rPr>
          <w:lang w:val="en-US"/>
        </w:rPr>
      </w:pPr>
      <w:r w:rsidRPr="00EC55C9">
        <w:t>When to order MRI for low back pain ACG</w:t>
      </w:r>
    </w:p>
    <w:p w14:paraId="5E90AC86" w14:textId="77777777" w:rsidR="00EC55C9" w:rsidRDefault="00EC55C9" w:rsidP="00EC55C9">
      <w:pPr>
        <w:pStyle w:val="ListParagraph"/>
        <w:numPr>
          <w:ilvl w:val="0"/>
          <w:numId w:val="29"/>
        </w:numPr>
      </w:pPr>
      <w:r>
        <w:t>Patients with non-specific low back pain, with or without radicular symptoms: MRI is not indicated.</w:t>
      </w:r>
    </w:p>
    <w:p w14:paraId="6F377C33" w14:textId="77777777" w:rsidR="00EC55C9" w:rsidRDefault="00EC55C9" w:rsidP="00EC55C9">
      <w:pPr>
        <w:pStyle w:val="ListParagraph"/>
        <w:numPr>
          <w:ilvl w:val="0"/>
          <w:numId w:val="29"/>
        </w:numPr>
      </w:pPr>
      <w:r>
        <w:t>Patients with non-specific low back pain despite 4 to 6 weeks of conservative management: MRI may be indicated.</w:t>
      </w:r>
    </w:p>
    <w:p w14:paraId="3EA4A378" w14:textId="77777777" w:rsidR="00EC55C9" w:rsidRDefault="00EC55C9" w:rsidP="00EC55C9">
      <w:pPr>
        <w:pStyle w:val="ListParagraph"/>
        <w:numPr>
          <w:ilvl w:val="0"/>
          <w:numId w:val="29"/>
        </w:numPr>
      </w:pPr>
      <w:r>
        <w:t>Patients with low back pain and progressive neurological symptoms or signs: MRI is indicated.</w:t>
      </w:r>
    </w:p>
    <w:p w14:paraId="4D1FFE7F" w14:textId="77777777" w:rsidR="00EC55C9" w:rsidRDefault="00EC55C9" w:rsidP="00EC55C9">
      <w:pPr>
        <w:pStyle w:val="ListParagraph"/>
        <w:numPr>
          <w:ilvl w:val="0"/>
          <w:numId w:val="29"/>
        </w:numPr>
      </w:pPr>
      <w:r>
        <w:t>Patients with low back pain and suspected cauda equina syndrome: MRI is indicated.</w:t>
      </w:r>
    </w:p>
    <w:p w14:paraId="5F73280D" w14:textId="77777777" w:rsidR="00EC55C9" w:rsidRDefault="00EC55C9" w:rsidP="00EC55C9">
      <w:pPr>
        <w:pStyle w:val="ListParagraph"/>
        <w:numPr>
          <w:ilvl w:val="0"/>
          <w:numId w:val="29"/>
        </w:numPr>
      </w:pPr>
      <w:r>
        <w:t>Patients with low back pain and cancer or infection (suspected or known): MRI is indicated.</w:t>
      </w:r>
    </w:p>
    <w:p w14:paraId="0B7E9F16" w14:textId="5FD4535C" w:rsidR="00EC55C9" w:rsidRPr="00EC55C9" w:rsidRDefault="00EC55C9" w:rsidP="00EC55C9">
      <w:pPr>
        <w:pStyle w:val="ListParagraph"/>
        <w:numPr>
          <w:ilvl w:val="0"/>
          <w:numId w:val="29"/>
        </w:numPr>
      </w:pPr>
      <w:r>
        <w:t>Patients with new or progressive low back pain following an invasive procedure on the lumbar spine: MRI is indicated.</w:t>
      </w:r>
    </w:p>
    <w:sectPr w:rsidR="00EC55C9" w:rsidRPr="00EC5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A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3CF"/>
    <w:multiLevelType w:val="hybridMultilevel"/>
    <w:tmpl w:val="2EE21EF8"/>
    <w:lvl w:ilvl="0" w:tplc="0809000F">
      <w:start w:val="1"/>
      <w:numFmt w:val="decimal"/>
      <w:lvlText w:val="%1."/>
      <w:lvlJc w:val="left"/>
      <w:pPr>
        <w:ind w:left="720" w:hanging="360"/>
      </w:pPr>
    </w:lvl>
    <w:lvl w:ilvl="1" w:tplc="92E024FE">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9020BD"/>
    <w:multiLevelType w:val="hybridMultilevel"/>
    <w:tmpl w:val="30046E3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5A223F"/>
    <w:multiLevelType w:val="hybridMultilevel"/>
    <w:tmpl w:val="16200F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1954C6"/>
    <w:multiLevelType w:val="hybridMultilevel"/>
    <w:tmpl w:val="D6E4754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EA2500"/>
    <w:multiLevelType w:val="hybridMultilevel"/>
    <w:tmpl w:val="6D4C7CCC"/>
    <w:lvl w:ilvl="0" w:tplc="FFFFFFF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0C4B83"/>
    <w:multiLevelType w:val="hybridMultilevel"/>
    <w:tmpl w:val="34E0EF6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C0312F"/>
    <w:multiLevelType w:val="hybridMultilevel"/>
    <w:tmpl w:val="4F109A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65AED"/>
    <w:multiLevelType w:val="hybridMultilevel"/>
    <w:tmpl w:val="048A93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B77C68"/>
    <w:multiLevelType w:val="hybridMultilevel"/>
    <w:tmpl w:val="D2300AA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11724E"/>
    <w:multiLevelType w:val="hybridMultilevel"/>
    <w:tmpl w:val="E8C428B2"/>
    <w:lvl w:ilvl="0" w:tplc="FFFFFFFF">
      <w:start w:val="1"/>
      <w:numFmt w:val="decimal"/>
      <w:lvlText w:val="%1."/>
      <w:lvlJc w:val="left"/>
      <w:pPr>
        <w:ind w:left="720" w:hanging="360"/>
      </w:pPr>
    </w:lvl>
    <w:lvl w:ilvl="1" w:tplc="08090003">
      <w:start w:val="1"/>
      <w:numFmt w:val="bullet"/>
      <w:lvlText w:val="o"/>
      <w:lvlJc w:val="left"/>
      <w:pPr>
        <w:ind w:left="72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AB1AAF"/>
    <w:multiLevelType w:val="hybridMultilevel"/>
    <w:tmpl w:val="D38A07A6"/>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7A02C2"/>
    <w:multiLevelType w:val="hybridMultilevel"/>
    <w:tmpl w:val="12861E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55254D"/>
    <w:multiLevelType w:val="hybridMultilevel"/>
    <w:tmpl w:val="806417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B70EFA"/>
    <w:multiLevelType w:val="hybridMultilevel"/>
    <w:tmpl w:val="938CE92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931F7C"/>
    <w:multiLevelType w:val="hybridMultilevel"/>
    <w:tmpl w:val="F9FE12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20627E3"/>
    <w:multiLevelType w:val="hybridMultilevel"/>
    <w:tmpl w:val="E9BEA12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733BCC"/>
    <w:multiLevelType w:val="hybridMultilevel"/>
    <w:tmpl w:val="6394BF8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DD1CFC"/>
    <w:multiLevelType w:val="hybridMultilevel"/>
    <w:tmpl w:val="2D3CB3B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575053"/>
    <w:multiLevelType w:val="hybridMultilevel"/>
    <w:tmpl w:val="901C16A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4907D4"/>
    <w:multiLevelType w:val="hybridMultilevel"/>
    <w:tmpl w:val="008E9CC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DC5B95"/>
    <w:multiLevelType w:val="hybridMultilevel"/>
    <w:tmpl w:val="BDA4B7C2"/>
    <w:lvl w:ilvl="0" w:tplc="FFFFFFF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C2D00B9"/>
    <w:multiLevelType w:val="hybridMultilevel"/>
    <w:tmpl w:val="F042C19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F40E1C"/>
    <w:multiLevelType w:val="hybridMultilevel"/>
    <w:tmpl w:val="3862614E"/>
    <w:lvl w:ilvl="0" w:tplc="FFFFFFFF">
      <w:start w:val="1"/>
      <w:numFmt w:val="decimal"/>
      <w:lvlText w:val="%1."/>
      <w:lvlJc w:val="left"/>
      <w:pPr>
        <w:ind w:left="720" w:hanging="360"/>
      </w:pPr>
    </w:lvl>
    <w:lvl w:ilvl="1" w:tplc="08090003">
      <w:start w:val="1"/>
      <w:numFmt w:val="bullet"/>
      <w:lvlText w:val="o"/>
      <w:lvlJc w:val="left"/>
      <w:pPr>
        <w:ind w:left="72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965044"/>
    <w:multiLevelType w:val="hybridMultilevel"/>
    <w:tmpl w:val="FC5AA5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2A05249"/>
    <w:multiLevelType w:val="hybridMultilevel"/>
    <w:tmpl w:val="FA60D1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9A22784"/>
    <w:multiLevelType w:val="hybridMultilevel"/>
    <w:tmpl w:val="88BE629A"/>
    <w:lvl w:ilvl="0" w:tplc="0809000F">
      <w:start w:val="1"/>
      <w:numFmt w:val="decimal"/>
      <w:lvlText w:val="%1."/>
      <w:lvlJc w:val="left"/>
      <w:pPr>
        <w:ind w:left="720" w:hanging="360"/>
      </w:pPr>
    </w:lvl>
    <w:lvl w:ilvl="1" w:tplc="28A4899A">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0D97B94"/>
    <w:multiLevelType w:val="hybridMultilevel"/>
    <w:tmpl w:val="F336277A"/>
    <w:lvl w:ilvl="0" w:tplc="08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75D788A"/>
    <w:multiLevelType w:val="hybridMultilevel"/>
    <w:tmpl w:val="3120F16C"/>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466443"/>
    <w:multiLevelType w:val="hybridMultilevel"/>
    <w:tmpl w:val="AAD40F84"/>
    <w:lvl w:ilvl="0" w:tplc="08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58498681">
    <w:abstractNumId w:val="25"/>
  </w:num>
  <w:num w:numId="2" w16cid:durableId="559175167">
    <w:abstractNumId w:val="18"/>
  </w:num>
  <w:num w:numId="3" w16cid:durableId="552619238">
    <w:abstractNumId w:val="20"/>
  </w:num>
  <w:num w:numId="4" w16cid:durableId="670983392">
    <w:abstractNumId w:val="4"/>
  </w:num>
  <w:num w:numId="5" w16cid:durableId="1573810813">
    <w:abstractNumId w:val="2"/>
  </w:num>
  <w:num w:numId="6" w16cid:durableId="853376171">
    <w:abstractNumId w:val="1"/>
  </w:num>
  <w:num w:numId="7" w16cid:durableId="622885801">
    <w:abstractNumId w:val="21"/>
  </w:num>
  <w:num w:numId="8" w16cid:durableId="1802141283">
    <w:abstractNumId w:val="9"/>
  </w:num>
  <w:num w:numId="9" w16cid:durableId="489252528">
    <w:abstractNumId w:val="14"/>
  </w:num>
  <w:num w:numId="10" w16cid:durableId="10031590">
    <w:abstractNumId w:val="23"/>
  </w:num>
  <w:num w:numId="11" w16cid:durableId="950163042">
    <w:abstractNumId w:val="6"/>
  </w:num>
  <w:num w:numId="12" w16cid:durableId="1868592084">
    <w:abstractNumId w:val="24"/>
  </w:num>
  <w:num w:numId="13" w16cid:durableId="230388070">
    <w:abstractNumId w:val="11"/>
  </w:num>
  <w:num w:numId="14" w16cid:durableId="327053927">
    <w:abstractNumId w:val="12"/>
  </w:num>
  <w:num w:numId="15" w16cid:durableId="908610682">
    <w:abstractNumId w:val="7"/>
  </w:num>
  <w:num w:numId="16" w16cid:durableId="33576361">
    <w:abstractNumId w:val="0"/>
  </w:num>
  <w:num w:numId="17" w16cid:durableId="475219049">
    <w:abstractNumId w:val="8"/>
  </w:num>
  <w:num w:numId="18" w16cid:durableId="2054377941">
    <w:abstractNumId w:val="3"/>
  </w:num>
  <w:num w:numId="19" w16cid:durableId="356659544">
    <w:abstractNumId w:val="16"/>
  </w:num>
  <w:num w:numId="20" w16cid:durableId="167797482">
    <w:abstractNumId w:val="27"/>
  </w:num>
  <w:num w:numId="21" w16cid:durableId="1294210429">
    <w:abstractNumId w:val="5"/>
  </w:num>
  <w:num w:numId="22" w16cid:durableId="1759331543">
    <w:abstractNumId w:val="15"/>
  </w:num>
  <w:num w:numId="23" w16cid:durableId="264730332">
    <w:abstractNumId w:val="10"/>
  </w:num>
  <w:num w:numId="24" w16cid:durableId="124349881">
    <w:abstractNumId w:val="22"/>
  </w:num>
  <w:num w:numId="25" w16cid:durableId="969164846">
    <w:abstractNumId w:val="19"/>
  </w:num>
  <w:num w:numId="26" w16cid:durableId="691541389">
    <w:abstractNumId w:val="26"/>
  </w:num>
  <w:num w:numId="27" w16cid:durableId="947079838">
    <w:abstractNumId w:val="28"/>
  </w:num>
  <w:num w:numId="28" w16cid:durableId="643509929">
    <w:abstractNumId w:val="13"/>
  </w:num>
  <w:num w:numId="29" w16cid:durableId="8507985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BA"/>
    <w:rsid w:val="000041BA"/>
    <w:rsid w:val="00213E0E"/>
    <w:rsid w:val="006D59DC"/>
    <w:rsid w:val="007C138E"/>
    <w:rsid w:val="00870AC5"/>
    <w:rsid w:val="00991494"/>
    <w:rsid w:val="00BC2055"/>
    <w:rsid w:val="00EB4C0B"/>
    <w:rsid w:val="00EC55C9"/>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433A35F"/>
  <w15:chartTrackingRefBased/>
  <w15:docId w15:val="{52828E04-9032-B14C-9BAD-3819A091D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1BA"/>
    <w:rPr>
      <w:rFonts w:eastAsiaTheme="majorEastAsia" w:cstheme="majorBidi"/>
      <w:color w:val="272727" w:themeColor="text1" w:themeTint="D8"/>
    </w:rPr>
  </w:style>
  <w:style w:type="paragraph" w:styleId="Title">
    <w:name w:val="Title"/>
    <w:basedOn w:val="Normal"/>
    <w:next w:val="Normal"/>
    <w:link w:val="TitleChar"/>
    <w:uiPriority w:val="10"/>
    <w:qFormat/>
    <w:rsid w:val="00004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1BA"/>
    <w:pPr>
      <w:spacing w:before="160"/>
      <w:jc w:val="center"/>
    </w:pPr>
    <w:rPr>
      <w:i/>
      <w:iCs/>
      <w:color w:val="404040" w:themeColor="text1" w:themeTint="BF"/>
    </w:rPr>
  </w:style>
  <w:style w:type="character" w:customStyle="1" w:styleId="QuoteChar">
    <w:name w:val="Quote Char"/>
    <w:basedOn w:val="DefaultParagraphFont"/>
    <w:link w:val="Quote"/>
    <w:uiPriority w:val="29"/>
    <w:rsid w:val="000041BA"/>
    <w:rPr>
      <w:i/>
      <w:iCs/>
      <w:color w:val="404040" w:themeColor="text1" w:themeTint="BF"/>
    </w:rPr>
  </w:style>
  <w:style w:type="paragraph" w:styleId="ListParagraph">
    <w:name w:val="List Paragraph"/>
    <w:basedOn w:val="Normal"/>
    <w:uiPriority w:val="34"/>
    <w:qFormat/>
    <w:rsid w:val="000041BA"/>
    <w:pPr>
      <w:ind w:left="720"/>
      <w:contextualSpacing/>
    </w:pPr>
  </w:style>
  <w:style w:type="character" w:styleId="IntenseEmphasis">
    <w:name w:val="Intense Emphasis"/>
    <w:basedOn w:val="DefaultParagraphFont"/>
    <w:uiPriority w:val="21"/>
    <w:qFormat/>
    <w:rsid w:val="000041BA"/>
    <w:rPr>
      <w:i/>
      <w:iCs/>
      <w:color w:val="0F4761" w:themeColor="accent1" w:themeShade="BF"/>
    </w:rPr>
  </w:style>
  <w:style w:type="paragraph" w:styleId="IntenseQuote">
    <w:name w:val="Intense Quote"/>
    <w:basedOn w:val="Normal"/>
    <w:next w:val="Normal"/>
    <w:link w:val="IntenseQuoteChar"/>
    <w:uiPriority w:val="30"/>
    <w:qFormat/>
    <w:rsid w:val="00004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1BA"/>
    <w:rPr>
      <w:i/>
      <w:iCs/>
      <w:color w:val="0F4761" w:themeColor="accent1" w:themeShade="BF"/>
    </w:rPr>
  </w:style>
  <w:style w:type="character" w:styleId="IntenseReference">
    <w:name w:val="Intense Reference"/>
    <w:basedOn w:val="DefaultParagraphFont"/>
    <w:uiPriority w:val="32"/>
    <w:qFormat/>
    <w:rsid w:val="00004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5428">
      <w:bodyDiv w:val="1"/>
      <w:marLeft w:val="0"/>
      <w:marRight w:val="0"/>
      <w:marTop w:val="0"/>
      <w:marBottom w:val="0"/>
      <w:divBdr>
        <w:top w:val="none" w:sz="0" w:space="0" w:color="auto"/>
        <w:left w:val="none" w:sz="0" w:space="0" w:color="auto"/>
        <w:bottom w:val="none" w:sz="0" w:space="0" w:color="auto"/>
        <w:right w:val="none" w:sz="0" w:space="0" w:color="auto"/>
      </w:divBdr>
      <w:divsChild>
        <w:div w:id="1230267696">
          <w:marLeft w:val="0"/>
          <w:marRight w:val="0"/>
          <w:marTop w:val="0"/>
          <w:marBottom w:val="0"/>
          <w:divBdr>
            <w:top w:val="single" w:sz="2" w:space="0" w:color="E5E7EB"/>
            <w:left w:val="single" w:sz="2" w:space="0" w:color="E5E7EB"/>
            <w:bottom w:val="single" w:sz="2" w:space="0" w:color="E5E7EB"/>
            <w:right w:val="single" w:sz="2" w:space="0" w:color="E5E7EB"/>
          </w:divBdr>
          <w:divsChild>
            <w:div w:id="705563092">
              <w:marLeft w:val="0"/>
              <w:marRight w:val="0"/>
              <w:marTop w:val="0"/>
              <w:marBottom w:val="0"/>
              <w:divBdr>
                <w:top w:val="single" w:sz="2" w:space="0" w:color="E5E7EB"/>
                <w:left w:val="single" w:sz="2" w:space="0" w:color="E5E7EB"/>
                <w:bottom w:val="single" w:sz="2" w:space="0" w:color="E5E7EB"/>
                <w:right w:val="single" w:sz="2" w:space="0" w:color="E5E7EB"/>
              </w:divBdr>
              <w:divsChild>
                <w:div w:id="904874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5220667">
              <w:marLeft w:val="0"/>
              <w:marRight w:val="0"/>
              <w:marTop w:val="0"/>
              <w:marBottom w:val="0"/>
              <w:divBdr>
                <w:top w:val="single" w:sz="2" w:space="0" w:color="E5E7EB"/>
                <w:left w:val="single" w:sz="2" w:space="0" w:color="E5E7EB"/>
                <w:bottom w:val="single" w:sz="2" w:space="0" w:color="E5E7EB"/>
                <w:right w:val="single" w:sz="2" w:space="0" w:color="E5E7EB"/>
              </w:divBdr>
              <w:divsChild>
                <w:div w:id="23798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929771">
      <w:bodyDiv w:val="1"/>
      <w:marLeft w:val="0"/>
      <w:marRight w:val="0"/>
      <w:marTop w:val="0"/>
      <w:marBottom w:val="0"/>
      <w:divBdr>
        <w:top w:val="none" w:sz="0" w:space="0" w:color="auto"/>
        <w:left w:val="none" w:sz="0" w:space="0" w:color="auto"/>
        <w:bottom w:val="none" w:sz="0" w:space="0" w:color="auto"/>
        <w:right w:val="none" w:sz="0" w:space="0" w:color="auto"/>
      </w:divBdr>
    </w:div>
    <w:div w:id="91167310">
      <w:bodyDiv w:val="1"/>
      <w:marLeft w:val="0"/>
      <w:marRight w:val="0"/>
      <w:marTop w:val="0"/>
      <w:marBottom w:val="0"/>
      <w:divBdr>
        <w:top w:val="none" w:sz="0" w:space="0" w:color="auto"/>
        <w:left w:val="none" w:sz="0" w:space="0" w:color="auto"/>
        <w:bottom w:val="none" w:sz="0" w:space="0" w:color="auto"/>
        <w:right w:val="none" w:sz="0" w:space="0" w:color="auto"/>
      </w:divBdr>
    </w:div>
    <w:div w:id="149904728">
      <w:bodyDiv w:val="1"/>
      <w:marLeft w:val="0"/>
      <w:marRight w:val="0"/>
      <w:marTop w:val="0"/>
      <w:marBottom w:val="0"/>
      <w:divBdr>
        <w:top w:val="none" w:sz="0" w:space="0" w:color="auto"/>
        <w:left w:val="none" w:sz="0" w:space="0" w:color="auto"/>
        <w:bottom w:val="none" w:sz="0" w:space="0" w:color="auto"/>
        <w:right w:val="none" w:sz="0" w:space="0" w:color="auto"/>
      </w:divBdr>
    </w:div>
    <w:div w:id="193808879">
      <w:bodyDiv w:val="1"/>
      <w:marLeft w:val="0"/>
      <w:marRight w:val="0"/>
      <w:marTop w:val="0"/>
      <w:marBottom w:val="0"/>
      <w:divBdr>
        <w:top w:val="none" w:sz="0" w:space="0" w:color="auto"/>
        <w:left w:val="none" w:sz="0" w:space="0" w:color="auto"/>
        <w:bottom w:val="none" w:sz="0" w:space="0" w:color="auto"/>
        <w:right w:val="none" w:sz="0" w:space="0" w:color="auto"/>
      </w:divBdr>
    </w:div>
    <w:div w:id="308173015">
      <w:bodyDiv w:val="1"/>
      <w:marLeft w:val="0"/>
      <w:marRight w:val="0"/>
      <w:marTop w:val="0"/>
      <w:marBottom w:val="0"/>
      <w:divBdr>
        <w:top w:val="none" w:sz="0" w:space="0" w:color="auto"/>
        <w:left w:val="none" w:sz="0" w:space="0" w:color="auto"/>
        <w:bottom w:val="none" w:sz="0" w:space="0" w:color="auto"/>
        <w:right w:val="none" w:sz="0" w:space="0" w:color="auto"/>
      </w:divBdr>
    </w:div>
    <w:div w:id="317539367">
      <w:bodyDiv w:val="1"/>
      <w:marLeft w:val="0"/>
      <w:marRight w:val="0"/>
      <w:marTop w:val="0"/>
      <w:marBottom w:val="0"/>
      <w:divBdr>
        <w:top w:val="none" w:sz="0" w:space="0" w:color="auto"/>
        <w:left w:val="none" w:sz="0" w:space="0" w:color="auto"/>
        <w:bottom w:val="none" w:sz="0" w:space="0" w:color="auto"/>
        <w:right w:val="none" w:sz="0" w:space="0" w:color="auto"/>
      </w:divBdr>
    </w:div>
    <w:div w:id="365326040">
      <w:bodyDiv w:val="1"/>
      <w:marLeft w:val="0"/>
      <w:marRight w:val="0"/>
      <w:marTop w:val="0"/>
      <w:marBottom w:val="0"/>
      <w:divBdr>
        <w:top w:val="none" w:sz="0" w:space="0" w:color="auto"/>
        <w:left w:val="none" w:sz="0" w:space="0" w:color="auto"/>
        <w:bottom w:val="none" w:sz="0" w:space="0" w:color="auto"/>
        <w:right w:val="none" w:sz="0" w:space="0" w:color="auto"/>
      </w:divBdr>
    </w:div>
    <w:div w:id="376972584">
      <w:bodyDiv w:val="1"/>
      <w:marLeft w:val="0"/>
      <w:marRight w:val="0"/>
      <w:marTop w:val="0"/>
      <w:marBottom w:val="0"/>
      <w:divBdr>
        <w:top w:val="none" w:sz="0" w:space="0" w:color="auto"/>
        <w:left w:val="none" w:sz="0" w:space="0" w:color="auto"/>
        <w:bottom w:val="none" w:sz="0" w:space="0" w:color="auto"/>
        <w:right w:val="none" w:sz="0" w:space="0" w:color="auto"/>
      </w:divBdr>
    </w:div>
    <w:div w:id="380128567">
      <w:bodyDiv w:val="1"/>
      <w:marLeft w:val="0"/>
      <w:marRight w:val="0"/>
      <w:marTop w:val="0"/>
      <w:marBottom w:val="0"/>
      <w:divBdr>
        <w:top w:val="none" w:sz="0" w:space="0" w:color="auto"/>
        <w:left w:val="none" w:sz="0" w:space="0" w:color="auto"/>
        <w:bottom w:val="none" w:sz="0" w:space="0" w:color="auto"/>
        <w:right w:val="none" w:sz="0" w:space="0" w:color="auto"/>
      </w:divBdr>
    </w:div>
    <w:div w:id="438184994">
      <w:bodyDiv w:val="1"/>
      <w:marLeft w:val="0"/>
      <w:marRight w:val="0"/>
      <w:marTop w:val="0"/>
      <w:marBottom w:val="0"/>
      <w:divBdr>
        <w:top w:val="none" w:sz="0" w:space="0" w:color="auto"/>
        <w:left w:val="none" w:sz="0" w:space="0" w:color="auto"/>
        <w:bottom w:val="none" w:sz="0" w:space="0" w:color="auto"/>
        <w:right w:val="none" w:sz="0" w:space="0" w:color="auto"/>
      </w:divBdr>
    </w:div>
    <w:div w:id="536814303">
      <w:bodyDiv w:val="1"/>
      <w:marLeft w:val="0"/>
      <w:marRight w:val="0"/>
      <w:marTop w:val="0"/>
      <w:marBottom w:val="0"/>
      <w:divBdr>
        <w:top w:val="none" w:sz="0" w:space="0" w:color="auto"/>
        <w:left w:val="none" w:sz="0" w:space="0" w:color="auto"/>
        <w:bottom w:val="none" w:sz="0" w:space="0" w:color="auto"/>
        <w:right w:val="none" w:sz="0" w:space="0" w:color="auto"/>
      </w:divBdr>
    </w:div>
    <w:div w:id="647320607">
      <w:bodyDiv w:val="1"/>
      <w:marLeft w:val="0"/>
      <w:marRight w:val="0"/>
      <w:marTop w:val="0"/>
      <w:marBottom w:val="0"/>
      <w:divBdr>
        <w:top w:val="none" w:sz="0" w:space="0" w:color="auto"/>
        <w:left w:val="none" w:sz="0" w:space="0" w:color="auto"/>
        <w:bottom w:val="none" w:sz="0" w:space="0" w:color="auto"/>
        <w:right w:val="none" w:sz="0" w:space="0" w:color="auto"/>
      </w:divBdr>
    </w:div>
    <w:div w:id="700321491">
      <w:bodyDiv w:val="1"/>
      <w:marLeft w:val="0"/>
      <w:marRight w:val="0"/>
      <w:marTop w:val="0"/>
      <w:marBottom w:val="0"/>
      <w:divBdr>
        <w:top w:val="none" w:sz="0" w:space="0" w:color="auto"/>
        <w:left w:val="none" w:sz="0" w:space="0" w:color="auto"/>
        <w:bottom w:val="none" w:sz="0" w:space="0" w:color="auto"/>
        <w:right w:val="none" w:sz="0" w:space="0" w:color="auto"/>
      </w:divBdr>
    </w:div>
    <w:div w:id="724916052">
      <w:bodyDiv w:val="1"/>
      <w:marLeft w:val="0"/>
      <w:marRight w:val="0"/>
      <w:marTop w:val="0"/>
      <w:marBottom w:val="0"/>
      <w:divBdr>
        <w:top w:val="none" w:sz="0" w:space="0" w:color="auto"/>
        <w:left w:val="none" w:sz="0" w:space="0" w:color="auto"/>
        <w:bottom w:val="none" w:sz="0" w:space="0" w:color="auto"/>
        <w:right w:val="none" w:sz="0" w:space="0" w:color="auto"/>
      </w:divBdr>
    </w:div>
    <w:div w:id="747770133">
      <w:bodyDiv w:val="1"/>
      <w:marLeft w:val="0"/>
      <w:marRight w:val="0"/>
      <w:marTop w:val="0"/>
      <w:marBottom w:val="0"/>
      <w:divBdr>
        <w:top w:val="none" w:sz="0" w:space="0" w:color="auto"/>
        <w:left w:val="none" w:sz="0" w:space="0" w:color="auto"/>
        <w:bottom w:val="none" w:sz="0" w:space="0" w:color="auto"/>
        <w:right w:val="none" w:sz="0" w:space="0" w:color="auto"/>
      </w:divBdr>
    </w:div>
    <w:div w:id="777262813">
      <w:bodyDiv w:val="1"/>
      <w:marLeft w:val="0"/>
      <w:marRight w:val="0"/>
      <w:marTop w:val="0"/>
      <w:marBottom w:val="0"/>
      <w:divBdr>
        <w:top w:val="none" w:sz="0" w:space="0" w:color="auto"/>
        <w:left w:val="none" w:sz="0" w:space="0" w:color="auto"/>
        <w:bottom w:val="none" w:sz="0" w:space="0" w:color="auto"/>
        <w:right w:val="none" w:sz="0" w:space="0" w:color="auto"/>
      </w:divBdr>
    </w:div>
    <w:div w:id="788595894">
      <w:bodyDiv w:val="1"/>
      <w:marLeft w:val="0"/>
      <w:marRight w:val="0"/>
      <w:marTop w:val="0"/>
      <w:marBottom w:val="0"/>
      <w:divBdr>
        <w:top w:val="none" w:sz="0" w:space="0" w:color="auto"/>
        <w:left w:val="none" w:sz="0" w:space="0" w:color="auto"/>
        <w:bottom w:val="none" w:sz="0" w:space="0" w:color="auto"/>
        <w:right w:val="none" w:sz="0" w:space="0" w:color="auto"/>
      </w:divBdr>
    </w:div>
    <w:div w:id="830172298">
      <w:bodyDiv w:val="1"/>
      <w:marLeft w:val="0"/>
      <w:marRight w:val="0"/>
      <w:marTop w:val="0"/>
      <w:marBottom w:val="0"/>
      <w:divBdr>
        <w:top w:val="none" w:sz="0" w:space="0" w:color="auto"/>
        <w:left w:val="none" w:sz="0" w:space="0" w:color="auto"/>
        <w:bottom w:val="none" w:sz="0" w:space="0" w:color="auto"/>
        <w:right w:val="none" w:sz="0" w:space="0" w:color="auto"/>
      </w:divBdr>
    </w:div>
    <w:div w:id="869954918">
      <w:bodyDiv w:val="1"/>
      <w:marLeft w:val="0"/>
      <w:marRight w:val="0"/>
      <w:marTop w:val="0"/>
      <w:marBottom w:val="0"/>
      <w:divBdr>
        <w:top w:val="none" w:sz="0" w:space="0" w:color="auto"/>
        <w:left w:val="none" w:sz="0" w:space="0" w:color="auto"/>
        <w:bottom w:val="none" w:sz="0" w:space="0" w:color="auto"/>
        <w:right w:val="none" w:sz="0" w:space="0" w:color="auto"/>
      </w:divBdr>
    </w:div>
    <w:div w:id="897547777">
      <w:bodyDiv w:val="1"/>
      <w:marLeft w:val="0"/>
      <w:marRight w:val="0"/>
      <w:marTop w:val="0"/>
      <w:marBottom w:val="0"/>
      <w:divBdr>
        <w:top w:val="none" w:sz="0" w:space="0" w:color="auto"/>
        <w:left w:val="none" w:sz="0" w:space="0" w:color="auto"/>
        <w:bottom w:val="none" w:sz="0" w:space="0" w:color="auto"/>
        <w:right w:val="none" w:sz="0" w:space="0" w:color="auto"/>
      </w:divBdr>
    </w:div>
    <w:div w:id="909731192">
      <w:bodyDiv w:val="1"/>
      <w:marLeft w:val="0"/>
      <w:marRight w:val="0"/>
      <w:marTop w:val="0"/>
      <w:marBottom w:val="0"/>
      <w:divBdr>
        <w:top w:val="none" w:sz="0" w:space="0" w:color="auto"/>
        <w:left w:val="none" w:sz="0" w:space="0" w:color="auto"/>
        <w:bottom w:val="none" w:sz="0" w:space="0" w:color="auto"/>
        <w:right w:val="none" w:sz="0" w:space="0" w:color="auto"/>
      </w:divBdr>
    </w:div>
    <w:div w:id="993068721">
      <w:bodyDiv w:val="1"/>
      <w:marLeft w:val="0"/>
      <w:marRight w:val="0"/>
      <w:marTop w:val="0"/>
      <w:marBottom w:val="0"/>
      <w:divBdr>
        <w:top w:val="none" w:sz="0" w:space="0" w:color="auto"/>
        <w:left w:val="none" w:sz="0" w:space="0" w:color="auto"/>
        <w:bottom w:val="none" w:sz="0" w:space="0" w:color="auto"/>
        <w:right w:val="none" w:sz="0" w:space="0" w:color="auto"/>
      </w:divBdr>
    </w:div>
    <w:div w:id="1004013304">
      <w:bodyDiv w:val="1"/>
      <w:marLeft w:val="0"/>
      <w:marRight w:val="0"/>
      <w:marTop w:val="0"/>
      <w:marBottom w:val="0"/>
      <w:divBdr>
        <w:top w:val="none" w:sz="0" w:space="0" w:color="auto"/>
        <w:left w:val="none" w:sz="0" w:space="0" w:color="auto"/>
        <w:bottom w:val="none" w:sz="0" w:space="0" w:color="auto"/>
        <w:right w:val="none" w:sz="0" w:space="0" w:color="auto"/>
      </w:divBdr>
    </w:div>
    <w:div w:id="1064065223">
      <w:bodyDiv w:val="1"/>
      <w:marLeft w:val="0"/>
      <w:marRight w:val="0"/>
      <w:marTop w:val="0"/>
      <w:marBottom w:val="0"/>
      <w:divBdr>
        <w:top w:val="none" w:sz="0" w:space="0" w:color="auto"/>
        <w:left w:val="none" w:sz="0" w:space="0" w:color="auto"/>
        <w:bottom w:val="none" w:sz="0" w:space="0" w:color="auto"/>
        <w:right w:val="none" w:sz="0" w:space="0" w:color="auto"/>
      </w:divBdr>
    </w:div>
    <w:div w:id="1068457994">
      <w:bodyDiv w:val="1"/>
      <w:marLeft w:val="0"/>
      <w:marRight w:val="0"/>
      <w:marTop w:val="0"/>
      <w:marBottom w:val="0"/>
      <w:divBdr>
        <w:top w:val="none" w:sz="0" w:space="0" w:color="auto"/>
        <w:left w:val="none" w:sz="0" w:space="0" w:color="auto"/>
        <w:bottom w:val="none" w:sz="0" w:space="0" w:color="auto"/>
        <w:right w:val="none" w:sz="0" w:space="0" w:color="auto"/>
      </w:divBdr>
    </w:div>
    <w:div w:id="1068501363">
      <w:bodyDiv w:val="1"/>
      <w:marLeft w:val="0"/>
      <w:marRight w:val="0"/>
      <w:marTop w:val="0"/>
      <w:marBottom w:val="0"/>
      <w:divBdr>
        <w:top w:val="none" w:sz="0" w:space="0" w:color="auto"/>
        <w:left w:val="none" w:sz="0" w:space="0" w:color="auto"/>
        <w:bottom w:val="none" w:sz="0" w:space="0" w:color="auto"/>
        <w:right w:val="none" w:sz="0" w:space="0" w:color="auto"/>
      </w:divBdr>
    </w:div>
    <w:div w:id="1130174470">
      <w:bodyDiv w:val="1"/>
      <w:marLeft w:val="0"/>
      <w:marRight w:val="0"/>
      <w:marTop w:val="0"/>
      <w:marBottom w:val="0"/>
      <w:divBdr>
        <w:top w:val="none" w:sz="0" w:space="0" w:color="auto"/>
        <w:left w:val="none" w:sz="0" w:space="0" w:color="auto"/>
        <w:bottom w:val="none" w:sz="0" w:space="0" w:color="auto"/>
        <w:right w:val="none" w:sz="0" w:space="0" w:color="auto"/>
      </w:divBdr>
    </w:div>
    <w:div w:id="1155954516">
      <w:bodyDiv w:val="1"/>
      <w:marLeft w:val="0"/>
      <w:marRight w:val="0"/>
      <w:marTop w:val="0"/>
      <w:marBottom w:val="0"/>
      <w:divBdr>
        <w:top w:val="none" w:sz="0" w:space="0" w:color="auto"/>
        <w:left w:val="none" w:sz="0" w:space="0" w:color="auto"/>
        <w:bottom w:val="none" w:sz="0" w:space="0" w:color="auto"/>
        <w:right w:val="none" w:sz="0" w:space="0" w:color="auto"/>
      </w:divBdr>
    </w:div>
    <w:div w:id="1160073449">
      <w:bodyDiv w:val="1"/>
      <w:marLeft w:val="0"/>
      <w:marRight w:val="0"/>
      <w:marTop w:val="0"/>
      <w:marBottom w:val="0"/>
      <w:divBdr>
        <w:top w:val="none" w:sz="0" w:space="0" w:color="auto"/>
        <w:left w:val="none" w:sz="0" w:space="0" w:color="auto"/>
        <w:bottom w:val="none" w:sz="0" w:space="0" w:color="auto"/>
        <w:right w:val="none" w:sz="0" w:space="0" w:color="auto"/>
      </w:divBdr>
    </w:div>
    <w:div w:id="1257639947">
      <w:bodyDiv w:val="1"/>
      <w:marLeft w:val="0"/>
      <w:marRight w:val="0"/>
      <w:marTop w:val="0"/>
      <w:marBottom w:val="0"/>
      <w:divBdr>
        <w:top w:val="none" w:sz="0" w:space="0" w:color="auto"/>
        <w:left w:val="none" w:sz="0" w:space="0" w:color="auto"/>
        <w:bottom w:val="none" w:sz="0" w:space="0" w:color="auto"/>
        <w:right w:val="none" w:sz="0" w:space="0" w:color="auto"/>
      </w:divBdr>
    </w:div>
    <w:div w:id="1292051544">
      <w:bodyDiv w:val="1"/>
      <w:marLeft w:val="0"/>
      <w:marRight w:val="0"/>
      <w:marTop w:val="0"/>
      <w:marBottom w:val="0"/>
      <w:divBdr>
        <w:top w:val="none" w:sz="0" w:space="0" w:color="auto"/>
        <w:left w:val="none" w:sz="0" w:space="0" w:color="auto"/>
        <w:bottom w:val="none" w:sz="0" w:space="0" w:color="auto"/>
        <w:right w:val="none" w:sz="0" w:space="0" w:color="auto"/>
      </w:divBdr>
    </w:div>
    <w:div w:id="1313870980">
      <w:bodyDiv w:val="1"/>
      <w:marLeft w:val="0"/>
      <w:marRight w:val="0"/>
      <w:marTop w:val="0"/>
      <w:marBottom w:val="0"/>
      <w:divBdr>
        <w:top w:val="none" w:sz="0" w:space="0" w:color="auto"/>
        <w:left w:val="none" w:sz="0" w:space="0" w:color="auto"/>
        <w:bottom w:val="none" w:sz="0" w:space="0" w:color="auto"/>
        <w:right w:val="none" w:sz="0" w:space="0" w:color="auto"/>
      </w:divBdr>
    </w:div>
    <w:div w:id="1372880673">
      <w:bodyDiv w:val="1"/>
      <w:marLeft w:val="0"/>
      <w:marRight w:val="0"/>
      <w:marTop w:val="0"/>
      <w:marBottom w:val="0"/>
      <w:divBdr>
        <w:top w:val="none" w:sz="0" w:space="0" w:color="auto"/>
        <w:left w:val="none" w:sz="0" w:space="0" w:color="auto"/>
        <w:bottom w:val="none" w:sz="0" w:space="0" w:color="auto"/>
        <w:right w:val="none" w:sz="0" w:space="0" w:color="auto"/>
      </w:divBdr>
    </w:div>
    <w:div w:id="1382948450">
      <w:bodyDiv w:val="1"/>
      <w:marLeft w:val="0"/>
      <w:marRight w:val="0"/>
      <w:marTop w:val="0"/>
      <w:marBottom w:val="0"/>
      <w:divBdr>
        <w:top w:val="none" w:sz="0" w:space="0" w:color="auto"/>
        <w:left w:val="none" w:sz="0" w:space="0" w:color="auto"/>
        <w:bottom w:val="none" w:sz="0" w:space="0" w:color="auto"/>
        <w:right w:val="none" w:sz="0" w:space="0" w:color="auto"/>
      </w:divBdr>
    </w:div>
    <w:div w:id="1433815046">
      <w:bodyDiv w:val="1"/>
      <w:marLeft w:val="0"/>
      <w:marRight w:val="0"/>
      <w:marTop w:val="0"/>
      <w:marBottom w:val="0"/>
      <w:divBdr>
        <w:top w:val="none" w:sz="0" w:space="0" w:color="auto"/>
        <w:left w:val="none" w:sz="0" w:space="0" w:color="auto"/>
        <w:bottom w:val="none" w:sz="0" w:space="0" w:color="auto"/>
        <w:right w:val="none" w:sz="0" w:space="0" w:color="auto"/>
      </w:divBdr>
    </w:div>
    <w:div w:id="1506507599">
      <w:bodyDiv w:val="1"/>
      <w:marLeft w:val="0"/>
      <w:marRight w:val="0"/>
      <w:marTop w:val="0"/>
      <w:marBottom w:val="0"/>
      <w:divBdr>
        <w:top w:val="none" w:sz="0" w:space="0" w:color="auto"/>
        <w:left w:val="none" w:sz="0" w:space="0" w:color="auto"/>
        <w:bottom w:val="none" w:sz="0" w:space="0" w:color="auto"/>
        <w:right w:val="none" w:sz="0" w:space="0" w:color="auto"/>
      </w:divBdr>
    </w:div>
    <w:div w:id="1587416616">
      <w:bodyDiv w:val="1"/>
      <w:marLeft w:val="0"/>
      <w:marRight w:val="0"/>
      <w:marTop w:val="0"/>
      <w:marBottom w:val="0"/>
      <w:divBdr>
        <w:top w:val="none" w:sz="0" w:space="0" w:color="auto"/>
        <w:left w:val="none" w:sz="0" w:space="0" w:color="auto"/>
        <w:bottom w:val="none" w:sz="0" w:space="0" w:color="auto"/>
        <w:right w:val="none" w:sz="0" w:space="0" w:color="auto"/>
      </w:divBdr>
    </w:div>
    <w:div w:id="1642808375">
      <w:bodyDiv w:val="1"/>
      <w:marLeft w:val="0"/>
      <w:marRight w:val="0"/>
      <w:marTop w:val="0"/>
      <w:marBottom w:val="0"/>
      <w:divBdr>
        <w:top w:val="none" w:sz="0" w:space="0" w:color="auto"/>
        <w:left w:val="none" w:sz="0" w:space="0" w:color="auto"/>
        <w:bottom w:val="none" w:sz="0" w:space="0" w:color="auto"/>
        <w:right w:val="none" w:sz="0" w:space="0" w:color="auto"/>
      </w:divBdr>
    </w:div>
    <w:div w:id="1653945926">
      <w:bodyDiv w:val="1"/>
      <w:marLeft w:val="0"/>
      <w:marRight w:val="0"/>
      <w:marTop w:val="0"/>
      <w:marBottom w:val="0"/>
      <w:divBdr>
        <w:top w:val="none" w:sz="0" w:space="0" w:color="auto"/>
        <w:left w:val="none" w:sz="0" w:space="0" w:color="auto"/>
        <w:bottom w:val="none" w:sz="0" w:space="0" w:color="auto"/>
        <w:right w:val="none" w:sz="0" w:space="0" w:color="auto"/>
      </w:divBdr>
    </w:div>
    <w:div w:id="1681152433">
      <w:bodyDiv w:val="1"/>
      <w:marLeft w:val="0"/>
      <w:marRight w:val="0"/>
      <w:marTop w:val="0"/>
      <w:marBottom w:val="0"/>
      <w:divBdr>
        <w:top w:val="none" w:sz="0" w:space="0" w:color="auto"/>
        <w:left w:val="none" w:sz="0" w:space="0" w:color="auto"/>
        <w:bottom w:val="none" w:sz="0" w:space="0" w:color="auto"/>
        <w:right w:val="none" w:sz="0" w:space="0" w:color="auto"/>
      </w:divBdr>
    </w:div>
    <w:div w:id="1808007561">
      <w:bodyDiv w:val="1"/>
      <w:marLeft w:val="0"/>
      <w:marRight w:val="0"/>
      <w:marTop w:val="0"/>
      <w:marBottom w:val="0"/>
      <w:divBdr>
        <w:top w:val="none" w:sz="0" w:space="0" w:color="auto"/>
        <w:left w:val="none" w:sz="0" w:space="0" w:color="auto"/>
        <w:bottom w:val="none" w:sz="0" w:space="0" w:color="auto"/>
        <w:right w:val="none" w:sz="0" w:space="0" w:color="auto"/>
      </w:divBdr>
    </w:div>
    <w:div w:id="1844320878">
      <w:bodyDiv w:val="1"/>
      <w:marLeft w:val="0"/>
      <w:marRight w:val="0"/>
      <w:marTop w:val="0"/>
      <w:marBottom w:val="0"/>
      <w:divBdr>
        <w:top w:val="none" w:sz="0" w:space="0" w:color="auto"/>
        <w:left w:val="none" w:sz="0" w:space="0" w:color="auto"/>
        <w:bottom w:val="none" w:sz="0" w:space="0" w:color="auto"/>
        <w:right w:val="none" w:sz="0" w:space="0" w:color="auto"/>
      </w:divBdr>
    </w:div>
    <w:div w:id="1848787193">
      <w:bodyDiv w:val="1"/>
      <w:marLeft w:val="0"/>
      <w:marRight w:val="0"/>
      <w:marTop w:val="0"/>
      <w:marBottom w:val="0"/>
      <w:divBdr>
        <w:top w:val="none" w:sz="0" w:space="0" w:color="auto"/>
        <w:left w:val="none" w:sz="0" w:space="0" w:color="auto"/>
        <w:bottom w:val="none" w:sz="0" w:space="0" w:color="auto"/>
        <w:right w:val="none" w:sz="0" w:space="0" w:color="auto"/>
      </w:divBdr>
    </w:div>
    <w:div w:id="1894121570">
      <w:bodyDiv w:val="1"/>
      <w:marLeft w:val="0"/>
      <w:marRight w:val="0"/>
      <w:marTop w:val="0"/>
      <w:marBottom w:val="0"/>
      <w:divBdr>
        <w:top w:val="none" w:sz="0" w:space="0" w:color="auto"/>
        <w:left w:val="none" w:sz="0" w:space="0" w:color="auto"/>
        <w:bottom w:val="none" w:sz="0" w:space="0" w:color="auto"/>
        <w:right w:val="none" w:sz="0" w:space="0" w:color="auto"/>
      </w:divBdr>
    </w:div>
    <w:div w:id="1896238131">
      <w:bodyDiv w:val="1"/>
      <w:marLeft w:val="0"/>
      <w:marRight w:val="0"/>
      <w:marTop w:val="0"/>
      <w:marBottom w:val="0"/>
      <w:divBdr>
        <w:top w:val="none" w:sz="0" w:space="0" w:color="auto"/>
        <w:left w:val="none" w:sz="0" w:space="0" w:color="auto"/>
        <w:bottom w:val="none" w:sz="0" w:space="0" w:color="auto"/>
        <w:right w:val="none" w:sz="0" w:space="0" w:color="auto"/>
      </w:divBdr>
    </w:div>
    <w:div w:id="1908832807">
      <w:bodyDiv w:val="1"/>
      <w:marLeft w:val="0"/>
      <w:marRight w:val="0"/>
      <w:marTop w:val="0"/>
      <w:marBottom w:val="0"/>
      <w:divBdr>
        <w:top w:val="none" w:sz="0" w:space="0" w:color="auto"/>
        <w:left w:val="none" w:sz="0" w:space="0" w:color="auto"/>
        <w:bottom w:val="none" w:sz="0" w:space="0" w:color="auto"/>
        <w:right w:val="none" w:sz="0" w:space="0" w:color="auto"/>
      </w:divBdr>
    </w:div>
    <w:div w:id="1917011869">
      <w:bodyDiv w:val="1"/>
      <w:marLeft w:val="0"/>
      <w:marRight w:val="0"/>
      <w:marTop w:val="0"/>
      <w:marBottom w:val="0"/>
      <w:divBdr>
        <w:top w:val="none" w:sz="0" w:space="0" w:color="auto"/>
        <w:left w:val="none" w:sz="0" w:space="0" w:color="auto"/>
        <w:bottom w:val="none" w:sz="0" w:space="0" w:color="auto"/>
        <w:right w:val="none" w:sz="0" w:space="0" w:color="auto"/>
      </w:divBdr>
    </w:div>
    <w:div w:id="1970280172">
      <w:bodyDiv w:val="1"/>
      <w:marLeft w:val="0"/>
      <w:marRight w:val="0"/>
      <w:marTop w:val="0"/>
      <w:marBottom w:val="0"/>
      <w:divBdr>
        <w:top w:val="none" w:sz="0" w:space="0" w:color="auto"/>
        <w:left w:val="none" w:sz="0" w:space="0" w:color="auto"/>
        <w:bottom w:val="none" w:sz="0" w:space="0" w:color="auto"/>
        <w:right w:val="none" w:sz="0" w:space="0" w:color="auto"/>
      </w:divBdr>
    </w:div>
    <w:div w:id="1972783051">
      <w:bodyDiv w:val="1"/>
      <w:marLeft w:val="0"/>
      <w:marRight w:val="0"/>
      <w:marTop w:val="0"/>
      <w:marBottom w:val="0"/>
      <w:divBdr>
        <w:top w:val="none" w:sz="0" w:space="0" w:color="auto"/>
        <w:left w:val="none" w:sz="0" w:space="0" w:color="auto"/>
        <w:bottom w:val="none" w:sz="0" w:space="0" w:color="auto"/>
        <w:right w:val="none" w:sz="0" w:space="0" w:color="auto"/>
      </w:divBdr>
    </w:div>
    <w:div w:id="1982223709">
      <w:bodyDiv w:val="1"/>
      <w:marLeft w:val="0"/>
      <w:marRight w:val="0"/>
      <w:marTop w:val="0"/>
      <w:marBottom w:val="0"/>
      <w:divBdr>
        <w:top w:val="none" w:sz="0" w:space="0" w:color="auto"/>
        <w:left w:val="none" w:sz="0" w:space="0" w:color="auto"/>
        <w:bottom w:val="none" w:sz="0" w:space="0" w:color="auto"/>
        <w:right w:val="none" w:sz="0" w:space="0" w:color="auto"/>
      </w:divBdr>
      <w:divsChild>
        <w:div w:id="1006633966">
          <w:marLeft w:val="0"/>
          <w:marRight w:val="0"/>
          <w:marTop w:val="0"/>
          <w:marBottom w:val="0"/>
          <w:divBdr>
            <w:top w:val="single" w:sz="2" w:space="0" w:color="E5E7EB"/>
            <w:left w:val="single" w:sz="2" w:space="0" w:color="E5E7EB"/>
            <w:bottom w:val="single" w:sz="2" w:space="0" w:color="E5E7EB"/>
            <w:right w:val="single" w:sz="2" w:space="0" w:color="E5E7EB"/>
          </w:divBdr>
          <w:divsChild>
            <w:div w:id="644505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7100141">
      <w:bodyDiv w:val="1"/>
      <w:marLeft w:val="0"/>
      <w:marRight w:val="0"/>
      <w:marTop w:val="0"/>
      <w:marBottom w:val="0"/>
      <w:divBdr>
        <w:top w:val="none" w:sz="0" w:space="0" w:color="auto"/>
        <w:left w:val="none" w:sz="0" w:space="0" w:color="auto"/>
        <w:bottom w:val="none" w:sz="0" w:space="0" w:color="auto"/>
        <w:right w:val="none" w:sz="0" w:space="0" w:color="auto"/>
      </w:divBdr>
    </w:div>
    <w:div w:id="2040548418">
      <w:bodyDiv w:val="1"/>
      <w:marLeft w:val="0"/>
      <w:marRight w:val="0"/>
      <w:marTop w:val="0"/>
      <w:marBottom w:val="0"/>
      <w:divBdr>
        <w:top w:val="none" w:sz="0" w:space="0" w:color="auto"/>
        <w:left w:val="none" w:sz="0" w:space="0" w:color="auto"/>
        <w:bottom w:val="none" w:sz="0" w:space="0" w:color="auto"/>
        <w:right w:val="none" w:sz="0" w:space="0" w:color="auto"/>
      </w:divBdr>
    </w:div>
    <w:div w:id="2043092446">
      <w:bodyDiv w:val="1"/>
      <w:marLeft w:val="0"/>
      <w:marRight w:val="0"/>
      <w:marTop w:val="0"/>
      <w:marBottom w:val="0"/>
      <w:divBdr>
        <w:top w:val="none" w:sz="0" w:space="0" w:color="auto"/>
        <w:left w:val="none" w:sz="0" w:space="0" w:color="auto"/>
        <w:bottom w:val="none" w:sz="0" w:space="0" w:color="auto"/>
        <w:right w:val="none" w:sz="0" w:space="0" w:color="auto"/>
      </w:divBdr>
    </w:div>
    <w:div w:id="208903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3962</Words>
  <Characters>22588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CHAN Jing Wei</dc:creator>
  <cp:keywords/>
  <dc:description/>
  <cp:lastModifiedBy>Magdalene CHAN Jing Wei</cp:lastModifiedBy>
  <cp:revision>1</cp:revision>
  <dcterms:created xsi:type="dcterms:W3CDTF">2026-05-03T13:18:00Z</dcterms:created>
  <dcterms:modified xsi:type="dcterms:W3CDTF">2026-05-03T13:43:00Z</dcterms:modified>
</cp:coreProperties>
</file>