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736D" w14:textId="77777777" w:rsidR="005D3B36" w:rsidRDefault="005D3B36" w:rsidP="00BA2401">
      <w:pPr>
        <w:jc w:val="center"/>
        <w:rPr>
          <w:rFonts w:ascii="Times New Roman" w:hAnsi="Times New Roman" w:cs="Times New Roman"/>
          <w:b/>
          <w:bCs/>
        </w:rPr>
      </w:pPr>
    </w:p>
    <w:p w14:paraId="485AC44F" w14:textId="77777777" w:rsidR="005D3B36" w:rsidRDefault="005D3B36" w:rsidP="00BA2401">
      <w:pPr>
        <w:jc w:val="center"/>
        <w:rPr>
          <w:rFonts w:ascii="Times New Roman" w:hAnsi="Times New Roman" w:cs="Times New Roman"/>
          <w:b/>
          <w:bCs/>
        </w:rPr>
      </w:pPr>
    </w:p>
    <w:p w14:paraId="5D29EEE0" w14:textId="77777777" w:rsidR="005D3B36" w:rsidRDefault="005D3B36" w:rsidP="00BA2401">
      <w:pPr>
        <w:jc w:val="center"/>
        <w:rPr>
          <w:rFonts w:ascii="Times New Roman" w:hAnsi="Times New Roman" w:cs="Times New Roman"/>
          <w:b/>
          <w:bCs/>
        </w:rPr>
      </w:pPr>
    </w:p>
    <w:p w14:paraId="2CBE01F6" w14:textId="77777777" w:rsidR="00BA2401" w:rsidRPr="00BA768C" w:rsidRDefault="00BA2401" w:rsidP="00461622">
      <w:pPr>
        <w:spacing w:after="0" w:line="240" w:lineRule="auto"/>
        <w:jc w:val="center"/>
        <w:rPr>
          <w:rFonts w:ascii="Times New Roman" w:hAnsi="Times New Roman" w:cs="Times New Roman"/>
          <w:b/>
          <w:bCs/>
        </w:rPr>
      </w:pPr>
      <w:r>
        <w:rPr>
          <w:rFonts w:ascii="Times New Roman" w:hAnsi="Times New Roman" w:cs="Times New Roman"/>
          <w:b/>
          <w:bCs/>
        </w:rPr>
        <w:t>Framework for Correlating Security Anomalies with Classification of PII to Identify Data Theft Attacks</w:t>
      </w:r>
    </w:p>
    <w:p w14:paraId="105DF424" w14:textId="77777777" w:rsidR="00F17123" w:rsidRDefault="00F17123" w:rsidP="00461622">
      <w:pPr>
        <w:spacing w:after="0" w:line="240" w:lineRule="auto"/>
        <w:jc w:val="center"/>
        <w:rPr>
          <w:rFonts w:ascii="Times New Roman" w:hAnsi="Times New Roman" w:cs="Times New Roman"/>
        </w:rPr>
      </w:pPr>
    </w:p>
    <w:p w14:paraId="7F6BBE46" w14:textId="77777777" w:rsidR="00461622" w:rsidRDefault="00461622" w:rsidP="00461622">
      <w:pPr>
        <w:spacing w:after="0" w:line="240" w:lineRule="auto"/>
        <w:jc w:val="center"/>
        <w:rPr>
          <w:rFonts w:ascii="Times New Roman" w:hAnsi="Times New Roman" w:cs="Times New Roman"/>
        </w:rPr>
      </w:pPr>
    </w:p>
    <w:p w14:paraId="636F8248" w14:textId="77777777" w:rsidR="00461622" w:rsidRPr="00BA768C" w:rsidRDefault="00461622" w:rsidP="00461622">
      <w:pPr>
        <w:spacing w:after="0" w:line="240" w:lineRule="auto"/>
        <w:jc w:val="center"/>
        <w:rPr>
          <w:rFonts w:ascii="Times New Roman" w:hAnsi="Times New Roman" w:cs="Times New Roman"/>
        </w:rPr>
      </w:pPr>
    </w:p>
    <w:p w14:paraId="47E5F1ED" w14:textId="77777777"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by Sanjay Raja</w:t>
      </w:r>
    </w:p>
    <w:p w14:paraId="5B7EEEE8" w14:textId="77777777" w:rsidR="00DE78FB" w:rsidRDefault="00DE78FB" w:rsidP="00461622">
      <w:pPr>
        <w:spacing w:after="0" w:line="240" w:lineRule="auto"/>
        <w:jc w:val="center"/>
        <w:rPr>
          <w:rFonts w:ascii="Times New Roman" w:hAnsi="Times New Roman" w:cs="Times New Roman"/>
        </w:rPr>
      </w:pPr>
    </w:p>
    <w:p w14:paraId="2FA02402" w14:textId="77777777" w:rsidR="00461622" w:rsidRDefault="00461622" w:rsidP="00461622">
      <w:pPr>
        <w:spacing w:after="0" w:line="240" w:lineRule="auto"/>
        <w:jc w:val="center"/>
        <w:rPr>
          <w:rFonts w:ascii="Times New Roman" w:hAnsi="Times New Roman" w:cs="Times New Roman"/>
        </w:rPr>
      </w:pPr>
    </w:p>
    <w:p w14:paraId="2D921F85" w14:textId="77777777" w:rsidR="00461622" w:rsidRPr="00DE78FB" w:rsidRDefault="00461622" w:rsidP="00461622">
      <w:pPr>
        <w:spacing w:after="0" w:line="240" w:lineRule="auto"/>
        <w:jc w:val="center"/>
        <w:rPr>
          <w:rFonts w:ascii="Times New Roman" w:hAnsi="Times New Roman" w:cs="Times New Roman"/>
        </w:rPr>
      </w:pPr>
    </w:p>
    <w:p w14:paraId="59CFED08" w14:textId="77777777" w:rsidR="00DE78FB" w:rsidRPr="00DE78FB" w:rsidRDefault="00DE78FB" w:rsidP="00461622">
      <w:pPr>
        <w:spacing w:after="0" w:line="240" w:lineRule="auto"/>
        <w:jc w:val="center"/>
        <w:rPr>
          <w:rFonts w:ascii="Times New Roman" w:hAnsi="Times New Roman" w:cs="Times New Roman"/>
        </w:rPr>
      </w:pPr>
      <w:r>
        <w:rPr>
          <w:rFonts w:ascii="Times New Roman" w:hAnsi="Times New Roman" w:cs="Times New Roman"/>
        </w:rPr>
        <w:t xml:space="preserve"> B.S. in Electrical Engineering, January 1994, Worcester Polytechnic Institute</w:t>
      </w:r>
    </w:p>
    <w:p w14:paraId="18C54332" w14:textId="77777777" w:rsidR="00BA2401" w:rsidRPr="00BA768C" w:rsidRDefault="00DE78FB" w:rsidP="00461622">
      <w:pPr>
        <w:spacing w:after="0" w:line="240" w:lineRule="auto"/>
        <w:jc w:val="center"/>
        <w:rPr>
          <w:rFonts w:ascii="Times New Roman" w:hAnsi="Times New Roman" w:cs="Times New Roman"/>
        </w:rPr>
      </w:pPr>
      <w:r>
        <w:rPr>
          <w:rFonts w:ascii="Times New Roman" w:hAnsi="Times New Roman" w:cs="Times New Roman"/>
        </w:rPr>
        <w:t>M.B.A. in Marketing, May 2004, Worcester Polytechnic Institute</w:t>
      </w:r>
    </w:p>
    <w:p w14:paraId="62AF8F3B" w14:textId="77777777" w:rsidR="00461622" w:rsidRDefault="00461622" w:rsidP="00461622">
      <w:pPr>
        <w:spacing w:after="0" w:line="240" w:lineRule="auto"/>
        <w:jc w:val="center"/>
        <w:rPr>
          <w:rFonts w:ascii="Times New Roman" w:hAnsi="Times New Roman" w:cs="Times New Roman"/>
        </w:rPr>
      </w:pPr>
    </w:p>
    <w:p w14:paraId="0416C1E0" w14:textId="77777777" w:rsidR="00461622" w:rsidRPr="00BA768C" w:rsidRDefault="00461622" w:rsidP="00461622">
      <w:pPr>
        <w:spacing w:after="0" w:line="240" w:lineRule="auto"/>
        <w:jc w:val="center"/>
        <w:rPr>
          <w:rFonts w:ascii="Times New Roman" w:hAnsi="Times New Roman" w:cs="Times New Roman"/>
        </w:rPr>
      </w:pPr>
    </w:p>
    <w:p w14:paraId="78185004" w14:textId="461275B2"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 xml:space="preserve">A </w:t>
      </w:r>
      <w:r w:rsidR="002A493A">
        <w:rPr>
          <w:rFonts w:ascii="Times New Roman" w:hAnsi="Times New Roman" w:cs="Times New Roman"/>
        </w:rPr>
        <w:t>Praxis</w:t>
      </w:r>
      <w:r>
        <w:rPr>
          <w:rFonts w:ascii="Times New Roman" w:hAnsi="Times New Roman" w:cs="Times New Roman"/>
        </w:rPr>
        <w:t xml:space="preserve"> submitted to</w:t>
      </w:r>
    </w:p>
    <w:p w14:paraId="57C298A5" w14:textId="77777777" w:rsidR="005D3B36" w:rsidRDefault="005D3B36" w:rsidP="00461622">
      <w:pPr>
        <w:spacing w:after="0" w:line="240" w:lineRule="auto"/>
        <w:jc w:val="center"/>
        <w:rPr>
          <w:rFonts w:ascii="Times New Roman" w:hAnsi="Times New Roman" w:cs="Times New Roman"/>
        </w:rPr>
      </w:pPr>
    </w:p>
    <w:p w14:paraId="5F66E10F" w14:textId="77777777" w:rsidR="00461622" w:rsidRDefault="00461622" w:rsidP="00461622">
      <w:pPr>
        <w:spacing w:after="0" w:line="240" w:lineRule="auto"/>
        <w:jc w:val="center"/>
        <w:rPr>
          <w:rFonts w:ascii="Times New Roman" w:hAnsi="Times New Roman" w:cs="Times New Roman"/>
        </w:rPr>
      </w:pPr>
    </w:p>
    <w:p w14:paraId="08D4E49A" w14:textId="77777777" w:rsidR="00461622" w:rsidRPr="00BA768C" w:rsidRDefault="00461622" w:rsidP="00461622">
      <w:pPr>
        <w:spacing w:after="0" w:line="240" w:lineRule="auto"/>
        <w:jc w:val="center"/>
        <w:rPr>
          <w:rFonts w:ascii="Times New Roman" w:hAnsi="Times New Roman" w:cs="Times New Roman"/>
        </w:rPr>
      </w:pPr>
    </w:p>
    <w:p w14:paraId="6A52ADDA" w14:textId="77777777" w:rsidR="005D3B36" w:rsidRDefault="00BA2401" w:rsidP="00461622">
      <w:pPr>
        <w:spacing w:after="0" w:line="240" w:lineRule="auto"/>
        <w:jc w:val="center"/>
        <w:rPr>
          <w:rFonts w:ascii="Times New Roman" w:hAnsi="Times New Roman" w:cs="Times New Roman"/>
        </w:rPr>
      </w:pPr>
      <w:r>
        <w:rPr>
          <w:rFonts w:ascii="Times New Roman" w:hAnsi="Times New Roman" w:cs="Times New Roman"/>
        </w:rPr>
        <w:t xml:space="preserve">The Faculty of </w:t>
      </w:r>
    </w:p>
    <w:p w14:paraId="00E47019" w14:textId="77777777" w:rsidR="005D3B36"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The School of Engineering and Applied Science</w:t>
      </w:r>
    </w:p>
    <w:p w14:paraId="56AD11C6" w14:textId="77777777"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of The George Washington University</w:t>
      </w:r>
    </w:p>
    <w:p w14:paraId="488FB697" w14:textId="77777777"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in partial fulfillment of the requirements</w:t>
      </w:r>
    </w:p>
    <w:p w14:paraId="4C5CA61B" w14:textId="4D3A088D" w:rsidR="00BA2401" w:rsidRPr="00BA768C" w:rsidRDefault="00BA2401" w:rsidP="00461622">
      <w:pPr>
        <w:spacing w:after="0" w:line="240" w:lineRule="auto"/>
        <w:jc w:val="center"/>
        <w:rPr>
          <w:rFonts w:ascii="Times New Roman" w:hAnsi="Times New Roman" w:cs="Times New Roman"/>
        </w:rPr>
      </w:pPr>
      <w:r>
        <w:rPr>
          <w:rFonts w:ascii="Times New Roman" w:hAnsi="Times New Roman" w:cs="Times New Roman"/>
        </w:rPr>
        <w:t xml:space="preserve">for the degree of Doctor of Engineering </w:t>
      </w:r>
    </w:p>
    <w:p w14:paraId="195D3F30" w14:textId="77777777" w:rsidR="00BA2401" w:rsidRDefault="00BA2401" w:rsidP="00461622">
      <w:pPr>
        <w:spacing w:after="0" w:line="240" w:lineRule="auto"/>
        <w:jc w:val="center"/>
        <w:rPr>
          <w:rFonts w:ascii="Times New Roman" w:hAnsi="Times New Roman" w:cs="Times New Roman"/>
        </w:rPr>
      </w:pPr>
    </w:p>
    <w:p w14:paraId="294DE510" w14:textId="77777777" w:rsidR="00461622" w:rsidRPr="00BA768C" w:rsidRDefault="00461622" w:rsidP="00461622">
      <w:pPr>
        <w:spacing w:after="0" w:line="240" w:lineRule="auto"/>
        <w:jc w:val="center"/>
        <w:rPr>
          <w:rFonts w:ascii="Times New Roman" w:hAnsi="Times New Roman" w:cs="Times New Roman"/>
        </w:rPr>
      </w:pPr>
    </w:p>
    <w:p w14:paraId="2C595B60" w14:textId="77777777" w:rsidR="005D3B36" w:rsidRDefault="005D3B36" w:rsidP="00461622">
      <w:pPr>
        <w:tabs>
          <w:tab w:val="left" w:pos="0"/>
        </w:tabs>
        <w:spacing w:after="0" w:line="240" w:lineRule="auto"/>
        <w:jc w:val="center"/>
        <w:rPr>
          <w:rFonts w:ascii="Times New Roman" w:hAnsi="Times New Roman" w:cs="Times New Roman"/>
          <w:spacing w:val="-2"/>
        </w:rPr>
      </w:pPr>
    </w:p>
    <w:p w14:paraId="7B132D11" w14:textId="4D373DA2" w:rsidR="005D3B36" w:rsidRPr="008B4EE5" w:rsidRDefault="002A493A" w:rsidP="00461622">
      <w:pPr>
        <w:tabs>
          <w:tab w:val="left" w:pos="0"/>
        </w:tabs>
        <w:spacing w:after="0" w:line="240" w:lineRule="auto"/>
        <w:jc w:val="center"/>
        <w:rPr>
          <w:rFonts w:ascii="Times New Roman" w:hAnsi="Times New Roman" w:cs="Times New Roman"/>
          <w:spacing w:val="33"/>
          <w:w w:val="102"/>
        </w:rPr>
      </w:pPr>
      <w:r>
        <w:rPr>
          <w:rFonts w:ascii="Times New Roman" w:hAnsi="Times New Roman" w:cs="Times New Roman"/>
          <w:spacing w:val="-2"/>
        </w:rPr>
        <w:t>January 2027</w:t>
      </w:r>
    </w:p>
    <w:p w14:paraId="29B4D20C" w14:textId="77777777" w:rsidR="005D3B36" w:rsidRDefault="005D3B36" w:rsidP="00461622">
      <w:pPr>
        <w:spacing w:after="0" w:line="240" w:lineRule="auto"/>
        <w:jc w:val="center"/>
        <w:rPr>
          <w:rFonts w:ascii="Times New Roman" w:hAnsi="Times New Roman" w:cs="Times New Roman"/>
        </w:rPr>
      </w:pPr>
    </w:p>
    <w:p w14:paraId="18EAED5B" w14:textId="77777777" w:rsidR="00461622" w:rsidRDefault="00461622" w:rsidP="00461622">
      <w:pPr>
        <w:spacing w:after="0" w:line="240" w:lineRule="auto"/>
        <w:jc w:val="center"/>
        <w:rPr>
          <w:rFonts w:ascii="Times New Roman" w:hAnsi="Times New Roman" w:cs="Times New Roman"/>
        </w:rPr>
      </w:pPr>
    </w:p>
    <w:p w14:paraId="07A06B1E" w14:textId="22F7AF52" w:rsidR="00461622" w:rsidRDefault="002A493A" w:rsidP="00461622">
      <w:pPr>
        <w:spacing w:after="0" w:line="240" w:lineRule="auto"/>
        <w:jc w:val="center"/>
        <w:rPr>
          <w:rFonts w:ascii="Times New Roman" w:hAnsi="Times New Roman" w:cs="Times New Roman"/>
        </w:rPr>
      </w:pPr>
      <w:r>
        <w:rPr>
          <w:rFonts w:ascii="Times New Roman" w:hAnsi="Times New Roman" w:cs="Times New Roman"/>
        </w:rPr>
        <w:t>Praxis</w:t>
      </w:r>
      <w:r w:rsidR="00461622">
        <w:rPr>
          <w:rFonts w:ascii="Times New Roman" w:hAnsi="Times New Roman" w:cs="Times New Roman"/>
        </w:rPr>
        <w:t xml:space="preserve"> directed by</w:t>
      </w:r>
    </w:p>
    <w:p w14:paraId="303A1413" w14:textId="77777777" w:rsidR="00461622" w:rsidRPr="00BA768C" w:rsidRDefault="00461622" w:rsidP="00461622">
      <w:pPr>
        <w:spacing w:after="0" w:line="240" w:lineRule="auto"/>
        <w:jc w:val="center"/>
        <w:rPr>
          <w:rFonts w:ascii="Times New Roman" w:hAnsi="Times New Roman" w:cs="Times New Roman"/>
        </w:rPr>
      </w:pPr>
    </w:p>
    <w:p w14:paraId="3F20DCE4" w14:textId="77777777" w:rsidR="00BA768C" w:rsidRPr="005D3B36" w:rsidRDefault="005D3B36" w:rsidP="00461622">
      <w:pPr>
        <w:pStyle w:val="BodyText"/>
        <w:tabs>
          <w:tab w:val="left" w:pos="0"/>
        </w:tabs>
        <w:ind w:left="0" w:right="302"/>
        <w:jc w:val="center"/>
        <w:rPr>
          <w:rFonts w:cs="Times New Roman"/>
          <w:spacing w:val="-2"/>
          <w:sz w:val="24"/>
          <w:szCs w:val="24"/>
        </w:rPr>
      </w:pPr>
      <w:r>
        <w:rPr>
          <w:rFonts w:cs="Times New Roman"/>
          <w:spacing w:val="-2"/>
          <w:sz w:val="24"/>
          <w:szCs w:val="24"/>
        </w:rPr>
        <w:t xml:space="preserve">Dr. Hadi Mohammadi </w:t>
      </w:r>
    </w:p>
    <w:p w14:paraId="6AC6F54F" w14:textId="77777777" w:rsidR="00F17123" w:rsidRPr="008B4EE5" w:rsidRDefault="00BA768C" w:rsidP="00461622">
      <w:pPr>
        <w:pStyle w:val="BodyText"/>
        <w:tabs>
          <w:tab w:val="left" w:pos="0"/>
        </w:tabs>
        <w:ind w:left="0" w:right="302"/>
        <w:jc w:val="center"/>
        <w:rPr>
          <w:rFonts w:cs="Times New Roman"/>
          <w:sz w:val="24"/>
          <w:szCs w:val="24"/>
        </w:rPr>
      </w:pPr>
      <w:r>
        <w:rPr>
          <w:rFonts w:cs="Times New Roman"/>
          <w:sz w:val="24"/>
          <w:szCs w:val="24"/>
        </w:rPr>
        <w:t xml:space="preserve"> Professorial Lecturer of Engineering and Applied Science</w:t>
      </w:r>
    </w:p>
    <w:p w14:paraId="6DBDD9C6" w14:textId="77777777" w:rsidR="00F17123" w:rsidRPr="000A1F2F" w:rsidRDefault="00F17123" w:rsidP="00461622">
      <w:pPr>
        <w:tabs>
          <w:tab w:val="left" w:pos="0"/>
        </w:tabs>
        <w:spacing w:after="0" w:line="240" w:lineRule="auto"/>
        <w:jc w:val="center"/>
        <w:rPr>
          <w:rFonts w:ascii="Times New Roman" w:eastAsia="Times New Roman" w:hAnsi="Times New Roman" w:cs="Times New Roman"/>
        </w:rPr>
      </w:pPr>
    </w:p>
    <w:p w14:paraId="2758675C" w14:textId="77777777" w:rsidR="00F17123" w:rsidRPr="000A1F2F" w:rsidRDefault="00F17123" w:rsidP="00461622">
      <w:pPr>
        <w:tabs>
          <w:tab w:val="left" w:pos="0"/>
        </w:tabs>
        <w:spacing w:after="0" w:line="240" w:lineRule="auto"/>
        <w:jc w:val="center"/>
        <w:rPr>
          <w:rFonts w:ascii="Times New Roman" w:eastAsia="Times New Roman" w:hAnsi="Times New Roman" w:cs="Times New Roman"/>
        </w:rPr>
      </w:pPr>
    </w:p>
    <w:p w14:paraId="0581F397" w14:textId="77777777" w:rsidR="00F17123" w:rsidRPr="000A1F2F" w:rsidRDefault="00F17123" w:rsidP="00461622">
      <w:pPr>
        <w:tabs>
          <w:tab w:val="left" w:pos="0"/>
        </w:tabs>
        <w:spacing w:after="0" w:line="240" w:lineRule="auto"/>
        <w:jc w:val="center"/>
        <w:rPr>
          <w:rFonts w:ascii="Times New Roman" w:eastAsia="Calibri" w:hAnsi="Times New Roman" w:cs="Times New Roman"/>
        </w:rPr>
      </w:pPr>
    </w:p>
    <w:p w14:paraId="656AA00D" w14:textId="77777777" w:rsidR="00F17123" w:rsidRDefault="00F17123" w:rsidP="00461622">
      <w:pPr>
        <w:tabs>
          <w:tab w:val="left" w:pos="0"/>
        </w:tabs>
        <w:spacing w:after="0" w:line="240" w:lineRule="auto"/>
        <w:jc w:val="center"/>
        <w:rPr>
          <w:rFonts w:ascii="Calibri" w:eastAsia="Calibri" w:hAnsi="Calibri" w:cs="Calibri"/>
        </w:rPr>
      </w:pPr>
    </w:p>
    <w:p w14:paraId="468AF567" w14:textId="77777777" w:rsidR="00E66F6D" w:rsidRDefault="00E66F6D" w:rsidP="00461622">
      <w:pPr>
        <w:tabs>
          <w:tab w:val="left" w:pos="0"/>
        </w:tabs>
        <w:spacing w:after="0" w:line="240" w:lineRule="auto"/>
        <w:jc w:val="center"/>
        <w:rPr>
          <w:rFonts w:ascii="Calibri" w:eastAsia="Calibri" w:hAnsi="Calibri" w:cs="Calibri"/>
        </w:rPr>
      </w:pPr>
    </w:p>
    <w:p w14:paraId="5BF552B9" w14:textId="77777777" w:rsidR="005D3B36" w:rsidRDefault="005D3B36" w:rsidP="00461622">
      <w:pPr>
        <w:pStyle w:val="BodyText"/>
        <w:tabs>
          <w:tab w:val="left" w:pos="0"/>
        </w:tabs>
        <w:ind w:left="0"/>
        <w:rPr>
          <w:rFonts w:cs="Times New Roman"/>
          <w:sz w:val="24"/>
          <w:szCs w:val="24"/>
        </w:rPr>
      </w:pPr>
    </w:p>
    <w:p w14:paraId="6D736908" w14:textId="77777777" w:rsidR="00461622" w:rsidRDefault="00461622" w:rsidP="00461622">
      <w:pPr>
        <w:pStyle w:val="BodyText"/>
        <w:tabs>
          <w:tab w:val="left" w:pos="0"/>
        </w:tabs>
        <w:ind w:left="0"/>
        <w:rPr>
          <w:rFonts w:cs="Times New Roman"/>
          <w:sz w:val="24"/>
          <w:szCs w:val="24"/>
        </w:rPr>
      </w:pPr>
    </w:p>
    <w:p w14:paraId="7F915256" w14:textId="77777777" w:rsidR="00461622" w:rsidRDefault="00461622" w:rsidP="00461622">
      <w:pPr>
        <w:pStyle w:val="BodyText"/>
        <w:tabs>
          <w:tab w:val="left" w:pos="0"/>
        </w:tabs>
        <w:ind w:left="0"/>
        <w:rPr>
          <w:rFonts w:cs="Times New Roman"/>
          <w:sz w:val="24"/>
          <w:szCs w:val="24"/>
        </w:rPr>
      </w:pPr>
    </w:p>
    <w:p w14:paraId="0510A5F5" w14:textId="77777777" w:rsidR="00461622" w:rsidRDefault="00461622" w:rsidP="00461622">
      <w:pPr>
        <w:pStyle w:val="BodyText"/>
        <w:tabs>
          <w:tab w:val="left" w:pos="0"/>
        </w:tabs>
        <w:ind w:left="0"/>
        <w:rPr>
          <w:rFonts w:cs="Times New Roman"/>
          <w:sz w:val="24"/>
          <w:szCs w:val="24"/>
        </w:rPr>
      </w:pPr>
    </w:p>
    <w:p w14:paraId="6ABB4D17" w14:textId="56D9E79E" w:rsidR="00F17123" w:rsidRPr="00CE648C" w:rsidRDefault="00F17123" w:rsidP="00461622">
      <w:pPr>
        <w:pStyle w:val="BodyText"/>
        <w:tabs>
          <w:tab w:val="left" w:pos="0"/>
        </w:tabs>
        <w:spacing w:line="480" w:lineRule="auto"/>
        <w:ind w:left="0"/>
        <w:rPr>
          <w:rFonts w:cs="Times New Roman"/>
          <w:sz w:val="24"/>
          <w:szCs w:val="24"/>
        </w:rPr>
      </w:pPr>
      <w:r>
        <w:rPr>
          <w:rFonts w:cs="Times New Roman"/>
          <w:sz w:val="24"/>
          <w:szCs w:val="24"/>
        </w:rPr>
        <w:lastRenderedPageBreak/>
        <w:t>The School of Engineering and Applied Science of The George Washington University</w:t>
      </w:r>
      <w:r>
        <w:rPr>
          <w:rFonts w:cs="Times New Roman"/>
          <w:w w:val="101"/>
          <w:sz w:val="24"/>
          <w:szCs w:val="24"/>
        </w:rPr>
        <w:t xml:space="preserve"> </w:t>
      </w:r>
      <w:r>
        <w:rPr>
          <w:rFonts w:cs="Times New Roman"/>
          <w:sz w:val="24"/>
          <w:szCs w:val="24"/>
        </w:rPr>
        <w:t>certifies that student's Sanjay Raja has passed the Final Examination for the degree of</w:t>
      </w:r>
      <w:r>
        <w:rPr>
          <w:rFonts w:cs="Times New Roman"/>
          <w:w w:val="101"/>
          <w:sz w:val="24"/>
          <w:szCs w:val="24"/>
        </w:rPr>
        <w:t xml:space="preserve"> </w:t>
      </w:r>
      <w:r>
        <w:rPr>
          <w:rFonts w:cs="Times New Roman"/>
          <w:sz w:val="24"/>
          <w:szCs w:val="24"/>
        </w:rPr>
        <w:t xml:space="preserve">Doctor of Engineering as of date of </w:t>
      </w:r>
      <w:r w:rsidR="002A493A">
        <w:rPr>
          <w:rFonts w:cs="Times New Roman"/>
          <w:sz w:val="24"/>
          <w:szCs w:val="24"/>
        </w:rPr>
        <w:t>December X, 2026</w:t>
      </w:r>
      <w:r>
        <w:rPr>
          <w:rFonts w:cs="Times New Roman"/>
          <w:sz w:val="24"/>
          <w:szCs w:val="24"/>
        </w:rPr>
        <w:t>. This is the final and approved</w:t>
      </w:r>
      <w:r>
        <w:rPr>
          <w:rFonts w:cs="Times New Roman"/>
          <w:w w:val="101"/>
          <w:sz w:val="24"/>
          <w:szCs w:val="24"/>
        </w:rPr>
        <w:t xml:space="preserve"> </w:t>
      </w:r>
      <w:r>
        <w:rPr>
          <w:rFonts w:cs="Times New Roman"/>
          <w:sz w:val="24"/>
          <w:szCs w:val="24"/>
        </w:rPr>
        <w:t xml:space="preserve">form of the </w:t>
      </w:r>
      <w:r w:rsidR="002A493A">
        <w:rPr>
          <w:rFonts w:cs="Times New Roman"/>
          <w:sz w:val="24"/>
          <w:szCs w:val="24"/>
        </w:rPr>
        <w:t>Praxis</w:t>
      </w:r>
      <w:r>
        <w:rPr>
          <w:rFonts w:cs="Times New Roman"/>
          <w:sz w:val="24"/>
          <w:szCs w:val="24"/>
        </w:rPr>
        <w:t>.</w:t>
      </w:r>
    </w:p>
    <w:p w14:paraId="2E896830" w14:textId="77777777" w:rsidR="00F17123" w:rsidRDefault="00F17123" w:rsidP="00461622">
      <w:pPr>
        <w:pStyle w:val="BodyText"/>
        <w:tabs>
          <w:tab w:val="left" w:pos="0"/>
        </w:tabs>
        <w:ind w:left="0"/>
        <w:jc w:val="center"/>
        <w:rPr>
          <w:rFonts w:cs="Times New Roman"/>
          <w:sz w:val="24"/>
          <w:szCs w:val="24"/>
        </w:rPr>
      </w:pPr>
    </w:p>
    <w:p w14:paraId="686EC470" w14:textId="77777777" w:rsidR="00F17123" w:rsidRPr="00E36006" w:rsidRDefault="00F17123" w:rsidP="00461622">
      <w:pPr>
        <w:pStyle w:val="BodyText"/>
        <w:tabs>
          <w:tab w:val="left" w:pos="0"/>
        </w:tabs>
        <w:ind w:left="0"/>
        <w:jc w:val="center"/>
        <w:rPr>
          <w:rFonts w:cs="Times New Roman"/>
          <w:sz w:val="24"/>
          <w:szCs w:val="24"/>
        </w:rPr>
      </w:pPr>
    </w:p>
    <w:p w14:paraId="7C72F611" w14:textId="77777777" w:rsidR="00F17123" w:rsidRDefault="00F17123" w:rsidP="00461622">
      <w:pPr>
        <w:spacing w:after="0" w:line="240" w:lineRule="auto"/>
        <w:jc w:val="center"/>
        <w:rPr>
          <w:rFonts w:ascii="Times New Roman" w:hAnsi="Times New Roman" w:cs="Times New Roman"/>
          <w:b/>
          <w:bCs/>
        </w:rPr>
      </w:pPr>
      <w:r>
        <w:rPr>
          <w:rFonts w:ascii="Times New Roman" w:hAnsi="Times New Roman" w:cs="Times New Roman"/>
          <w:b/>
          <w:bCs/>
        </w:rPr>
        <w:t>Framework for Correlating Security Anomalies with Classification of PII to Identify Data Theft Attacks</w:t>
      </w:r>
    </w:p>
    <w:p w14:paraId="6156F444" w14:textId="77777777" w:rsidR="00461622" w:rsidRDefault="00461622" w:rsidP="00461622">
      <w:pPr>
        <w:spacing w:after="0" w:line="240" w:lineRule="auto"/>
        <w:jc w:val="center"/>
        <w:rPr>
          <w:rFonts w:ascii="Times New Roman" w:hAnsi="Times New Roman" w:cs="Times New Roman"/>
          <w:b/>
          <w:bCs/>
        </w:rPr>
      </w:pPr>
    </w:p>
    <w:p w14:paraId="5FE5CBEA" w14:textId="77777777" w:rsidR="00461622" w:rsidRDefault="00461622" w:rsidP="00461622">
      <w:pPr>
        <w:spacing w:after="0" w:line="240" w:lineRule="auto"/>
        <w:jc w:val="center"/>
        <w:rPr>
          <w:rFonts w:ascii="Times New Roman" w:hAnsi="Times New Roman" w:cs="Times New Roman"/>
          <w:b/>
          <w:bCs/>
        </w:rPr>
      </w:pPr>
    </w:p>
    <w:p w14:paraId="0DCCA97A" w14:textId="77777777" w:rsidR="00461622" w:rsidRDefault="00461622" w:rsidP="00461622">
      <w:pPr>
        <w:spacing w:after="0" w:line="240" w:lineRule="auto"/>
        <w:jc w:val="center"/>
        <w:rPr>
          <w:rFonts w:ascii="Times New Roman" w:hAnsi="Times New Roman" w:cs="Times New Roman"/>
          <w:b/>
          <w:bCs/>
        </w:rPr>
      </w:pPr>
    </w:p>
    <w:p w14:paraId="7F8E5C26" w14:textId="77777777" w:rsidR="00F17123" w:rsidRPr="00CE648C" w:rsidRDefault="00F17123" w:rsidP="00461622">
      <w:pPr>
        <w:pStyle w:val="BodyText"/>
        <w:ind w:left="0"/>
        <w:jc w:val="center"/>
        <w:rPr>
          <w:rFonts w:cs="Times New Roman"/>
          <w:sz w:val="24"/>
          <w:szCs w:val="24"/>
        </w:rPr>
      </w:pPr>
      <w:r>
        <w:rPr>
          <w:rFonts w:cs="Times New Roman"/>
          <w:sz w:val="24"/>
          <w:szCs w:val="24"/>
        </w:rPr>
        <w:t>Sanjay Raja</w:t>
      </w:r>
    </w:p>
    <w:p w14:paraId="13720BCD" w14:textId="77777777" w:rsidR="00F17123" w:rsidRPr="000A1F2F" w:rsidRDefault="00F17123" w:rsidP="00461622">
      <w:pPr>
        <w:spacing w:after="0" w:line="240" w:lineRule="auto"/>
        <w:jc w:val="center"/>
        <w:rPr>
          <w:rFonts w:ascii="Times New Roman" w:eastAsia="Times New Roman" w:hAnsi="Times New Roman" w:cs="Times New Roman"/>
        </w:rPr>
      </w:pPr>
    </w:p>
    <w:p w14:paraId="193B83D4" w14:textId="77777777" w:rsidR="00F17123" w:rsidRDefault="00F17123" w:rsidP="00461622">
      <w:pPr>
        <w:spacing w:after="0" w:line="240" w:lineRule="auto"/>
        <w:jc w:val="center"/>
        <w:rPr>
          <w:rFonts w:ascii="Times New Roman" w:eastAsia="Arial" w:hAnsi="Times New Roman" w:cs="Times New Roman"/>
        </w:rPr>
      </w:pPr>
    </w:p>
    <w:p w14:paraId="1B3D1304" w14:textId="77777777" w:rsidR="00461622" w:rsidRPr="000A1F2F" w:rsidRDefault="00461622" w:rsidP="00461622">
      <w:pPr>
        <w:spacing w:after="0" w:line="240" w:lineRule="auto"/>
        <w:jc w:val="center"/>
        <w:rPr>
          <w:rFonts w:ascii="Times New Roman" w:eastAsia="Arial" w:hAnsi="Times New Roman" w:cs="Times New Roman"/>
        </w:rPr>
      </w:pPr>
    </w:p>
    <w:p w14:paraId="110F405F" w14:textId="77777777" w:rsidR="00F17123" w:rsidRPr="00CE648C" w:rsidRDefault="00F17123" w:rsidP="00461622">
      <w:pPr>
        <w:pStyle w:val="BodyText"/>
        <w:ind w:left="0"/>
        <w:rPr>
          <w:rFonts w:cs="Times New Roman"/>
          <w:sz w:val="24"/>
          <w:szCs w:val="24"/>
        </w:rPr>
      </w:pPr>
      <w:r>
        <w:rPr>
          <w:rFonts w:cs="Times New Roman"/>
          <w:sz w:val="24"/>
          <w:szCs w:val="24"/>
        </w:rPr>
        <w:t>Dissertation Research Committee:</w:t>
      </w:r>
    </w:p>
    <w:p w14:paraId="11252DAB" w14:textId="77777777" w:rsidR="00F17123" w:rsidRPr="00CE648C" w:rsidRDefault="00F17123" w:rsidP="00461622">
      <w:pPr>
        <w:spacing w:after="0" w:line="240" w:lineRule="auto"/>
        <w:rPr>
          <w:rFonts w:ascii="Times New Roman" w:eastAsia="Times New Roman" w:hAnsi="Times New Roman" w:cs="Times New Roman"/>
        </w:rPr>
      </w:pPr>
    </w:p>
    <w:p w14:paraId="5A55B297" w14:textId="77777777" w:rsidR="00F17123" w:rsidRPr="00CE648C" w:rsidRDefault="00F17123" w:rsidP="00461622">
      <w:pPr>
        <w:pStyle w:val="BodyText"/>
        <w:ind w:left="720"/>
        <w:rPr>
          <w:rFonts w:cs="Times New Roman"/>
          <w:sz w:val="24"/>
          <w:szCs w:val="24"/>
        </w:rPr>
      </w:pPr>
      <w:r>
        <w:rPr>
          <w:rFonts w:cs="Times New Roman"/>
          <w:sz w:val="24"/>
          <w:szCs w:val="24"/>
        </w:rPr>
        <w:t>Committee member's full name, academic title, Dissertation Director</w:t>
      </w:r>
    </w:p>
    <w:p w14:paraId="24B130E9" w14:textId="77777777" w:rsidR="00F17123" w:rsidRPr="00CE648C" w:rsidRDefault="00F17123" w:rsidP="00461622">
      <w:pPr>
        <w:spacing w:after="0" w:line="240" w:lineRule="auto"/>
        <w:ind w:left="720"/>
        <w:rPr>
          <w:rFonts w:ascii="Times New Roman" w:eastAsia="Times New Roman" w:hAnsi="Times New Roman" w:cs="Times New Roman"/>
        </w:rPr>
      </w:pPr>
    </w:p>
    <w:p w14:paraId="3CAE1D42" w14:textId="77777777" w:rsidR="00F17123" w:rsidRPr="00CE648C" w:rsidRDefault="00F17123" w:rsidP="00461622">
      <w:pPr>
        <w:pStyle w:val="BodyText"/>
        <w:ind w:left="720"/>
        <w:rPr>
          <w:rFonts w:cs="Times New Roman"/>
          <w:sz w:val="24"/>
          <w:szCs w:val="24"/>
        </w:rPr>
      </w:pPr>
      <w:r>
        <w:rPr>
          <w:rFonts w:cs="Times New Roman"/>
          <w:sz w:val="24"/>
          <w:szCs w:val="24"/>
        </w:rPr>
        <w:t>Committee member's full name, academic title, Committee Member</w:t>
      </w:r>
    </w:p>
    <w:p w14:paraId="7EA532CE" w14:textId="77777777" w:rsidR="00F17123" w:rsidRPr="00CE648C" w:rsidRDefault="00F17123" w:rsidP="00461622">
      <w:pPr>
        <w:pStyle w:val="BodyText"/>
        <w:ind w:left="720"/>
        <w:rPr>
          <w:rFonts w:cs="Times New Roman"/>
          <w:sz w:val="24"/>
          <w:szCs w:val="24"/>
        </w:rPr>
      </w:pPr>
    </w:p>
    <w:p w14:paraId="229B1421" w14:textId="77777777" w:rsidR="00F17123" w:rsidRPr="00CE648C" w:rsidRDefault="00F17123" w:rsidP="00461622">
      <w:pPr>
        <w:pStyle w:val="BodyText"/>
        <w:ind w:left="720"/>
        <w:rPr>
          <w:rFonts w:cs="Times New Roman"/>
          <w:sz w:val="24"/>
          <w:szCs w:val="24"/>
        </w:rPr>
      </w:pPr>
      <w:r>
        <w:rPr>
          <w:rFonts w:cs="Times New Roman"/>
          <w:sz w:val="24"/>
          <w:szCs w:val="24"/>
        </w:rPr>
        <w:t>Committee member's full name, academic title, Committee Member</w:t>
      </w:r>
    </w:p>
    <w:p w14:paraId="3260033E" w14:textId="77777777" w:rsidR="00F17123" w:rsidRPr="00CE648C" w:rsidRDefault="00F17123" w:rsidP="00461622">
      <w:pPr>
        <w:spacing w:after="0" w:line="240" w:lineRule="auto"/>
        <w:rPr>
          <w:rFonts w:ascii="Times New Roman" w:eastAsia="Times New Roman" w:hAnsi="Times New Roman" w:cs="Times New Roman"/>
        </w:rPr>
      </w:pPr>
    </w:p>
    <w:p w14:paraId="28691F6A" w14:textId="77777777" w:rsidR="00F17123" w:rsidRPr="00CE648C" w:rsidRDefault="00F17123" w:rsidP="00461622">
      <w:pPr>
        <w:pStyle w:val="BodyText"/>
        <w:ind w:left="720"/>
        <w:rPr>
          <w:rFonts w:cs="Times New Roman"/>
          <w:sz w:val="24"/>
          <w:szCs w:val="24"/>
        </w:rPr>
      </w:pPr>
      <w:r>
        <w:rPr>
          <w:rFonts w:cs="Times New Roman"/>
          <w:sz w:val="24"/>
          <w:szCs w:val="24"/>
        </w:rPr>
        <w:t>Committee member's full name, academic title, Committee Member</w:t>
      </w:r>
    </w:p>
    <w:p w14:paraId="63E700B2" w14:textId="77777777" w:rsidR="00F17123" w:rsidRPr="00CE648C" w:rsidRDefault="00F17123" w:rsidP="00461622">
      <w:pPr>
        <w:pStyle w:val="BodyText"/>
        <w:ind w:left="720"/>
        <w:rPr>
          <w:rFonts w:cs="Times New Roman"/>
          <w:sz w:val="24"/>
          <w:szCs w:val="24"/>
        </w:rPr>
      </w:pPr>
    </w:p>
    <w:p w14:paraId="301288AD" w14:textId="77777777" w:rsidR="007373E3" w:rsidRDefault="00F17123" w:rsidP="00461622">
      <w:pPr>
        <w:pStyle w:val="BodyText"/>
        <w:ind w:left="720"/>
        <w:rPr>
          <w:rFonts w:cs="Times New Roman"/>
          <w:sz w:val="24"/>
          <w:szCs w:val="24"/>
        </w:rPr>
        <w:sectPr w:rsidR="007373E3" w:rsidSect="007373E3">
          <w:footerReference w:type="default" r:id="rId11"/>
          <w:footerReference w:type="first" r:id="rId12"/>
          <w:pgSz w:w="12240" w:h="15840"/>
          <w:pgMar w:top="1440" w:right="1440" w:bottom="1440" w:left="1440" w:header="720" w:footer="720" w:gutter="0"/>
          <w:pgNumType w:start="1"/>
          <w:cols w:space="720"/>
          <w:titlePg/>
          <w:docGrid w:linePitch="360"/>
        </w:sectPr>
      </w:pPr>
      <w:r>
        <w:rPr>
          <w:rFonts w:cs="Times New Roman"/>
          <w:sz w:val="24"/>
          <w:szCs w:val="24"/>
        </w:rPr>
        <w:t>Committee member's full name, academic title, Committee Member</w:t>
      </w:r>
    </w:p>
    <w:p w14:paraId="521230C9" w14:textId="77777777" w:rsidR="00F17123" w:rsidRPr="00CE648C" w:rsidRDefault="00F17123" w:rsidP="00461622">
      <w:pPr>
        <w:pStyle w:val="BodyText"/>
        <w:ind w:left="720"/>
        <w:rPr>
          <w:rFonts w:cs="Times New Roman"/>
          <w:sz w:val="24"/>
          <w:szCs w:val="24"/>
        </w:rPr>
      </w:pPr>
    </w:p>
    <w:p w14:paraId="1EE663FE" w14:textId="77777777" w:rsidR="00BA2401" w:rsidRPr="00F17123" w:rsidRDefault="00BA2401" w:rsidP="00461622">
      <w:pPr>
        <w:spacing w:after="0" w:line="240" w:lineRule="auto"/>
        <w:rPr>
          <w:rFonts w:ascii="Times New Roman" w:hAnsi="Times New Roman" w:cs="Times New Roman"/>
          <w:b/>
          <w:bCs/>
        </w:rPr>
      </w:pPr>
    </w:p>
    <w:p w14:paraId="0796BA01" w14:textId="77777777" w:rsidR="005D3B36" w:rsidRDefault="005D3B36" w:rsidP="00BA2401">
      <w:pPr>
        <w:rPr>
          <w:rFonts w:ascii="Times New Roman" w:hAnsi="Times New Roman" w:cs="Times New Roman"/>
          <w:b/>
          <w:bCs/>
        </w:rPr>
      </w:pPr>
    </w:p>
    <w:p w14:paraId="3C6A6AB7" w14:textId="77777777" w:rsidR="00461622" w:rsidRDefault="00461622" w:rsidP="00BA2401">
      <w:pPr>
        <w:rPr>
          <w:rFonts w:ascii="Times New Roman" w:hAnsi="Times New Roman" w:cs="Times New Roman"/>
          <w:b/>
          <w:bCs/>
        </w:rPr>
      </w:pPr>
    </w:p>
    <w:p w14:paraId="598CCAB7" w14:textId="77777777" w:rsidR="00461622" w:rsidRDefault="00461622" w:rsidP="00BA2401">
      <w:pPr>
        <w:rPr>
          <w:rFonts w:ascii="Times New Roman" w:hAnsi="Times New Roman" w:cs="Times New Roman"/>
          <w:b/>
          <w:bCs/>
        </w:rPr>
      </w:pPr>
    </w:p>
    <w:p w14:paraId="0949BF53" w14:textId="77777777" w:rsidR="00461622" w:rsidRDefault="00461622" w:rsidP="00BA2401">
      <w:pPr>
        <w:rPr>
          <w:rFonts w:ascii="Times New Roman" w:hAnsi="Times New Roman" w:cs="Times New Roman"/>
          <w:b/>
          <w:bCs/>
        </w:rPr>
      </w:pPr>
    </w:p>
    <w:p w14:paraId="6D3D9BC1" w14:textId="77777777" w:rsidR="00461622" w:rsidRDefault="00461622" w:rsidP="00BA2401">
      <w:pPr>
        <w:rPr>
          <w:rFonts w:ascii="Times New Roman" w:hAnsi="Times New Roman" w:cs="Times New Roman"/>
          <w:b/>
          <w:bCs/>
        </w:rPr>
      </w:pPr>
    </w:p>
    <w:p w14:paraId="6F8D3BB0" w14:textId="77777777" w:rsidR="00461622" w:rsidRDefault="00461622" w:rsidP="00BA2401">
      <w:pPr>
        <w:rPr>
          <w:rFonts w:ascii="Times New Roman" w:hAnsi="Times New Roman" w:cs="Times New Roman"/>
          <w:b/>
          <w:bCs/>
        </w:rPr>
      </w:pPr>
    </w:p>
    <w:p w14:paraId="1837C374" w14:textId="77777777" w:rsidR="00461622" w:rsidRDefault="00461622" w:rsidP="00BA2401">
      <w:pPr>
        <w:rPr>
          <w:rFonts w:ascii="Times New Roman" w:hAnsi="Times New Roman" w:cs="Times New Roman"/>
          <w:b/>
          <w:bCs/>
        </w:rPr>
      </w:pPr>
    </w:p>
    <w:p w14:paraId="2E51FE00" w14:textId="77777777" w:rsidR="00461622" w:rsidRDefault="00461622" w:rsidP="00BA2401">
      <w:pPr>
        <w:rPr>
          <w:rFonts w:ascii="Times New Roman" w:hAnsi="Times New Roman" w:cs="Times New Roman"/>
          <w:b/>
          <w:bCs/>
        </w:rPr>
      </w:pPr>
    </w:p>
    <w:p w14:paraId="1A8A1D12" w14:textId="77777777" w:rsidR="00461622" w:rsidRDefault="00461622" w:rsidP="00BA2401">
      <w:pPr>
        <w:rPr>
          <w:rFonts w:ascii="Times New Roman" w:hAnsi="Times New Roman" w:cs="Times New Roman"/>
          <w:b/>
          <w:bCs/>
        </w:rPr>
      </w:pPr>
    </w:p>
    <w:p w14:paraId="3F89F190" w14:textId="77777777" w:rsidR="00461622" w:rsidRDefault="00461622" w:rsidP="005D3B36">
      <w:pPr>
        <w:pStyle w:val="BodyText"/>
        <w:ind w:left="0"/>
        <w:jc w:val="center"/>
        <w:rPr>
          <w:sz w:val="24"/>
          <w:szCs w:val="24"/>
        </w:rPr>
      </w:pPr>
    </w:p>
    <w:p w14:paraId="2A04F9BB" w14:textId="77777777" w:rsidR="00461622" w:rsidRDefault="00461622" w:rsidP="005D3B36">
      <w:pPr>
        <w:pStyle w:val="BodyText"/>
        <w:ind w:left="0"/>
        <w:jc w:val="center"/>
        <w:rPr>
          <w:sz w:val="24"/>
          <w:szCs w:val="24"/>
        </w:rPr>
      </w:pPr>
    </w:p>
    <w:p w14:paraId="1BED3B4D" w14:textId="77777777" w:rsidR="00461622" w:rsidRDefault="00461622" w:rsidP="005D3B36">
      <w:pPr>
        <w:pStyle w:val="BodyText"/>
        <w:ind w:left="0"/>
        <w:jc w:val="center"/>
        <w:rPr>
          <w:sz w:val="24"/>
          <w:szCs w:val="24"/>
        </w:rPr>
      </w:pPr>
    </w:p>
    <w:p w14:paraId="7708AD92" w14:textId="77777777" w:rsidR="00461622" w:rsidRDefault="00461622" w:rsidP="005D3B36">
      <w:pPr>
        <w:pStyle w:val="BodyText"/>
        <w:ind w:left="0"/>
        <w:jc w:val="center"/>
        <w:rPr>
          <w:sz w:val="24"/>
          <w:szCs w:val="24"/>
        </w:rPr>
      </w:pPr>
    </w:p>
    <w:p w14:paraId="22F7A783" w14:textId="77777777" w:rsidR="007373E3" w:rsidRDefault="007373E3" w:rsidP="005D3B36">
      <w:pPr>
        <w:pStyle w:val="BodyText"/>
        <w:ind w:left="0"/>
        <w:jc w:val="center"/>
        <w:rPr>
          <w:sz w:val="24"/>
          <w:szCs w:val="24"/>
        </w:rPr>
      </w:pPr>
    </w:p>
    <w:p w14:paraId="11E20E9B" w14:textId="77777777" w:rsidR="005D3B36" w:rsidRPr="00E36006" w:rsidRDefault="005D3B36" w:rsidP="005D3B36">
      <w:pPr>
        <w:pStyle w:val="BodyText"/>
        <w:ind w:left="0"/>
        <w:jc w:val="center"/>
        <w:rPr>
          <w:w w:val="101"/>
          <w:sz w:val="24"/>
          <w:szCs w:val="24"/>
        </w:rPr>
      </w:pPr>
      <w:r>
        <w:rPr>
          <w:sz w:val="24"/>
          <w:szCs w:val="24"/>
        </w:rPr>
        <w:t>©</w:t>
      </w:r>
      <w:r>
        <w:rPr>
          <w:spacing w:val="1"/>
          <w:sz w:val="24"/>
          <w:szCs w:val="24"/>
        </w:rPr>
        <w:t xml:space="preserve"> </w:t>
      </w:r>
      <w:r>
        <w:rPr>
          <w:sz w:val="24"/>
          <w:szCs w:val="24"/>
        </w:rPr>
        <w:t>Copyright</w:t>
      </w:r>
      <w:r>
        <w:rPr>
          <w:spacing w:val="4"/>
          <w:sz w:val="24"/>
          <w:szCs w:val="24"/>
        </w:rPr>
        <w:t xml:space="preserve"> </w:t>
      </w:r>
      <w:r>
        <w:rPr>
          <w:sz w:val="24"/>
          <w:szCs w:val="24"/>
        </w:rPr>
        <w:t>2026</w:t>
      </w:r>
      <w:r>
        <w:rPr>
          <w:spacing w:val="5"/>
          <w:sz w:val="24"/>
          <w:szCs w:val="24"/>
        </w:rPr>
        <w:t xml:space="preserve"> </w:t>
      </w:r>
      <w:r>
        <w:rPr>
          <w:sz w:val="24"/>
          <w:szCs w:val="24"/>
        </w:rPr>
        <w:t>by Sanjay Raja</w:t>
      </w:r>
    </w:p>
    <w:p w14:paraId="285704C3" w14:textId="77777777" w:rsidR="005D3B36" w:rsidRPr="00E36006" w:rsidRDefault="005D3B36" w:rsidP="005D3B36">
      <w:pPr>
        <w:pStyle w:val="BodyText"/>
        <w:ind w:left="0"/>
        <w:jc w:val="center"/>
        <w:rPr>
          <w:sz w:val="24"/>
          <w:szCs w:val="24"/>
        </w:rPr>
      </w:pPr>
      <w:r>
        <w:rPr>
          <w:sz w:val="24"/>
          <w:szCs w:val="24"/>
        </w:rPr>
        <w:t>All</w:t>
      </w:r>
      <w:r>
        <w:rPr>
          <w:spacing w:val="1"/>
          <w:sz w:val="24"/>
          <w:szCs w:val="24"/>
        </w:rPr>
        <w:t xml:space="preserve"> </w:t>
      </w:r>
      <w:r>
        <w:rPr>
          <w:sz w:val="24"/>
          <w:szCs w:val="24"/>
        </w:rPr>
        <w:t>rights</w:t>
      </w:r>
      <w:r>
        <w:rPr>
          <w:spacing w:val="2"/>
          <w:sz w:val="24"/>
          <w:szCs w:val="24"/>
        </w:rPr>
        <w:t xml:space="preserve"> </w:t>
      </w:r>
      <w:r>
        <w:rPr>
          <w:sz w:val="24"/>
          <w:szCs w:val="24"/>
        </w:rPr>
        <w:t>reserved</w:t>
      </w:r>
    </w:p>
    <w:p w14:paraId="2D5E6603" w14:textId="77777777" w:rsidR="005D3B36" w:rsidRDefault="005D3B36" w:rsidP="00BA2401">
      <w:pPr>
        <w:rPr>
          <w:rFonts w:ascii="Times New Roman" w:hAnsi="Times New Roman" w:cs="Times New Roman"/>
          <w:b/>
          <w:bCs/>
        </w:rPr>
      </w:pPr>
    </w:p>
    <w:p w14:paraId="197C4B46" w14:textId="77777777" w:rsidR="005D3B36" w:rsidRDefault="005D3B36" w:rsidP="00BA2401">
      <w:pPr>
        <w:rPr>
          <w:rFonts w:ascii="Times New Roman" w:hAnsi="Times New Roman" w:cs="Times New Roman"/>
          <w:b/>
          <w:bCs/>
        </w:rPr>
      </w:pPr>
    </w:p>
    <w:p w14:paraId="50606929" w14:textId="77777777" w:rsidR="005D3B36" w:rsidRDefault="005D3B36" w:rsidP="00BA2401">
      <w:pPr>
        <w:rPr>
          <w:rFonts w:ascii="Times New Roman" w:hAnsi="Times New Roman" w:cs="Times New Roman"/>
          <w:b/>
          <w:bCs/>
        </w:rPr>
      </w:pPr>
    </w:p>
    <w:p w14:paraId="1DAF3498" w14:textId="77777777" w:rsidR="005D3B36" w:rsidRDefault="005D3B36" w:rsidP="00BA2401">
      <w:pPr>
        <w:rPr>
          <w:rFonts w:ascii="Times New Roman" w:hAnsi="Times New Roman" w:cs="Times New Roman"/>
          <w:b/>
          <w:bCs/>
        </w:rPr>
      </w:pPr>
    </w:p>
    <w:p w14:paraId="658177DE" w14:textId="77777777" w:rsidR="005D3B36" w:rsidRDefault="005D3B36" w:rsidP="00BA2401">
      <w:pPr>
        <w:rPr>
          <w:rFonts w:ascii="Times New Roman" w:hAnsi="Times New Roman" w:cs="Times New Roman"/>
          <w:b/>
          <w:bCs/>
        </w:rPr>
      </w:pPr>
    </w:p>
    <w:p w14:paraId="32E078E2" w14:textId="77777777" w:rsidR="005D3B36" w:rsidRDefault="005D3B36" w:rsidP="00BA2401">
      <w:pPr>
        <w:rPr>
          <w:rFonts w:ascii="Times New Roman" w:hAnsi="Times New Roman" w:cs="Times New Roman"/>
          <w:b/>
          <w:bCs/>
        </w:rPr>
      </w:pPr>
    </w:p>
    <w:p w14:paraId="688A4BE4" w14:textId="77777777" w:rsidR="000654C5" w:rsidRDefault="000654C5" w:rsidP="00BA2401">
      <w:pPr>
        <w:rPr>
          <w:rFonts w:ascii="Times New Roman" w:hAnsi="Times New Roman" w:cs="Times New Roman"/>
          <w:b/>
          <w:bCs/>
        </w:rPr>
      </w:pPr>
    </w:p>
    <w:p w14:paraId="1C8E6935" w14:textId="77777777" w:rsidR="000654C5" w:rsidRDefault="000654C5">
      <w:pPr>
        <w:rPr>
          <w:rFonts w:ascii="Times New Roman" w:hAnsi="Times New Roman" w:cs="Times New Roman"/>
          <w:b/>
          <w:bCs/>
        </w:rPr>
      </w:pPr>
      <w:r>
        <w:rPr>
          <w:rFonts w:ascii="Times New Roman" w:hAnsi="Times New Roman" w:cs="Times New Roman"/>
          <w:b/>
          <w:bCs/>
        </w:rPr>
        <w:br w:type="page"/>
      </w:r>
    </w:p>
    <w:p w14:paraId="1E66E801" w14:textId="77777777" w:rsidR="000654C5" w:rsidRPr="00CE648C" w:rsidRDefault="000654C5" w:rsidP="000654C5">
      <w:pPr>
        <w:pStyle w:val="BodyText"/>
        <w:ind w:left="0"/>
        <w:jc w:val="center"/>
        <w:rPr>
          <w:rFonts w:ascii="Calibri" w:eastAsia="Calibri" w:hAnsi="Calibri" w:cs="Calibri"/>
          <w:b/>
          <w:sz w:val="24"/>
          <w:szCs w:val="24"/>
        </w:rPr>
      </w:pPr>
      <w:r>
        <w:rPr>
          <w:b/>
          <w:sz w:val="24"/>
          <w:szCs w:val="24"/>
        </w:rPr>
        <w:lastRenderedPageBreak/>
        <w:t>Dedication</w:t>
      </w:r>
    </w:p>
    <w:p w14:paraId="6CDF285B" w14:textId="77777777" w:rsidR="000654C5" w:rsidRPr="00CE648C" w:rsidRDefault="000654C5" w:rsidP="000654C5">
      <w:pPr>
        <w:spacing w:before="3"/>
        <w:jc w:val="center"/>
        <w:rPr>
          <w:rFonts w:ascii="Times New Roman" w:eastAsia="Calibri" w:hAnsi="Times New Roman" w:cs="Times New Roman"/>
        </w:rPr>
      </w:pPr>
    </w:p>
    <w:p w14:paraId="481C1B87" w14:textId="77777777" w:rsidR="000654C5" w:rsidRPr="00CE648C" w:rsidRDefault="000654C5" w:rsidP="000654C5">
      <w:pPr>
        <w:pStyle w:val="BodyText"/>
        <w:spacing w:line="480" w:lineRule="auto"/>
        <w:ind w:left="0" w:firstLine="720"/>
        <w:rPr>
          <w:rFonts w:cs="Times New Roman"/>
          <w:sz w:val="24"/>
          <w:szCs w:val="24"/>
        </w:rPr>
      </w:pPr>
      <w:r>
        <w:rPr>
          <w:rFonts w:cs="Times New Roman"/>
          <w:sz w:val="24"/>
          <w:szCs w:val="24"/>
        </w:rPr>
        <w:t>The author wishes to …</w:t>
      </w:r>
      <w:proofErr w:type="gramStart"/>
      <w:r>
        <w:rPr>
          <w:rFonts w:cs="Times New Roman"/>
          <w:sz w:val="24"/>
          <w:szCs w:val="24"/>
        </w:rPr>
        <w:t>…..</w:t>
      </w:r>
      <w:proofErr w:type="gramEnd"/>
      <w:r>
        <w:rPr>
          <w:rFonts w:cs="Times New Roman"/>
          <w:sz w:val="24"/>
          <w:szCs w:val="24"/>
        </w:rPr>
        <w:t>Please double space this text or delete this page if it is not used.</w:t>
      </w:r>
    </w:p>
    <w:p w14:paraId="7958D63E" w14:textId="77777777" w:rsidR="000654C5" w:rsidRPr="008B4EE5" w:rsidRDefault="000654C5" w:rsidP="000654C5">
      <w:pPr>
        <w:spacing w:line="480" w:lineRule="auto"/>
        <w:rPr>
          <w:rFonts w:ascii="Times New Roman" w:eastAsia="Times New Roman" w:hAnsi="Times New Roman" w:cs="Times New Roman"/>
        </w:rPr>
      </w:pPr>
    </w:p>
    <w:p w14:paraId="601FFE4F" w14:textId="77777777" w:rsidR="000654C5" w:rsidRPr="008B4EE5" w:rsidRDefault="000654C5" w:rsidP="000654C5">
      <w:pPr>
        <w:spacing w:line="480" w:lineRule="auto"/>
        <w:rPr>
          <w:rFonts w:ascii="Times New Roman" w:eastAsia="Times New Roman" w:hAnsi="Times New Roman" w:cs="Times New Roman"/>
        </w:rPr>
      </w:pPr>
    </w:p>
    <w:p w14:paraId="466C0B38" w14:textId="77777777" w:rsidR="000654C5" w:rsidRPr="008B4EE5" w:rsidRDefault="000654C5" w:rsidP="000654C5">
      <w:pPr>
        <w:spacing w:line="480" w:lineRule="auto"/>
        <w:rPr>
          <w:rFonts w:ascii="Times New Roman" w:eastAsia="Times New Roman" w:hAnsi="Times New Roman" w:cs="Times New Roman"/>
        </w:rPr>
      </w:pPr>
    </w:p>
    <w:p w14:paraId="39F73A1D" w14:textId="77777777" w:rsidR="000654C5" w:rsidRPr="008B4EE5" w:rsidRDefault="000654C5" w:rsidP="000654C5">
      <w:pPr>
        <w:spacing w:line="480" w:lineRule="auto"/>
        <w:rPr>
          <w:rFonts w:ascii="Times New Roman" w:eastAsia="Times New Roman" w:hAnsi="Times New Roman" w:cs="Times New Roman"/>
        </w:rPr>
      </w:pPr>
    </w:p>
    <w:p w14:paraId="5C7D2B0C" w14:textId="77777777" w:rsidR="000654C5" w:rsidRPr="008B4EE5" w:rsidRDefault="000654C5" w:rsidP="000654C5">
      <w:pPr>
        <w:spacing w:line="480" w:lineRule="auto"/>
        <w:rPr>
          <w:rFonts w:ascii="Times New Roman" w:eastAsia="Times New Roman" w:hAnsi="Times New Roman" w:cs="Times New Roman"/>
        </w:rPr>
      </w:pPr>
    </w:p>
    <w:p w14:paraId="48E95442" w14:textId="77777777" w:rsidR="000654C5" w:rsidRPr="008B4EE5" w:rsidRDefault="000654C5" w:rsidP="000654C5">
      <w:pPr>
        <w:spacing w:line="480" w:lineRule="auto"/>
        <w:rPr>
          <w:rFonts w:ascii="Times New Roman" w:eastAsia="Times New Roman" w:hAnsi="Times New Roman" w:cs="Times New Roman"/>
        </w:rPr>
      </w:pPr>
    </w:p>
    <w:p w14:paraId="3A524D35" w14:textId="77777777" w:rsidR="000654C5" w:rsidRPr="008B4EE5" w:rsidRDefault="000654C5" w:rsidP="000654C5">
      <w:pPr>
        <w:spacing w:line="480" w:lineRule="auto"/>
        <w:rPr>
          <w:rFonts w:ascii="Times New Roman" w:eastAsia="Times New Roman" w:hAnsi="Times New Roman" w:cs="Times New Roman"/>
        </w:rPr>
      </w:pPr>
    </w:p>
    <w:p w14:paraId="0268ACF2" w14:textId="77777777" w:rsidR="000654C5" w:rsidRPr="008B4EE5" w:rsidRDefault="000654C5" w:rsidP="000654C5">
      <w:pPr>
        <w:spacing w:line="480" w:lineRule="auto"/>
        <w:rPr>
          <w:rFonts w:ascii="Times New Roman" w:eastAsia="Times New Roman" w:hAnsi="Times New Roman" w:cs="Times New Roman"/>
        </w:rPr>
      </w:pPr>
    </w:p>
    <w:p w14:paraId="04BF665B" w14:textId="77777777" w:rsidR="000654C5" w:rsidRPr="008B4EE5" w:rsidRDefault="000654C5" w:rsidP="000654C5">
      <w:pPr>
        <w:spacing w:line="480" w:lineRule="auto"/>
        <w:rPr>
          <w:rFonts w:ascii="Times New Roman" w:eastAsia="Times New Roman" w:hAnsi="Times New Roman" w:cs="Times New Roman"/>
        </w:rPr>
      </w:pPr>
    </w:p>
    <w:p w14:paraId="3DC66B81" w14:textId="77777777" w:rsidR="000654C5" w:rsidRPr="008B4EE5" w:rsidRDefault="000654C5" w:rsidP="000654C5">
      <w:pPr>
        <w:spacing w:line="480" w:lineRule="auto"/>
        <w:rPr>
          <w:rFonts w:ascii="Times New Roman" w:eastAsia="Times New Roman" w:hAnsi="Times New Roman" w:cs="Times New Roman"/>
        </w:rPr>
      </w:pPr>
    </w:p>
    <w:p w14:paraId="00171869" w14:textId="77777777" w:rsidR="000654C5" w:rsidRPr="008B4EE5" w:rsidRDefault="000654C5" w:rsidP="000654C5">
      <w:pPr>
        <w:spacing w:line="480" w:lineRule="auto"/>
        <w:rPr>
          <w:rFonts w:ascii="Times New Roman" w:eastAsia="Times New Roman" w:hAnsi="Times New Roman" w:cs="Times New Roman"/>
        </w:rPr>
      </w:pPr>
    </w:p>
    <w:p w14:paraId="1110358F" w14:textId="77777777" w:rsidR="000654C5" w:rsidRPr="008B4EE5" w:rsidRDefault="000654C5" w:rsidP="000654C5">
      <w:pPr>
        <w:spacing w:line="480" w:lineRule="auto"/>
        <w:rPr>
          <w:rFonts w:ascii="Times New Roman" w:eastAsia="Times New Roman" w:hAnsi="Times New Roman" w:cs="Times New Roman"/>
        </w:rPr>
      </w:pPr>
    </w:p>
    <w:p w14:paraId="35E37862" w14:textId="77777777" w:rsidR="000654C5" w:rsidRPr="008B4EE5" w:rsidRDefault="000654C5" w:rsidP="000654C5">
      <w:pPr>
        <w:spacing w:line="480" w:lineRule="auto"/>
        <w:rPr>
          <w:rFonts w:ascii="Times New Roman" w:eastAsia="Times New Roman" w:hAnsi="Times New Roman" w:cs="Times New Roman"/>
        </w:rPr>
      </w:pPr>
    </w:p>
    <w:p w14:paraId="728E0908" w14:textId="77777777" w:rsidR="000654C5" w:rsidRPr="008B4EE5" w:rsidRDefault="000654C5" w:rsidP="000654C5">
      <w:pPr>
        <w:spacing w:line="480" w:lineRule="auto"/>
        <w:rPr>
          <w:rFonts w:ascii="Times New Roman" w:eastAsia="Times New Roman" w:hAnsi="Times New Roman" w:cs="Times New Roman"/>
        </w:rPr>
      </w:pPr>
    </w:p>
    <w:p w14:paraId="4DFD5FD5" w14:textId="77777777" w:rsidR="000654C5" w:rsidRPr="008B4EE5" w:rsidRDefault="000654C5" w:rsidP="000654C5">
      <w:pPr>
        <w:spacing w:line="480" w:lineRule="auto"/>
        <w:rPr>
          <w:rFonts w:ascii="Times New Roman" w:eastAsia="Times New Roman" w:hAnsi="Times New Roman" w:cs="Times New Roman"/>
        </w:rPr>
      </w:pPr>
    </w:p>
    <w:p w14:paraId="0C5245D3" w14:textId="77777777" w:rsidR="00461622" w:rsidRDefault="00461622" w:rsidP="000654C5">
      <w:pPr>
        <w:pStyle w:val="BodyText"/>
        <w:ind w:left="0"/>
        <w:jc w:val="center"/>
        <w:rPr>
          <w:b/>
          <w:sz w:val="24"/>
          <w:szCs w:val="24"/>
        </w:rPr>
      </w:pPr>
    </w:p>
    <w:p w14:paraId="4B4D6227" w14:textId="77777777" w:rsidR="000654C5" w:rsidRPr="00CE648C" w:rsidRDefault="000654C5" w:rsidP="000654C5">
      <w:pPr>
        <w:pStyle w:val="BodyText"/>
        <w:ind w:left="0"/>
        <w:jc w:val="center"/>
        <w:rPr>
          <w:rFonts w:ascii="Calibri" w:eastAsia="Calibri" w:hAnsi="Calibri" w:cs="Calibri"/>
          <w:b/>
          <w:sz w:val="24"/>
          <w:szCs w:val="24"/>
        </w:rPr>
      </w:pPr>
      <w:r>
        <w:rPr>
          <w:b/>
          <w:sz w:val="24"/>
          <w:szCs w:val="24"/>
        </w:rPr>
        <w:lastRenderedPageBreak/>
        <w:t>Acknowledgments</w:t>
      </w:r>
    </w:p>
    <w:p w14:paraId="72BB5C57" w14:textId="77777777" w:rsidR="000654C5" w:rsidRPr="000A1F2F" w:rsidRDefault="000654C5" w:rsidP="000654C5">
      <w:pPr>
        <w:jc w:val="center"/>
        <w:rPr>
          <w:rFonts w:ascii="Times New Roman" w:eastAsia="Calibri" w:hAnsi="Times New Roman" w:cs="Times New Roman"/>
        </w:rPr>
      </w:pPr>
    </w:p>
    <w:p w14:paraId="18D25E35" w14:textId="77777777" w:rsidR="000654C5" w:rsidRPr="000A1F2F" w:rsidRDefault="000654C5" w:rsidP="000654C5">
      <w:pPr>
        <w:spacing w:before="3"/>
        <w:jc w:val="center"/>
        <w:rPr>
          <w:rFonts w:ascii="Times New Roman" w:eastAsia="Calibri" w:hAnsi="Times New Roman" w:cs="Times New Roman"/>
        </w:rPr>
      </w:pPr>
    </w:p>
    <w:p w14:paraId="5974E09C" w14:textId="77777777" w:rsidR="000654C5" w:rsidRPr="00CE648C" w:rsidRDefault="000654C5" w:rsidP="000654C5">
      <w:pPr>
        <w:pStyle w:val="BodyText"/>
        <w:spacing w:line="480" w:lineRule="auto"/>
        <w:ind w:left="0" w:firstLine="607"/>
        <w:rPr>
          <w:rFonts w:cs="Times New Roman"/>
          <w:sz w:val="24"/>
          <w:szCs w:val="24"/>
        </w:rPr>
      </w:pPr>
      <w:r>
        <w:rPr>
          <w:rFonts w:cs="Times New Roman"/>
          <w:sz w:val="24"/>
          <w:szCs w:val="24"/>
        </w:rPr>
        <w:t>The author wishes to acknowledge</w:t>
      </w:r>
      <w:proofErr w:type="gramStart"/>
      <w:r>
        <w:rPr>
          <w:rFonts w:cs="Times New Roman"/>
          <w:sz w:val="24"/>
          <w:szCs w:val="24"/>
        </w:rPr>
        <w:t>…..</w:t>
      </w:r>
      <w:proofErr w:type="gramEnd"/>
      <w:r>
        <w:rPr>
          <w:rFonts w:cs="Times New Roman"/>
          <w:sz w:val="24"/>
          <w:szCs w:val="24"/>
        </w:rPr>
        <w:t xml:space="preserve"> Please double space this text or delete this page if it is not used</w:t>
      </w:r>
    </w:p>
    <w:p w14:paraId="73D993D7" w14:textId="77777777" w:rsidR="000654C5" w:rsidRPr="000A1F2F" w:rsidRDefault="000654C5" w:rsidP="000654C5">
      <w:pPr>
        <w:spacing w:line="480" w:lineRule="auto"/>
        <w:rPr>
          <w:rFonts w:ascii="Times New Roman" w:eastAsia="Times New Roman" w:hAnsi="Times New Roman" w:cs="Times New Roman"/>
        </w:rPr>
      </w:pPr>
    </w:p>
    <w:p w14:paraId="7D0990C5" w14:textId="77777777" w:rsidR="000654C5" w:rsidRPr="000A1F2F" w:rsidRDefault="000654C5" w:rsidP="000654C5">
      <w:pPr>
        <w:spacing w:line="480" w:lineRule="auto"/>
        <w:rPr>
          <w:rFonts w:ascii="Times New Roman" w:eastAsia="Times New Roman" w:hAnsi="Times New Roman" w:cs="Times New Roman"/>
        </w:rPr>
      </w:pPr>
    </w:p>
    <w:p w14:paraId="7303C488" w14:textId="77777777" w:rsidR="000654C5" w:rsidRPr="000A1F2F" w:rsidRDefault="000654C5" w:rsidP="000654C5">
      <w:pPr>
        <w:spacing w:line="480" w:lineRule="auto"/>
        <w:rPr>
          <w:rFonts w:ascii="Times New Roman" w:eastAsia="Times New Roman" w:hAnsi="Times New Roman" w:cs="Times New Roman"/>
        </w:rPr>
      </w:pPr>
    </w:p>
    <w:p w14:paraId="7297960E" w14:textId="77777777" w:rsidR="000654C5" w:rsidRPr="000A1F2F" w:rsidRDefault="000654C5" w:rsidP="000654C5">
      <w:pPr>
        <w:spacing w:line="480" w:lineRule="auto"/>
        <w:rPr>
          <w:rFonts w:ascii="Times New Roman" w:eastAsia="Times New Roman" w:hAnsi="Times New Roman" w:cs="Times New Roman"/>
        </w:rPr>
      </w:pPr>
    </w:p>
    <w:p w14:paraId="3C6492A5" w14:textId="77777777" w:rsidR="000654C5" w:rsidRPr="000A1F2F" w:rsidRDefault="000654C5" w:rsidP="000654C5">
      <w:pPr>
        <w:spacing w:line="480" w:lineRule="auto"/>
        <w:rPr>
          <w:rFonts w:ascii="Times New Roman" w:eastAsia="Times New Roman" w:hAnsi="Times New Roman" w:cs="Times New Roman"/>
        </w:rPr>
      </w:pPr>
    </w:p>
    <w:p w14:paraId="795A8BA5" w14:textId="77777777" w:rsidR="000654C5" w:rsidRPr="000A1F2F" w:rsidRDefault="000654C5" w:rsidP="000654C5">
      <w:pPr>
        <w:spacing w:line="480" w:lineRule="auto"/>
        <w:rPr>
          <w:rFonts w:ascii="Times New Roman" w:eastAsia="Times New Roman" w:hAnsi="Times New Roman" w:cs="Times New Roman"/>
        </w:rPr>
      </w:pPr>
    </w:p>
    <w:p w14:paraId="21AC32A1" w14:textId="77777777" w:rsidR="000654C5" w:rsidRPr="000A1F2F" w:rsidRDefault="000654C5" w:rsidP="000654C5">
      <w:pPr>
        <w:spacing w:line="480" w:lineRule="auto"/>
        <w:rPr>
          <w:rFonts w:ascii="Times New Roman" w:eastAsia="Times New Roman" w:hAnsi="Times New Roman" w:cs="Times New Roman"/>
        </w:rPr>
      </w:pPr>
    </w:p>
    <w:p w14:paraId="661EFD5D" w14:textId="77777777" w:rsidR="000654C5" w:rsidRPr="000A1F2F" w:rsidRDefault="000654C5" w:rsidP="000654C5">
      <w:pPr>
        <w:spacing w:line="480" w:lineRule="auto"/>
        <w:rPr>
          <w:rFonts w:ascii="Times New Roman" w:eastAsia="Times New Roman" w:hAnsi="Times New Roman" w:cs="Times New Roman"/>
        </w:rPr>
      </w:pPr>
    </w:p>
    <w:p w14:paraId="4DEABF70" w14:textId="77777777" w:rsidR="000654C5" w:rsidRPr="000A1F2F" w:rsidRDefault="000654C5" w:rsidP="000654C5">
      <w:pPr>
        <w:spacing w:line="480" w:lineRule="auto"/>
        <w:rPr>
          <w:rFonts w:ascii="Times New Roman" w:eastAsia="Times New Roman" w:hAnsi="Times New Roman" w:cs="Times New Roman"/>
        </w:rPr>
      </w:pPr>
    </w:p>
    <w:p w14:paraId="41BEFFAF" w14:textId="77777777" w:rsidR="000654C5" w:rsidRPr="000A1F2F" w:rsidRDefault="000654C5" w:rsidP="000654C5">
      <w:pPr>
        <w:spacing w:line="480" w:lineRule="auto"/>
        <w:rPr>
          <w:rFonts w:ascii="Times New Roman" w:eastAsia="Times New Roman" w:hAnsi="Times New Roman" w:cs="Times New Roman"/>
        </w:rPr>
      </w:pPr>
    </w:p>
    <w:p w14:paraId="5763A7CD" w14:textId="77777777" w:rsidR="000654C5" w:rsidRPr="000A1F2F" w:rsidRDefault="000654C5" w:rsidP="000654C5">
      <w:pPr>
        <w:spacing w:line="480" w:lineRule="auto"/>
        <w:rPr>
          <w:rFonts w:ascii="Times New Roman" w:eastAsia="Times New Roman" w:hAnsi="Times New Roman" w:cs="Times New Roman"/>
        </w:rPr>
      </w:pPr>
    </w:p>
    <w:p w14:paraId="25294B66" w14:textId="77777777" w:rsidR="000654C5" w:rsidRPr="000A1F2F" w:rsidRDefault="000654C5" w:rsidP="000654C5">
      <w:pPr>
        <w:spacing w:line="480" w:lineRule="auto"/>
        <w:rPr>
          <w:rFonts w:ascii="Times New Roman" w:eastAsia="Times New Roman" w:hAnsi="Times New Roman" w:cs="Times New Roman"/>
        </w:rPr>
      </w:pPr>
    </w:p>
    <w:p w14:paraId="3C3E5F6C" w14:textId="77777777" w:rsidR="000654C5" w:rsidRPr="000A1F2F" w:rsidRDefault="000654C5" w:rsidP="000654C5">
      <w:pPr>
        <w:spacing w:line="480" w:lineRule="auto"/>
        <w:rPr>
          <w:rFonts w:ascii="Times New Roman" w:eastAsia="Times New Roman" w:hAnsi="Times New Roman" w:cs="Times New Roman"/>
        </w:rPr>
      </w:pPr>
    </w:p>
    <w:p w14:paraId="3FDF8422" w14:textId="77777777" w:rsidR="000654C5" w:rsidRPr="000A1F2F" w:rsidRDefault="000654C5" w:rsidP="000654C5">
      <w:pPr>
        <w:spacing w:line="480" w:lineRule="auto"/>
        <w:rPr>
          <w:rFonts w:ascii="Times New Roman" w:eastAsia="Times New Roman" w:hAnsi="Times New Roman" w:cs="Times New Roman"/>
        </w:rPr>
      </w:pPr>
    </w:p>
    <w:p w14:paraId="7CDCD448" w14:textId="77777777" w:rsidR="000654C5" w:rsidRPr="000A1F2F" w:rsidRDefault="007023C3" w:rsidP="007023C3">
      <w:pPr>
        <w:tabs>
          <w:tab w:val="left" w:pos="6540"/>
        </w:tabs>
        <w:spacing w:line="480" w:lineRule="auto"/>
        <w:rPr>
          <w:rFonts w:ascii="Times New Roman" w:eastAsia="Times New Roman" w:hAnsi="Times New Roman" w:cs="Times New Roman"/>
        </w:rPr>
      </w:pPr>
      <w:r>
        <w:rPr>
          <w:rFonts w:ascii="Times New Roman" w:eastAsia="Times New Roman" w:hAnsi="Times New Roman" w:cs="Times New Roman"/>
        </w:rPr>
        <w:tab/>
      </w:r>
    </w:p>
    <w:p w14:paraId="3EC8B662" w14:textId="7BDF1BC5" w:rsidR="000654C5" w:rsidRPr="00CE648C" w:rsidRDefault="000654C5" w:rsidP="000654C5">
      <w:pPr>
        <w:pStyle w:val="BodyText"/>
        <w:ind w:left="0"/>
        <w:jc w:val="center"/>
        <w:rPr>
          <w:rFonts w:cs="Times New Roman"/>
          <w:b/>
          <w:sz w:val="24"/>
          <w:szCs w:val="24"/>
        </w:rPr>
      </w:pPr>
      <w:r>
        <w:rPr>
          <w:rFonts w:cs="Times New Roman"/>
          <w:b/>
          <w:sz w:val="24"/>
          <w:szCs w:val="24"/>
        </w:rPr>
        <w:lastRenderedPageBreak/>
        <w:t xml:space="preserve">Abstract of </w:t>
      </w:r>
      <w:r w:rsidR="00F6400A">
        <w:rPr>
          <w:rFonts w:cs="Times New Roman"/>
          <w:b/>
          <w:sz w:val="24"/>
          <w:szCs w:val="24"/>
        </w:rPr>
        <w:t>Praxis</w:t>
      </w:r>
    </w:p>
    <w:p w14:paraId="35099A8E" w14:textId="77777777" w:rsidR="000654C5" w:rsidRPr="00CE648C" w:rsidRDefault="000654C5" w:rsidP="000654C5">
      <w:pPr>
        <w:spacing w:before="8"/>
        <w:jc w:val="center"/>
        <w:rPr>
          <w:rFonts w:ascii="Times New Roman" w:eastAsia="Times New Roman" w:hAnsi="Times New Roman" w:cs="Times New Roman"/>
        </w:rPr>
      </w:pPr>
    </w:p>
    <w:p w14:paraId="4C7B01F7" w14:textId="77777777" w:rsidR="000654C5" w:rsidRPr="00CE648C" w:rsidRDefault="000654C5" w:rsidP="000654C5">
      <w:pPr>
        <w:spacing w:before="8"/>
        <w:jc w:val="center"/>
        <w:rPr>
          <w:rFonts w:ascii="Times New Roman" w:eastAsia="Times New Roman" w:hAnsi="Times New Roman" w:cs="Times New Roman"/>
        </w:rPr>
      </w:pPr>
    </w:p>
    <w:p w14:paraId="12C3F240" w14:textId="77777777" w:rsidR="00F6400A" w:rsidRPr="00BA768C" w:rsidRDefault="00F6400A" w:rsidP="00F6400A">
      <w:pPr>
        <w:spacing w:after="0" w:line="240" w:lineRule="auto"/>
        <w:jc w:val="center"/>
        <w:rPr>
          <w:rFonts w:ascii="Times New Roman" w:hAnsi="Times New Roman" w:cs="Times New Roman"/>
          <w:b/>
          <w:bCs/>
        </w:rPr>
      </w:pPr>
      <w:r>
        <w:rPr>
          <w:rFonts w:ascii="Times New Roman" w:hAnsi="Times New Roman" w:cs="Times New Roman"/>
          <w:b/>
          <w:bCs/>
        </w:rPr>
        <w:t>Framework for Correlating Security Anomalies with Classification of PII to Identify Data Theft Attacks</w:t>
      </w:r>
    </w:p>
    <w:p w14:paraId="26074C68" w14:textId="6C40F355" w:rsidR="000654C5" w:rsidRPr="00CE648C" w:rsidRDefault="000654C5" w:rsidP="000654C5">
      <w:pPr>
        <w:pStyle w:val="BodyText"/>
        <w:ind w:left="0"/>
        <w:jc w:val="center"/>
        <w:rPr>
          <w:rFonts w:eastAsia="Garamond" w:cs="Times New Roman"/>
          <w:b/>
          <w:sz w:val="24"/>
          <w:szCs w:val="24"/>
        </w:rPr>
      </w:pPr>
    </w:p>
    <w:p w14:paraId="010AE5EF" w14:textId="77777777" w:rsidR="000654C5" w:rsidRPr="00CE648C" w:rsidRDefault="000654C5" w:rsidP="000654C5">
      <w:pPr>
        <w:jc w:val="center"/>
        <w:rPr>
          <w:rFonts w:ascii="Times New Roman" w:eastAsia="Times New Roman" w:hAnsi="Times New Roman" w:cs="Times New Roman"/>
        </w:rPr>
      </w:pPr>
    </w:p>
    <w:p w14:paraId="1A23C57D" w14:textId="77777777" w:rsidR="000654C5" w:rsidRPr="00CE648C" w:rsidRDefault="000654C5" w:rsidP="000654C5">
      <w:pPr>
        <w:rPr>
          <w:rFonts w:ascii="Times New Roman" w:eastAsia="Times New Roman" w:hAnsi="Times New Roman" w:cs="Times New Roman"/>
        </w:rPr>
      </w:pPr>
    </w:p>
    <w:p w14:paraId="695C00B6" w14:textId="77777777" w:rsidR="000654C5" w:rsidRPr="00CE648C" w:rsidRDefault="000654C5" w:rsidP="000654C5">
      <w:pPr>
        <w:spacing w:line="480" w:lineRule="auto"/>
        <w:rPr>
          <w:rFonts w:ascii="Times New Roman" w:eastAsia="Times New Roman" w:hAnsi="Times New Roman" w:cs="Times New Roman"/>
        </w:rPr>
      </w:pPr>
      <w:r>
        <w:rPr>
          <w:rFonts w:ascii="Times New Roman" w:eastAsia="Times New Roman" w:hAnsi="Times New Roman" w:cs="Times New Roman"/>
        </w:rPr>
        <w:tab/>
        <w:t>Please start the text of your abstract here.</w:t>
      </w:r>
    </w:p>
    <w:p w14:paraId="09942338" w14:textId="77777777" w:rsidR="000654C5" w:rsidRPr="000A1F2F" w:rsidRDefault="000654C5" w:rsidP="000654C5">
      <w:pPr>
        <w:spacing w:line="480" w:lineRule="auto"/>
        <w:rPr>
          <w:rFonts w:ascii="Times New Roman" w:eastAsia="Times New Roman" w:hAnsi="Times New Roman" w:cs="Times New Roman"/>
        </w:rPr>
      </w:pPr>
    </w:p>
    <w:p w14:paraId="1317D617" w14:textId="77777777" w:rsidR="000654C5" w:rsidRPr="000A1F2F" w:rsidRDefault="000654C5" w:rsidP="000654C5">
      <w:pPr>
        <w:spacing w:line="480" w:lineRule="auto"/>
        <w:rPr>
          <w:rFonts w:ascii="Times New Roman" w:eastAsia="Times New Roman" w:hAnsi="Times New Roman" w:cs="Times New Roman"/>
        </w:rPr>
      </w:pPr>
    </w:p>
    <w:p w14:paraId="147CF36B" w14:textId="77777777" w:rsidR="000654C5" w:rsidRPr="000A1F2F" w:rsidRDefault="000654C5" w:rsidP="000654C5">
      <w:pPr>
        <w:spacing w:line="480" w:lineRule="auto"/>
        <w:rPr>
          <w:rFonts w:ascii="Times New Roman" w:eastAsia="Times New Roman" w:hAnsi="Times New Roman" w:cs="Times New Roman"/>
        </w:rPr>
      </w:pPr>
    </w:p>
    <w:p w14:paraId="18931927" w14:textId="77777777" w:rsidR="000654C5" w:rsidRPr="000A1F2F" w:rsidRDefault="000654C5" w:rsidP="000654C5">
      <w:pPr>
        <w:spacing w:line="480" w:lineRule="auto"/>
        <w:rPr>
          <w:rFonts w:ascii="Times New Roman" w:eastAsia="Times New Roman" w:hAnsi="Times New Roman" w:cs="Times New Roman"/>
        </w:rPr>
      </w:pPr>
    </w:p>
    <w:p w14:paraId="5E38B95E" w14:textId="77777777" w:rsidR="000654C5" w:rsidRPr="000A1F2F" w:rsidRDefault="000654C5" w:rsidP="000654C5">
      <w:pPr>
        <w:spacing w:line="480" w:lineRule="auto"/>
        <w:rPr>
          <w:rFonts w:ascii="Times New Roman" w:eastAsia="Times New Roman" w:hAnsi="Times New Roman" w:cs="Times New Roman"/>
        </w:rPr>
      </w:pPr>
    </w:p>
    <w:p w14:paraId="412C40F0" w14:textId="77777777" w:rsidR="000654C5" w:rsidRPr="000A1F2F" w:rsidRDefault="000654C5" w:rsidP="000654C5">
      <w:pPr>
        <w:spacing w:line="480" w:lineRule="auto"/>
        <w:rPr>
          <w:rFonts w:ascii="Times New Roman" w:eastAsia="Times New Roman" w:hAnsi="Times New Roman" w:cs="Times New Roman"/>
        </w:rPr>
      </w:pPr>
    </w:p>
    <w:p w14:paraId="59C3FF58" w14:textId="77777777" w:rsidR="000654C5" w:rsidRPr="000A1F2F" w:rsidRDefault="000654C5" w:rsidP="000654C5">
      <w:pPr>
        <w:spacing w:line="480" w:lineRule="auto"/>
        <w:rPr>
          <w:rFonts w:ascii="Times New Roman" w:eastAsia="Times New Roman" w:hAnsi="Times New Roman" w:cs="Times New Roman"/>
        </w:rPr>
      </w:pPr>
    </w:p>
    <w:p w14:paraId="4F27A9BC" w14:textId="77777777" w:rsidR="000654C5" w:rsidRPr="000A1F2F" w:rsidRDefault="000654C5" w:rsidP="000654C5">
      <w:pPr>
        <w:spacing w:line="480" w:lineRule="auto"/>
        <w:rPr>
          <w:rFonts w:ascii="Times New Roman" w:eastAsia="Times New Roman" w:hAnsi="Times New Roman" w:cs="Times New Roman"/>
        </w:rPr>
      </w:pPr>
    </w:p>
    <w:p w14:paraId="3FA7782C" w14:textId="77777777" w:rsidR="000654C5" w:rsidRDefault="000654C5">
      <w:pPr>
        <w:rPr>
          <w:rFonts w:ascii="Times New Roman" w:hAnsi="Times New Roman" w:cs="Times New Roman"/>
          <w:b/>
          <w:bCs/>
        </w:rPr>
      </w:pPr>
    </w:p>
    <w:p w14:paraId="16BA18E3" w14:textId="77777777" w:rsidR="000654C5" w:rsidRDefault="000654C5" w:rsidP="00BA2401">
      <w:pPr>
        <w:rPr>
          <w:rFonts w:ascii="Times New Roman" w:hAnsi="Times New Roman" w:cs="Times New Roman"/>
          <w:b/>
          <w:bCs/>
        </w:rPr>
      </w:pPr>
    </w:p>
    <w:p w14:paraId="7C597B54" w14:textId="77777777" w:rsidR="000654C5" w:rsidRDefault="000654C5">
      <w:pPr>
        <w:rPr>
          <w:rFonts w:ascii="Times New Roman" w:hAnsi="Times New Roman" w:cs="Times New Roman"/>
          <w:b/>
          <w:bCs/>
        </w:rPr>
      </w:pPr>
      <w:r>
        <w:rPr>
          <w:rFonts w:ascii="Times New Roman" w:hAnsi="Times New Roman" w:cs="Times New Roman"/>
          <w:b/>
          <w:bCs/>
        </w:rPr>
        <w:br w:type="page"/>
      </w:r>
    </w:p>
    <w:sdt>
      <w:sdtPr>
        <w:rPr>
          <w:rFonts w:ascii="Times New Roman" w:eastAsiaTheme="minorHAnsi" w:hAnsi="Times New Roman" w:cs="Times New Roman"/>
          <w:b w:val="0"/>
          <w:bCs w:val="0"/>
          <w:color w:val="auto"/>
          <w:kern w:val="2"/>
          <w:sz w:val="24"/>
          <w:szCs w:val="24"/>
          <w14:ligatures w14:val="standardContextual"/>
        </w:rPr>
        <w:id w:val="1687103404"/>
        <w:docPartObj>
          <w:docPartGallery w:val="Table of Contents"/>
          <w:docPartUnique/>
        </w:docPartObj>
      </w:sdtPr>
      <w:sdtEndPr>
        <w:rPr>
          <w:noProof/>
        </w:rPr>
      </w:sdtEndPr>
      <w:sdtContent>
        <w:p w14:paraId="0FDD2E92" w14:textId="77777777" w:rsidR="005942A8" w:rsidRPr="00EE036D" w:rsidRDefault="005942A8" w:rsidP="005D3B36">
          <w:pPr>
            <w:pStyle w:val="TOCHeading"/>
            <w:rPr>
              <w:rFonts w:ascii="Times New Roman" w:hAnsi="Times New Roman" w:cs="Times New Roman"/>
            </w:rPr>
          </w:pPr>
          <w:r w:rsidRPr="00EE036D">
            <w:rPr>
              <w:rFonts w:ascii="Times New Roman" w:hAnsi="Times New Roman" w:cs="Times New Roman"/>
            </w:rPr>
            <w:t>Table of Contents</w:t>
          </w:r>
        </w:p>
        <w:p w14:paraId="33503DA1" w14:textId="77777777" w:rsidR="00F8138C" w:rsidRPr="00EE036D" w:rsidRDefault="00F8138C" w:rsidP="00F8138C">
          <w:pPr>
            <w:rPr>
              <w:rFonts w:ascii="Times New Roman" w:hAnsi="Times New Roman" w:cs="Times New Roman"/>
            </w:rPr>
          </w:pPr>
        </w:p>
        <w:p w14:paraId="0D8D9145" w14:textId="3AC4BD83" w:rsidR="005521FC" w:rsidRPr="005521FC" w:rsidRDefault="005942A8">
          <w:pPr>
            <w:pStyle w:val="TOC1"/>
            <w:tabs>
              <w:tab w:val="right" w:leader="dot" w:pos="9350"/>
            </w:tabs>
            <w:rPr>
              <w:rFonts w:ascii="Times New Roman" w:eastAsiaTheme="minorEastAsia" w:hAnsi="Times New Roman" w:cs="Times New Roman"/>
              <w:noProof/>
            </w:rPr>
          </w:pPr>
          <w:r w:rsidRPr="005521FC">
            <w:rPr>
              <w:rFonts w:ascii="Times New Roman" w:hAnsi="Times New Roman" w:cs="Times New Roman"/>
            </w:rPr>
            <w:fldChar w:fldCharType="begin"/>
          </w:r>
          <w:r w:rsidRPr="005521FC">
            <w:rPr>
              <w:rFonts w:ascii="Times New Roman" w:hAnsi="Times New Roman" w:cs="Times New Roman"/>
            </w:rPr>
            <w:instrText xml:space="preserve"> TOC \o "1-3" \h \z \u </w:instrText>
          </w:r>
          <w:r w:rsidRPr="005521FC">
            <w:rPr>
              <w:rFonts w:ascii="Times New Roman" w:hAnsi="Times New Roman" w:cs="Times New Roman"/>
            </w:rPr>
            <w:fldChar w:fldCharType="separate"/>
          </w:r>
          <w:hyperlink w:anchor="_Toc236431609" w:history="1">
            <w:r w:rsidR="005521FC" w:rsidRPr="005521FC">
              <w:rPr>
                <w:rStyle w:val="Hyperlink"/>
                <w:rFonts w:ascii="Times New Roman" w:hAnsi="Times New Roman" w:cs="Times New Roman"/>
                <w:noProof/>
              </w:rPr>
              <w:t xml:space="preserve">Glossary of Terms </w:t>
            </w:r>
            <w:r w:rsidR="005521FC" w:rsidRPr="005521FC">
              <w:rPr>
                <w:rStyle w:val="Hyperlink"/>
                <w:rFonts w:ascii="Times New Roman" w:hAnsi="Times New Roman" w:cs="Times New Roman"/>
                <w:i/>
                <w:iCs/>
                <w:noProof/>
              </w:rPr>
              <w:t>(Optional)</w:t>
            </w:r>
            <w:r w:rsidR="005521FC" w:rsidRPr="005521FC">
              <w:rPr>
                <w:rFonts w:ascii="Times New Roman" w:hAnsi="Times New Roman" w:cs="Times New Roman"/>
                <w:noProof/>
                <w:webHidden/>
              </w:rPr>
              <w:tab/>
            </w:r>
            <w:r w:rsidR="005521FC" w:rsidRPr="005521FC">
              <w:rPr>
                <w:rFonts w:ascii="Times New Roman" w:hAnsi="Times New Roman" w:cs="Times New Roman"/>
                <w:noProof/>
                <w:webHidden/>
              </w:rPr>
              <w:fldChar w:fldCharType="begin"/>
            </w:r>
            <w:r w:rsidR="005521FC" w:rsidRPr="005521FC">
              <w:rPr>
                <w:rFonts w:ascii="Times New Roman" w:hAnsi="Times New Roman" w:cs="Times New Roman"/>
                <w:noProof/>
                <w:webHidden/>
              </w:rPr>
              <w:instrText xml:space="preserve"> PAGEREF _Toc236431609 \h </w:instrText>
            </w:r>
            <w:r w:rsidR="005521FC" w:rsidRPr="005521FC">
              <w:rPr>
                <w:rFonts w:ascii="Times New Roman" w:hAnsi="Times New Roman" w:cs="Times New Roman"/>
                <w:noProof/>
                <w:webHidden/>
              </w:rPr>
            </w:r>
            <w:r w:rsidR="005521FC" w:rsidRPr="005521FC">
              <w:rPr>
                <w:rFonts w:ascii="Times New Roman" w:hAnsi="Times New Roman" w:cs="Times New Roman"/>
                <w:noProof/>
                <w:webHidden/>
              </w:rPr>
              <w:fldChar w:fldCharType="separate"/>
            </w:r>
            <w:r w:rsidR="005521FC" w:rsidRPr="005521FC">
              <w:rPr>
                <w:rFonts w:ascii="Times New Roman" w:hAnsi="Times New Roman" w:cs="Times New Roman"/>
                <w:noProof/>
                <w:webHidden/>
              </w:rPr>
              <w:t>xi</w:t>
            </w:r>
            <w:r w:rsidR="005521FC" w:rsidRPr="005521FC">
              <w:rPr>
                <w:rFonts w:ascii="Times New Roman" w:hAnsi="Times New Roman" w:cs="Times New Roman"/>
                <w:noProof/>
                <w:webHidden/>
              </w:rPr>
              <w:fldChar w:fldCharType="end"/>
            </w:r>
          </w:hyperlink>
        </w:p>
        <w:p w14:paraId="0B0AB646" w14:textId="2D617654" w:rsidR="005521FC" w:rsidRPr="005521FC" w:rsidRDefault="005521FC">
          <w:pPr>
            <w:pStyle w:val="TOC1"/>
            <w:tabs>
              <w:tab w:val="right" w:leader="dot" w:pos="9350"/>
            </w:tabs>
            <w:rPr>
              <w:rFonts w:ascii="Times New Roman" w:eastAsiaTheme="minorEastAsia" w:hAnsi="Times New Roman" w:cs="Times New Roman"/>
              <w:noProof/>
            </w:rPr>
          </w:pPr>
          <w:hyperlink w:anchor="_Toc236431610" w:history="1">
            <w:r w:rsidRPr="005521FC">
              <w:rPr>
                <w:rStyle w:val="Hyperlink"/>
                <w:rFonts w:ascii="Times New Roman" w:hAnsi="Times New Roman" w:cs="Times New Roman"/>
                <w:noProof/>
              </w:rPr>
              <w:t>Chapter 1 - Introduction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_Toc236431610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w:t>
            </w:r>
            <w:r w:rsidRPr="005521FC">
              <w:rPr>
                <w:rFonts w:ascii="Times New Roman" w:hAnsi="Times New Roman" w:cs="Times New Roman"/>
                <w:noProof/>
                <w:webHidden/>
              </w:rPr>
              <w:fldChar w:fldCharType="end"/>
            </w:r>
          </w:hyperlink>
        </w:p>
        <w:p w14:paraId="34FF435E" w14:textId="54DEC14E" w:rsidR="005521FC" w:rsidRPr="005521FC" w:rsidRDefault="005521FC">
          <w:pPr>
            <w:pStyle w:val="TOC2"/>
            <w:rPr>
              <w:rFonts w:ascii="Times New Roman" w:eastAsiaTheme="minorEastAsia" w:hAnsi="Times New Roman" w:cs="Times New Roman"/>
              <w:noProof/>
            </w:rPr>
          </w:pPr>
          <w:hyperlink w:anchor="_Toc236431611" w:history="1">
            <w:r w:rsidRPr="005521FC">
              <w:rPr>
                <w:rStyle w:val="Hyperlink"/>
                <w:rFonts w:ascii="Times New Roman" w:hAnsi="Times New Roman" w:cs="Times New Roman"/>
                <w:noProof/>
              </w:rPr>
              <w:t>1.1 Background and Research Motivation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_Toc236431611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w:t>
            </w:r>
            <w:r w:rsidRPr="005521FC">
              <w:rPr>
                <w:rFonts w:ascii="Times New Roman" w:hAnsi="Times New Roman" w:cs="Times New Roman"/>
                <w:noProof/>
                <w:webHidden/>
              </w:rPr>
              <w:fldChar w:fldCharType="end"/>
            </w:r>
          </w:hyperlink>
        </w:p>
        <w:p w14:paraId="3FC83FDF" w14:textId="2FB3A5D0" w:rsidR="005521FC" w:rsidRPr="005521FC" w:rsidRDefault="005521FC">
          <w:pPr>
            <w:pStyle w:val="TOC2"/>
            <w:rPr>
              <w:rFonts w:ascii="Times New Roman" w:eastAsiaTheme="minorEastAsia" w:hAnsi="Times New Roman" w:cs="Times New Roman"/>
              <w:noProof/>
            </w:rPr>
          </w:pPr>
          <w:hyperlink w:anchor="_Toc236431612" w:history="1">
            <w:r w:rsidRPr="005521FC">
              <w:rPr>
                <w:rStyle w:val="Hyperlink"/>
                <w:rFonts w:ascii="Times New Roman" w:hAnsi="Times New Roman" w:cs="Times New Roman"/>
                <w:noProof/>
              </w:rPr>
              <w:t>1.2 Problem Statement</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_Toc236431612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2</w:t>
            </w:r>
            <w:r w:rsidRPr="005521FC">
              <w:rPr>
                <w:rFonts w:ascii="Times New Roman" w:hAnsi="Times New Roman" w:cs="Times New Roman"/>
                <w:noProof/>
                <w:webHidden/>
              </w:rPr>
              <w:fldChar w:fldCharType="end"/>
            </w:r>
          </w:hyperlink>
        </w:p>
        <w:p w14:paraId="004715DF" w14:textId="2F18143C" w:rsidR="005521FC" w:rsidRPr="005521FC" w:rsidRDefault="005521FC">
          <w:pPr>
            <w:pStyle w:val="TOC2"/>
            <w:rPr>
              <w:rFonts w:ascii="Times New Roman" w:eastAsiaTheme="minorEastAsia" w:hAnsi="Times New Roman" w:cs="Times New Roman"/>
              <w:noProof/>
            </w:rPr>
          </w:pPr>
          <w:hyperlink w:anchor="_Toc236431613" w:history="1">
            <w:r w:rsidRPr="005521FC">
              <w:rPr>
                <w:rStyle w:val="Hyperlink"/>
                <w:rFonts w:ascii="Times New Roman" w:hAnsi="Times New Roman" w:cs="Times New Roman"/>
                <w:noProof/>
              </w:rPr>
              <w:t>1.3 Thesis Statement</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_Toc236431613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4</w:t>
            </w:r>
            <w:r w:rsidRPr="005521FC">
              <w:rPr>
                <w:rFonts w:ascii="Times New Roman" w:hAnsi="Times New Roman" w:cs="Times New Roman"/>
                <w:noProof/>
                <w:webHidden/>
              </w:rPr>
              <w:fldChar w:fldCharType="end"/>
            </w:r>
          </w:hyperlink>
        </w:p>
        <w:p w14:paraId="421EC6E8" w14:textId="5C6F2089" w:rsidR="005521FC" w:rsidRPr="005521FC" w:rsidRDefault="005521FC">
          <w:pPr>
            <w:pStyle w:val="TOC2"/>
            <w:rPr>
              <w:rFonts w:ascii="Times New Roman" w:eastAsiaTheme="minorEastAsia" w:hAnsi="Times New Roman" w:cs="Times New Roman"/>
              <w:noProof/>
            </w:rPr>
          </w:pPr>
          <w:hyperlink w:anchor="_Toc236431614" w:history="1">
            <w:r w:rsidRPr="005521FC">
              <w:rPr>
                <w:rStyle w:val="Hyperlink"/>
                <w:rFonts w:ascii="Times New Roman" w:hAnsi="Times New Roman" w:cs="Times New Roman"/>
                <w:noProof/>
              </w:rPr>
              <w:t>1.4 Research Objectives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_Toc236431614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4</w:t>
            </w:r>
            <w:r w:rsidRPr="005521FC">
              <w:rPr>
                <w:rFonts w:ascii="Times New Roman" w:hAnsi="Times New Roman" w:cs="Times New Roman"/>
                <w:noProof/>
                <w:webHidden/>
              </w:rPr>
              <w:fldChar w:fldCharType="end"/>
            </w:r>
          </w:hyperlink>
        </w:p>
        <w:p w14:paraId="31C18348" w14:textId="6C8141B0" w:rsidR="005521FC" w:rsidRPr="005521FC" w:rsidRDefault="005521FC">
          <w:pPr>
            <w:pStyle w:val="TOC2"/>
            <w:rPr>
              <w:rFonts w:ascii="Times New Roman" w:eastAsiaTheme="minorEastAsia" w:hAnsi="Times New Roman" w:cs="Times New Roman"/>
              <w:noProof/>
            </w:rPr>
          </w:pPr>
          <w:hyperlink w:anchor="_Toc236431615" w:history="1">
            <w:r w:rsidRPr="005521FC">
              <w:rPr>
                <w:rStyle w:val="Hyperlink"/>
                <w:rFonts w:ascii="Times New Roman" w:hAnsi="Times New Roman" w:cs="Times New Roman"/>
                <w:noProof/>
              </w:rPr>
              <w:t>1.5 Research Questions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_Toc236431615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6</w:t>
            </w:r>
            <w:r w:rsidRPr="005521FC">
              <w:rPr>
                <w:rFonts w:ascii="Times New Roman" w:hAnsi="Times New Roman" w:cs="Times New Roman"/>
                <w:noProof/>
                <w:webHidden/>
              </w:rPr>
              <w:fldChar w:fldCharType="end"/>
            </w:r>
          </w:hyperlink>
        </w:p>
        <w:p w14:paraId="67D63094" w14:textId="6E7DBB5F" w:rsidR="005521FC" w:rsidRPr="005521FC" w:rsidRDefault="005521FC">
          <w:pPr>
            <w:pStyle w:val="TOC2"/>
            <w:rPr>
              <w:rFonts w:ascii="Times New Roman" w:eastAsiaTheme="minorEastAsia" w:hAnsi="Times New Roman" w:cs="Times New Roman"/>
              <w:noProof/>
            </w:rPr>
          </w:pPr>
          <w:hyperlink w:anchor="_Toc236431616" w:history="1">
            <w:r w:rsidRPr="005521FC">
              <w:rPr>
                <w:rStyle w:val="Hyperlink"/>
                <w:rFonts w:ascii="Times New Roman" w:hAnsi="Times New Roman" w:cs="Times New Roman"/>
                <w:noProof/>
              </w:rPr>
              <w:t>1.6 Research Hypotheses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_Toc236431616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6</w:t>
            </w:r>
            <w:r w:rsidRPr="005521FC">
              <w:rPr>
                <w:rFonts w:ascii="Times New Roman" w:hAnsi="Times New Roman" w:cs="Times New Roman"/>
                <w:noProof/>
                <w:webHidden/>
              </w:rPr>
              <w:fldChar w:fldCharType="end"/>
            </w:r>
          </w:hyperlink>
        </w:p>
        <w:p w14:paraId="1F128C4A" w14:textId="15631856" w:rsidR="005521FC" w:rsidRPr="005521FC" w:rsidRDefault="005521FC">
          <w:pPr>
            <w:pStyle w:val="TOC3"/>
            <w:tabs>
              <w:tab w:val="right" w:leader="dot" w:pos="9350"/>
            </w:tabs>
            <w:rPr>
              <w:rFonts w:ascii="Times New Roman" w:eastAsiaTheme="minorEastAsia" w:hAnsi="Times New Roman" w:cs="Times New Roman"/>
              <w:noProof/>
            </w:rPr>
          </w:pPr>
          <w:hyperlink w:anchor="_Toc236431617" w:history="1">
            <w:r w:rsidRPr="005521FC">
              <w:rPr>
                <w:rStyle w:val="Hyperlink"/>
                <w:rFonts w:ascii="Times New Roman" w:hAnsi="Times New Roman" w:cs="Times New Roman"/>
                <w:noProof/>
              </w:rPr>
              <w:t>1.6.1 Hypothesis 1</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_Toc236431617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6</w:t>
            </w:r>
            <w:r w:rsidRPr="005521FC">
              <w:rPr>
                <w:rFonts w:ascii="Times New Roman" w:hAnsi="Times New Roman" w:cs="Times New Roman"/>
                <w:noProof/>
                <w:webHidden/>
              </w:rPr>
              <w:fldChar w:fldCharType="end"/>
            </w:r>
          </w:hyperlink>
        </w:p>
        <w:p w14:paraId="259CA34A" w14:textId="1A1B6795" w:rsidR="005521FC" w:rsidRPr="005521FC" w:rsidRDefault="005521FC">
          <w:pPr>
            <w:pStyle w:val="TOC3"/>
            <w:tabs>
              <w:tab w:val="right" w:leader="dot" w:pos="9350"/>
            </w:tabs>
            <w:rPr>
              <w:rFonts w:ascii="Times New Roman" w:eastAsiaTheme="minorEastAsia" w:hAnsi="Times New Roman" w:cs="Times New Roman"/>
              <w:noProof/>
            </w:rPr>
          </w:pPr>
          <w:hyperlink w:anchor="_Toc236431618" w:history="1">
            <w:r w:rsidRPr="005521FC">
              <w:rPr>
                <w:rStyle w:val="Hyperlink"/>
                <w:rFonts w:ascii="Times New Roman" w:hAnsi="Times New Roman" w:cs="Times New Roman"/>
                <w:noProof/>
              </w:rPr>
              <w:t>1.6.2 Hypothesis 2</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_Toc236431618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w:t>
            </w:r>
            <w:r w:rsidRPr="005521FC">
              <w:rPr>
                <w:rFonts w:ascii="Times New Roman" w:hAnsi="Times New Roman" w:cs="Times New Roman"/>
                <w:noProof/>
                <w:webHidden/>
              </w:rPr>
              <w:fldChar w:fldCharType="end"/>
            </w:r>
          </w:hyperlink>
        </w:p>
        <w:p w14:paraId="05310E66" w14:textId="3C87E0B7" w:rsidR="005521FC" w:rsidRPr="005521FC" w:rsidRDefault="005521FC">
          <w:pPr>
            <w:pStyle w:val="TOC3"/>
            <w:tabs>
              <w:tab w:val="right" w:leader="dot" w:pos="9350"/>
            </w:tabs>
            <w:rPr>
              <w:rFonts w:ascii="Times New Roman" w:eastAsiaTheme="minorEastAsia" w:hAnsi="Times New Roman" w:cs="Times New Roman"/>
              <w:noProof/>
            </w:rPr>
          </w:pPr>
          <w:hyperlink w:anchor="_Toc236431619" w:history="1">
            <w:r w:rsidRPr="005521FC">
              <w:rPr>
                <w:rStyle w:val="Hyperlink"/>
                <w:rFonts w:ascii="Times New Roman" w:hAnsi="Times New Roman" w:cs="Times New Roman"/>
                <w:noProof/>
              </w:rPr>
              <w:t>1.6.3 Hypothesis 3</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_Toc236431619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w:t>
            </w:r>
            <w:r w:rsidRPr="005521FC">
              <w:rPr>
                <w:rFonts w:ascii="Times New Roman" w:hAnsi="Times New Roman" w:cs="Times New Roman"/>
                <w:noProof/>
                <w:webHidden/>
              </w:rPr>
              <w:fldChar w:fldCharType="end"/>
            </w:r>
          </w:hyperlink>
        </w:p>
        <w:p w14:paraId="46022197" w14:textId="69A08FCC" w:rsidR="005521FC" w:rsidRPr="005521FC" w:rsidRDefault="005521FC">
          <w:pPr>
            <w:pStyle w:val="TOC2"/>
            <w:rPr>
              <w:rFonts w:ascii="Times New Roman" w:eastAsiaTheme="minorEastAsia" w:hAnsi="Times New Roman" w:cs="Times New Roman"/>
              <w:noProof/>
            </w:rPr>
          </w:pPr>
          <w:hyperlink w:anchor="_Toc236431620" w:history="1">
            <w:r w:rsidRPr="005521FC">
              <w:rPr>
                <w:rStyle w:val="Hyperlink"/>
                <w:rFonts w:ascii="Times New Roman" w:hAnsi="Times New Roman" w:cs="Times New Roman"/>
                <w:noProof/>
              </w:rPr>
              <w:t>1.7 Research Scope and Limitations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_Toc236431620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w:t>
            </w:r>
            <w:r w:rsidRPr="005521FC">
              <w:rPr>
                <w:rFonts w:ascii="Times New Roman" w:hAnsi="Times New Roman" w:cs="Times New Roman"/>
                <w:noProof/>
                <w:webHidden/>
              </w:rPr>
              <w:fldChar w:fldCharType="end"/>
            </w:r>
          </w:hyperlink>
        </w:p>
        <w:p w14:paraId="5ACF8315" w14:textId="16EF3145" w:rsidR="005521FC" w:rsidRPr="005521FC" w:rsidRDefault="005521FC">
          <w:pPr>
            <w:pStyle w:val="TOC1"/>
            <w:tabs>
              <w:tab w:val="right" w:leader="dot" w:pos="9350"/>
            </w:tabs>
            <w:rPr>
              <w:rFonts w:ascii="Times New Roman" w:eastAsiaTheme="minorEastAsia" w:hAnsi="Times New Roman" w:cs="Times New Roman"/>
              <w:noProof/>
            </w:rPr>
          </w:pPr>
          <w:hyperlink w:anchor="_Toc236431621" w:history="1">
            <w:r w:rsidRPr="005521FC">
              <w:rPr>
                <w:rStyle w:val="Hyperlink"/>
                <w:rFonts w:ascii="Times New Roman" w:hAnsi="Times New Roman" w:cs="Times New Roman"/>
                <w:noProof/>
              </w:rPr>
              <w:t>Chapter 2 - Literature Review</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_Toc236431621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9</w:t>
            </w:r>
            <w:r w:rsidRPr="005521FC">
              <w:rPr>
                <w:rFonts w:ascii="Times New Roman" w:hAnsi="Times New Roman" w:cs="Times New Roman"/>
                <w:noProof/>
                <w:webHidden/>
              </w:rPr>
              <w:fldChar w:fldCharType="end"/>
            </w:r>
          </w:hyperlink>
        </w:p>
        <w:p w14:paraId="65E4A5AD" w14:textId="06B75882" w:rsidR="005521FC" w:rsidRPr="005521FC" w:rsidRDefault="005521FC">
          <w:pPr>
            <w:pStyle w:val="TOC2"/>
            <w:rPr>
              <w:rFonts w:ascii="Times New Roman" w:eastAsiaTheme="minorEastAsia" w:hAnsi="Times New Roman" w:cs="Times New Roman"/>
              <w:noProof/>
            </w:rPr>
          </w:pPr>
          <w:hyperlink w:anchor="_Toc236431622" w:history="1">
            <w:r w:rsidRPr="005521FC">
              <w:rPr>
                <w:rStyle w:val="Hyperlink"/>
                <w:rFonts w:ascii="Times New Roman" w:hAnsi="Times New Roman" w:cs="Times New Roman"/>
                <w:noProof/>
              </w:rPr>
              <w:t>2.1 Introduction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_Toc236431622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9</w:t>
            </w:r>
            <w:r w:rsidRPr="005521FC">
              <w:rPr>
                <w:rFonts w:ascii="Times New Roman" w:hAnsi="Times New Roman" w:cs="Times New Roman"/>
                <w:noProof/>
                <w:webHidden/>
              </w:rPr>
              <w:fldChar w:fldCharType="end"/>
            </w:r>
          </w:hyperlink>
        </w:p>
        <w:p w14:paraId="0FB4D104" w14:textId="0567E6C6" w:rsidR="005521FC" w:rsidRPr="005521FC" w:rsidRDefault="005521FC">
          <w:pPr>
            <w:pStyle w:val="TOC2"/>
            <w:rPr>
              <w:rFonts w:ascii="Times New Roman" w:eastAsiaTheme="minorEastAsia" w:hAnsi="Times New Roman" w:cs="Times New Roman"/>
              <w:noProof/>
            </w:rPr>
          </w:pPr>
          <w:hyperlink w:anchor="_Toc236431623" w:history="1">
            <w:r w:rsidRPr="005521FC">
              <w:rPr>
                <w:rStyle w:val="Hyperlink"/>
                <w:rFonts w:ascii="Times New Roman" w:hAnsi="Times New Roman" w:cs="Times New Roman"/>
                <w:noProof/>
              </w:rPr>
              <w:t>2.2 Identity Theft and Financial Fraud</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_Toc236431623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10</w:t>
            </w:r>
            <w:r w:rsidRPr="005521FC">
              <w:rPr>
                <w:rFonts w:ascii="Times New Roman" w:hAnsi="Times New Roman" w:cs="Times New Roman"/>
                <w:noProof/>
                <w:webHidden/>
              </w:rPr>
              <w:fldChar w:fldCharType="end"/>
            </w:r>
          </w:hyperlink>
        </w:p>
        <w:p w14:paraId="26C340E6" w14:textId="5324679F" w:rsidR="005521FC" w:rsidRPr="005521FC" w:rsidRDefault="005521FC">
          <w:pPr>
            <w:pStyle w:val="TOC2"/>
            <w:rPr>
              <w:rFonts w:ascii="Times New Roman" w:eastAsiaTheme="minorEastAsia" w:hAnsi="Times New Roman" w:cs="Times New Roman"/>
              <w:noProof/>
            </w:rPr>
          </w:pPr>
          <w:hyperlink w:anchor="_Toc236431624" w:history="1">
            <w:r w:rsidRPr="005521FC">
              <w:rPr>
                <w:rStyle w:val="Hyperlink"/>
                <w:rFonts w:ascii="Times New Roman" w:hAnsi="Times New Roman" w:cs="Times New Roman"/>
                <w:noProof/>
              </w:rPr>
              <w:t>2.3 Common Attack Vectors Used by Threat Actors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_Toc236431624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13</w:t>
            </w:r>
            <w:r w:rsidRPr="005521FC">
              <w:rPr>
                <w:rFonts w:ascii="Times New Roman" w:hAnsi="Times New Roman" w:cs="Times New Roman"/>
                <w:noProof/>
                <w:webHidden/>
              </w:rPr>
              <w:fldChar w:fldCharType="end"/>
            </w:r>
          </w:hyperlink>
        </w:p>
        <w:p w14:paraId="2B9D851B" w14:textId="6BE1054D" w:rsidR="005521FC" w:rsidRPr="005521FC" w:rsidRDefault="005521FC">
          <w:pPr>
            <w:pStyle w:val="TOC3"/>
            <w:tabs>
              <w:tab w:val="right" w:leader="dot" w:pos="9350"/>
            </w:tabs>
            <w:rPr>
              <w:rFonts w:ascii="Times New Roman" w:eastAsiaTheme="minorEastAsia" w:hAnsi="Times New Roman" w:cs="Times New Roman"/>
              <w:noProof/>
            </w:rPr>
          </w:pPr>
          <w:hyperlink w:anchor="_Toc236431625" w:history="1">
            <w:r w:rsidRPr="005521FC">
              <w:rPr>
                <w:rStyle w:val="Hyperlink"/>
                <w:rFonts w:ascii="Times New Roman" w:eastAsia="Arial" w:hAnsi="Times New Roman" w:cs="Times New Roman"/>
                <w:noProof/>
              </w:rPr>
              <w:t>2.3.1 Phishing and Social Engineering</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_Toc236431625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14</w:t>
            </w:r>
            <w:r w:rsidRPr="005521FC">
              <w:rPr>
                <w:rFonts w:ascii="Times New Roman" w:hAnsi="Times New Roman" w:cs="Times New Roman"/>
                <w:noProof/>
                <w:webHidden/>
              </w:rPr>
              <w:fldChar w:fldCharType="end"/>
            </w:r>
          </w:hyperlink>
        </w:p>
        <w:p w14:paraId="55083692" w14:textId="25A6ECCE" w:rsidR="005521FC" w:rsidRPr="005521FC" w:rsidRDefault="005521FC">
          <w:pPr>
            <w:pStyle w:val="TOC3"/>
            <w:tabs>
              <w:tab w:val="right" w:leader="dot" w:pos="9350"/>
            </w:tabs>
            <w:rPr>
              <w:rFonts w:ascii="Times New Roman" w:eastAsiaTheme="minorEastAsia" w:hAnsi="Times New Roman" w:cs="Times New Roman"/>
              <w:noProof/>
            </w:rPr>
          </w:pPr>
          <w:hyperlink w:anchor="_Toc236431626" w:history="1">
            <w:r w:rsidRPr="005521FC">
              <w:rPr>
                <w:rStyle w:val="Hyperlink"/>
                <w:rFonts w:ascii="Times New Roman" w:hAnsi="Times New Roman" w:cs="Times New Roman"/>
                <w:noProof/>
              </w:rPr>
              <w:t>2.3.2 Malware and Credential Theft</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_Toc236431626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15</w:t>
            </w:r>
            <w:r w:rsidRPr="005521FC">
              <w:rPr>
                <w:rFonts w:ascii="Times New Roman" w:hAnsi="Times New Roman" w:cs="Times New Roman"/>
                <w:noProof/>
                <w:webHidden/>
              </w:rPr>
              <w:fldChar w:fldCharType="end"/>
            </w:r>
          </w:hyperlink>
        </w:p>
        <w:p w14:paraId="3722701B" w14:textId="55175FE0" w:rsidR="005521FC" w:rsidRPr="005521FC" w:rsidRDefault="005521FC">
          <w:pPr>
            <w:pStyle w:val="TOC3"/>
            <w:tabs>
              <w:tab w:val="right" w:leader="dot" w:pos="9350"/>
            </w:tabs>
            <w:rPr>
              <w:rFonts w:ascii="Times New Roman" w:eastAsiaTheme="minorEastAsia" w:hAnsi="Times New Roman" w:cs="Times New Roman"/>
              <w:noProof/>
            </w:rPr>
          </w:pPr>
          <w:hyperlink w:anchor="_Toc236431627" w:history="1">
            <w:r w:rsidRPr="005521FC">
              <w:rPr>
                <w:rStyle w:val="Hyperlink"/>
                <w:rFonts w:ascii="Times New Roman" w:hAnsi="Times New Roman" w:cs="Times New Roman"/>
                <w:noProof/>
              </w:rPr>
              <w:t>2.3.3 Data Breaches and Large-Scale PII Exfiltration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_Toc236431627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16</w:t>
            </w:r>
            <w:r w:rsidRPr="005521FC">
              <w:rPr>
                <w:rFonts w:ascii="Times New Roman" w:hAnsi="Times New Roman" w:cs="Times New Roman"/>
                <w:noProof/>
                <w:webHidden/>
              </w:rPr>
              <w:fldChar w:fldCharType="end"/>
            </w:r>
          </w:hyperlink>
        </w:p>
        <w:p w14:paraId="3F339952" w14:textId="52758CF3" w:rsidR="005521FC" w:rsidRPr="005521FC" w:rsidRDefault="005521FC">
          <w:pPr>
            <w:pStyle w:val="TOC3"/>
            <w:tabs>
              <w:tab w:val="right" w:leader="dot" w:pos="9350"/>
            </w:tabs>
            <w:rPr>
              <w:rFonts w:ascii="Times New Roman" w:eastAsiaTheme="minorEastAsia" w:hAnsi="Times New Roman" w:cs="Times New Roman"/>
              <w:noProof/>
            </w:rPr>
          </w:pPr>
          <w:hyperlink w:anchor="_Toc236431628" w:history="1">
            <w:r w:rsidRPr="005521FC">
              <w:rPr>
                <w:rStyle w:val="Hyperlink"/>
                <w:rFonts w:ascii="Times New Roman" w:hAnsi="Times New Roman" w:cs="Times New Roman"/>
                <w:noProof/>
              </w:rPr>
              <w:t>2.3.4 The Evolution of Ransomware: From Encryption to Double and Triple Extortion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_Toc236431628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17</w:t>
            </w:r>
            <w:r w:rsidRPr="005521FC">
              <w:rPr>
                <w:rFonts w:ascii="Times New Roman" w:hAnsi="Times New Roman" w:cs="Times New Roman"/>
                <w:noProof/>
                <w:webHidden/>
              </w:rPr>
              <w:fldChar w:fldCharType="end"/>
            </w:r>
          </w:hyperlink>
        </w:p>
        <w:p w14:paraId="398DACA4" w14:textId="496D9146" w:rsidR="005521FC" w:rsidRPr="005521FC" w:rsidRDefault="005521FC">
          <w:pPr>
            <w:pStyle w:val="TOC3"/>
            <w:tabs>
              <w:tab w:val="right" w:leader="dot" w:pos="9350"/>
            </w:tabs>
            <w:rPr>
              <w:rFonts w:ascii="Times New Roman" w:eastAsiaTheme="minorEastAsia" w:hAnsi="Times New Roman" w:cs="Times New Roman"/>
              <w:noProof/>
            </w:rPr>
          </w:pPr>
          <w:hyperlink w:anchor="_Toc236431629" w:history="1">
            <w:r w:rsidRPr="005521FC">
              <w:rPr>
                <w:rStyle w:val="Hyperlink"/>
                <w:rFonts w:ascii="Times New Roman" w:hAnsi="Times New Roman" w:cs="Times New Roman"/>
                <w:noProof/>
              </w:rPr>
              <w:t>2.3.5 Encryption-Only Ransomware</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_Toc236431629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18</w:t>
            </w:r>
            <w:r w:rsidRPr="005521FC">
              <w:rPr>
                <w:rFonts w:ascii="Times New Roman" w:hAnsi="Times New Roman" w:cs="Times New Roman"/>
                <w:noProof/>
                <w:webHidden/>
              </w:rPr>
              <w:fldChar w:fldCharType="end"/>
            </w:r>
          </w:hyperlink>
        </w:p>
        <w:p w14:paraId="0B24DEDB" w14:textId="23843443" w:rsidR="005521FC" w:rsidRPr="005521FC" w:rsidRDefault="005521FC">
          <w:pPr>
            <w:pStyle w:val="TOC3"/>
            <w:tabs>
              <w:tab w:val="right" w:leader="dot" w:pos="9350"/>
            </w:tabs>
            <w:rPr>
              <w:rFonts w:ascii="Times New Roman" w:eastAsiaTheme="minorEastAsia" w:hAnsi="Times New Roman" w:cs="Times New Roman"/>
              <w:noProof/>
            </w:rPr>
          </w:pPr>
          <w:hyperlink w:anchor="_Toc236431630" w:history="1">
            <w:r w:rsidRPr="005521FC">
              <w:rPr>
                <w:rStyle w:val="Hyperlink"/>
                <w:rFonts w:ascii="Times New Roman" w:hAnsi="Times New Roman" w:cs="Times New Roman"/>
                <w:noProof/>
              </w:rPr>
              <w:t>2.3.6 Double Extortion – Steal First, Encrypt Second</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_Toc236431630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18</w:t>
            </w:r>
            <w:r w:rsidRPr="005521FC">
              <w:rPr>
                <w:rFonts w:ascii="Times New Roman" w:hAnsi="Times New Roman" w:cs="Times New Roman"/>
                <w:noProof/>
                <w:webHidden/>
              </w:rPr>
              <w:fldChar w:fldCharType="end"/>
            </w:r>
          </w:hyperlink>
        </w:p>
        <w:p w14:paraId="208631C8" w14:textId="1CB8F493" w:rsidR="005521FC" w:rsidRPr="005521FC" w:rsidRDefault="005521FC">
          <w:pPr>
            <w:pStyle w:val="TOC3"/>
            <w:tabs>
              <w:tab w:val="right" w:leader="dot" w:pos="9350"/>
            </w:tabs>
            <w:rPr>
              <w:rFonts w:ascii="Times New Roman" w:eastAsiaTheme="minorEastAsia" w:hAnsi="Times New Roman" w:cs="Times New Roman"/>
              <w:noProof/>
            </w:rPr>
          </w:pPr>
          <w:hyperlink w:anchor="_Toc236431631" w:history="1">
            <w:r w:rsidRPr="005521FC">
              <w:rPr>
                <w:rStyle w:val="Hyperlink"/>
                <w:rFonts w:ascii="Times New Roman" w:hAnsi="Times New Roman" w:cs="Times New Roman"/>
                <w:noProof/>
              </w:rPr>
              <w:t>2.3.7 Triple Extortion and Regulatory Weaponization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_Toc236431631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19</w:t>
            </w:r>
            <w:r w:rsidRPr="005521FC">
              <w:rPr>
                <w:rFonts w:ascii="Times New Roman" w:hAnsi="Times New Roman" w:cs="Times New Roman"/>
                <w:noProof/>
                <w:webHidden/>
              </w:rPr>
              <w:fldChar w:fldCharType="end"/>
            </w:r>
          </w:hyperlink>
        </w:p>
        <w:p w14:paraId="57307E4D" w14:textId="43C0CF8A" w:rsidR="005521FC" w:rsidRPr="005521FC" w:rsidRDefault="005521FC">
          <w:pPr>
            <w:pStyle w:val="TOC3"/>
            <w:tabs>
              <w:tab w:val="right" w:leader="dot" w:pos="9350"/>
            </w:tabs>
            <w:rPr>
              <w:rFonts w:ascii="Times New Roman" w:eastAsiaTheme="minorEastAsia" w:hAnsi="Times New Roman" w:cs="Times New Roman"/>
              <w:noProof/>
            </w:rPr>
          </w:pPr>
          <w:hyperlink w:anchor="_Toc236431632" w:history="1">
            <w:r w:rsidRPr="005521FC">
              <w:rPr>
                <w:rStyle w:val="Hyperlink"/>
                <w:rFonts w:ascii="Times New Roman" w:hAnsi="Times New Roman" w:cs="Times New Roman"/>
                <w:noProof/>
              </w:rPr>
              <w:t>2.3.8 Targeting Financial Institutions: Why PII is the Primary Objective</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_Toc236431632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20</w:t>
            </w:r>
            <w:r w:rsidRPr="005521FC">
              <w:rPr>
                <w:rFonts w:ascii="Times New Roman" w:hAnsi="Times New Roman" w:cs="Times New Roman"/>
                <w:noProof/>
                <w:webHidden/>
              </w:rPr>
              <w:fldChar w:fldCharType="end"/>
            </w:r>
          </w:hyperlink>
        </w:p>
        <w:p w14:paraId="7A6A3619" w14:textId="6D2F6DA9" w:rsidR="005521FC" w:rsidRPr="005521FC" w:rsidRDefault="005521FC">
          <w:pPr>
            <w:pStyle w:val="TOC2"/>
            <w:rPr>
              <w:rFonts w:ascii="Times New Roman" w:eastAsiaTheme="minorEastAsia" w:hAnsi="Times New Roman" w:cs="Times New Roman"/>
              <w:noProof/>
            </w:rPr>
          </w:pPr>
          <w:hyperlink w:anchor="_Toc236431633" w:history="1">
            <w:r w:rsidRPr="005521FC">
              <w:rPr>
                <w:rStyle w:val="Hyperlink"/>
                <w:rFonts w:ascii="Times New Roman" w:hAnsi="Times New Roman" w:cs="Times New Roman"/>
                <w:noProof/>
              </w:rPr>
              <w:t>2.4 Major Breaches That Have Targeted PII in Financial Institutions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_Toc236431633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21</w:t>
            </w:r>
            <w:r w:rsidRPr="005521FC">
              <w:rPr>
                <w:rFonts w:ascii="Times New Roman" w:hAnsi="Times New Roman" w:cs="Times New Roman"/>
                <w:noProof/>
                <w:webHidden/>
              </w:rPr>
              <w:fldChar w:fldCharType="end"/>
            </w:r>
          </w:hyperlink>
        </w:p>
        <w:p w14:paraId="57AA4D06" w14:textId="36E414AD" w:rsidR="005521FC" w:rsidRPr="005521FC" w:rsidRDefault="005521FC">
          <w:pPr>
            <w:pStyle w:val="TOC3"/>
            <w:tabs>
              <w:tab w:val="right" w:leader="dot" w:pos="9350"/>
            </w:tabs>
            <w:rPr>
              <w:rFonts w:ascii="Times New Roman" w:eastAsiaTheme="minorEastAsia" w:hAnsi="Times New Roman" w:cs="Times New Roman"/>
              <w:noProof/>
            </w:rPr>
          </w:pPr>
          <w:hyperlink w:anchor="_Toc236431634" w:history="1">
            <w:r w:rsidRPr="005521FC">
              <w:rPr>
                <w:rStyle w:val="Hyperlink"/>
                <w:rFonts w:ascii="Times New Roman" w:eastAsia="Arial" w:hAnsi="Times New Roman" w:cs="Times New Roman"/>
                <w:noProof/>
              </w:rPr>
              <w:t>2.4.1 First American Financial Corp</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_Toc236431634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23</w:t>
            </w:r>
            <w:r w:rsidRPr="005521FC">
              <w:rPr>
                <w:rFonts w:ascii="Times New Roman" w:hAnsi="Times New Roman" w:cs="Times New Roman"/>
                <w:noProof/>
                <w:webHidden/>
              </w:rPr>
              <w:fldChar w:fldCharType="end"/>
            </w:r>
          </w:hyperlink>
        </w:p>
        <w:p w14:paraId="3B59C768" w14:textId="22C364BD" w:rsidR="005521FC" w:rsidRPr="005521FC" w:rsidRDefault="005521FC">
          <w:pPr>
            <w:pStyle w:val="TOC3"/>
            <w:tabs>
              <w:tab w:val="right" w:leader="dot" w:pos="9350"/>
            </w:tabs>
            <w:rPr>
              <w:rFonts w:ascii="Times New Roman" w:eastAsiaTheme="minorEastAsia" w:hAnsi="Times New Roman" w:cs="Times New Roman"/>
              <w:noProof/>
            </w:rPr>
          </w:pPr>
          <w:hyperlink w:anchor="_Toc236431635" w:history="1">
            <w:r w:rsidRPr="005521FC">
              <w:rPr>
                <w:rStyle w:val="Hyperlink"/>
                <w:rFonts w:ascii="Times New Roman" w:hAnsi="Times New Roman" w:cs="Times New Roman"/>
                <w:noProof/>
              </w:rPr>
              <w:t>2.4.2 Equifax Breach</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_Toc236431635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24</w:t>
            </w:r>
            <w:r w:rsidRPr="005521FC">
              <w:rPr>
                <w:rFonts w:ascii="Times New Roman" w:hAnsi="Times New Roman" w:cs="Times New Roman"/>
                <w:noProof/>
                <w:webHidden/>
              </w:rPr>
              <w:fldChar w:fldCharType="end"/>
            </w:r>
          </w:hyperlink>
        </w:p>
        <w:p w14:paraId="7E43ADA7" w14:textId="3BC0F85B" w:rsidR="005521FC" w:rsidRPr="005521FC" w:rsidRDefault="005521FC">
          <w:pPr>
            <w:pStyle w:val="TOC3"/>
            <w:tabs>
              <w:tab w:val="right" w:leader="dot" w:pos="9350"/>
            </w:tabs>
            <w:rPr>
              <w:rFonts w:ascii="Times New Roman" w:eastAsiaTheme="minorEastAsia" w:hAnsi="Times New Roman" w:cs="Times New Roman"/>
              <w:noProof/>
            </w:rPr>
          </w:pPr>
          <w:hyperlink w:anchor="_Toc236431636" w:history="1">
            <w:r w:rsidRPr="005521FC">
              <w:rPr>
                <w:rStyle w:val="Hyperlink"/>
                <w:rFonts w:ascii="Times New Roman" w:hAnsi="Times New Roman" w:cs="Times New Roman"/>
                <w:noProof/>
              </w:rPr>
              <w:t>2.4.3 Heartland Payment Systems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_Toc236431636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25</w:t>
            </w:r>
            <w:r w:rsidRPr="005521FC">
              <w:rPr>
                <w:rFonts w:ascii="Times New Roman" w:hAnsi="Times New Roman" w:cs="Times New Roman"/>
                <w:noProof/>
                <w:webHidden/>
              </w:rPr>
              <w:fldChar w:fldCharType="end"/>
            </w:r>
          </w:hyperlink>
        </w:p>
        <w:p w14:paraId="0569EDD0" w14:textId="4C41282F" w:rsidR="005521FC" w:rsidRPr="005521FC" w:rsidRDefault="005521FC">
          <w:pPr>
            <w:pStyle w:val="TOC3"/>
            <w:tabs>
              <w:tab w:val="right" w:leader="dot" w:pos="9350"/>
            </w:tabs>
            <w:rPr>
              <w:rFonts w:ascii="Times New Roman" w:eastAsiaTheme="minorEastAsia" w:hAnsi="Times New Roman" w:cs="Times New Roman"/>
              <w:noProof/>
            </w:rPr>
          </w:pPr>
          <w:hyperlink w:anchor="_Toc236431637" w:history="1">
            <w:r w:rsidRPr="005521FC">
              <w:rPr>
                <w:rStyle w:val="Hyperlink"/>
                <w:rFonts w:ascii="Times New Roman" w:hAnsi="Times New Roman" w:cs="Times New Roman"/>
                <w:noProof/>
              </w:rPr>
              <w:t>2.4.4 Capital One</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_Toc236431637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26</w:t>
            </w:r>
            <w:r w:rsidRPr="005521FC">
              <w:rPr>
                <w:rFonts w:ascii="Times New Roman" w:hAnsi="Times New Roman" w:cs="Times New Roman"/>
                <w:noProof/>
                <w:webHidden/>
              </w:rPr>
              <w:fldChar w:fldCharType="end"/>
            </w:r>
          </w:hyperlink>
        </w:p>
        <w:p w14:paraId="4BD4E7B4" w14:textId="35CCEBDF" w:rsidR="005521FC" w:rsidRPr="005521FC" w:rsidRDefault="005521FC">
          <w:pPr>
            <w:pStyle w:val="TOC3"/>
            <w:tabs>
              <w:tab w:val="right" w:leader="dot" w:pos="9350"/>
            </w:tabs>
            <w:rPr>
              <w:rFonts w:ascii="Times New Roman" w:eastAsiaTheme="minorEastAsia" w:hAnsi="Times New Roman" w:cs="Times New Roman"/>
              <w:noProof/>
            </w:rPr>
          </w:pPr>
          <w:hyperlink w:anchor="_Toc236431638" w:history="1">
            <w:r w:rsidRPr="005521FC">
              <w:rPr>
                <w:rStyle w:val="Hyperlink"/>
                <w:rFonts w:ascii="Times New Roman" w:hAnsi="Times New Roman" w:cs="Times New Roman"/>
                <w:noProof/>
              </w:rPr>
              <w:t>2.4.5 Desjardins Group</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_Toc236431638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27</w:t>
            </w:r>
            <w:r w:rsidRPr="005521FC">
              <w:rPr>
                <w:rFonts w:ascii="Times New Roman" w:hAnsi="Times New Roman" w:cs="Times New Roman"/>
                <w:noProof/>
                <w:webHidden/>
              </w:rPr>
              <w:fldChar w:fldCharType="end"/>
            </w:r>
          </w:hyperlink>
        </w:p>
        <w:p w14:paraId="41C9C57F" w14:textId="3527377D" w:rsidR="005521FC" w:rsidRPr="005521FC" w:rsidRDefault="005521FC">
          <w:pPr>
            <w:pStyle w:val="TOC3"/>
            <w:tabs>
              <w:tab w:val="right" w:leader="dot" w:pos="9350"/>
            </w:tabs>
            <w:rPr>
              <w:rFonts w:ascii="Times New Roman" w:eastAsiaTheme="minorEastAsia" w:hAnsi="Times New Roman" w:cs="Times New Roman"/>
              <w:noProof/>
            </w:rPr>
          </w:pPr>
          <w:hyperlink w:anchor="_Toc236431639" w:history="1">
            <w:r w:rsidRPr="005521FC">
              <w:rPr>
                <w:rStyle w:val="Hyperlink"/>
                <w:rFonts w:ascii="Times New Roman" w:hAnsi="Times New Roman" w:cs="Times New Roman"/>
                <w:noProof/>
              </w:rPr>
              <w:t>2.4.6 JPMorgan Chase</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_Toc236431639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28</w:t>
            </w:r>
            <w:r w:rsidRPr="005521FC">
              <w:rPr>
                <w:rFonts w:ascii="Times New Roman" w:hAnsi="Times New Roman" w:cs="Times New Roman"/>
                <w:noProof/>
                <w:webHidden/>
              </w:rPr>
              <w:fldChar w:fldCharType="end"/>
            </w:r>
          </w:hyperlink>
        </w:p>
        <w:p w14:paraId="74AA828F" w14:textId="5E0CF92E" w:rsidR="005521FC" w:rsidRPr="005521FC" w:rsidRDefault="005521FC">
          <w:pPr>
            <w:pStyle w:val="TOC2"/>
            <w:rPr>
              <w:rFonts w:ascii="Times New Roman" w:eastAsiaTheme="minorEastAsia" w:hAnsi="Times New Roman" w:cs="Times New Roman"/>
              <w:noProof/>
            </w:rPr>
          </w:pPr>
          <w:hyperlink w:anchor="_Toc236431640" w:history="1">
            <w:r w:rsidRPr="005521FC">
              <w:rPr>
                <w:rStyle w:val="Hyperlink"/>
                <w:rFonts w:ascii="Times New Roman" w:hAnsi="Times New Roman" w:cs="Times New Roman"/>
                <w:noProof/>
              </w:rPr>
              <w:t>2.5 Data Security Posture Management (DSPM)</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_Toc236431640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30</w:t>
            </w:r>
            <w:r w:rsidRPr="005521FC">
              <w:rPr>
                <w:rFonts w:ascii="Times New Roman" w:hAnsi="Times New Roman" w:cs="Times New Roman"/>
                <w:noProof/>
                <w:webHidden/>
              </w:rPr>
              <w:fldChar w:fldCharType="end"/>
            </w:r>
          </w:hyperlink>
        </w:p>
        <w:p w14:paraId="4C5F9798" w14:textId="13B16C73" w:rsidR="005521FC" w:rsidRPr="005521FC" w:rsidRDefault="005521FC">
          <w:pPr>
            <w:pStyle w:val="TOC2"/>
            <w:rPr>
              <w:rFonts w:ascii="Times New Roman" w:eastAsiaTheme="minorEastAsia" w:hAnsi="Times New Roman" w:cs="Times New Roman"/>
              <w:noProof/>
            </w:rPr>
          </w:pPr>
          <w:hyperlink w:anchor="_Toc236431641" w:history="1">
            <w:r w:rsidRPr="005521FC">
              <w:rPr>
                <w:rStyle w:val="Hyperlink"/>
                <w:rFonts w:ascii="Times New Roman" w:hAnsi="Times New Roman" w:cs="Times New Roman"/>
                <w:noProof/>
              </w:rPr>
              <w:t>2.6 The Role of the SOC</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_Toc236431641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33</w:t>
            </w:r>
            <w:r w:rsidRPr="005521FC">
              <w:rPr>
                <w:rFonts w:ascii="Times New Roman" w:hAnsi="Times New Roman" w:cs="Times New Roman"/>
                <w:noProof/>
                <w:webHidden/>
              </w:rPr>
              <w:fldChar w:fldCharType="end"/>
            </w:r>
          </w:hyperlink>
        </w:p>
        <w:p w14:paraId="0A476E93" w14:textId="6C6BFA70" w:rsidR="005521FC" w:rsidRPr="005521FC" w:rsidRDefault="005521FC">
          <w:pPr>
            <w:pStyle w:val="TOC2"/>
            <w:rPr>
              <w:rFonts w:ascii="Times New Roman" w:eastAsiaTheme="minorEastAsia" w:hAnsi="Times New Roman" w:cs="Times New Roman"/>
              <w:noProof/>
            </w:rPr>
          </w:pPr>
          <w:hyperlink w:anchor="_Toc236431642" w:history="1">
            <w:r w:rsidRPr="005521FC">
              <w:rPr>
                <w:rStyle w:val="Hyperlink"/>
                <w:rFonts w:ascii="Times New Roman" w:hAnsi="Times New Roman" w:cs="Times New Roman"/>
                <w:noProof/>
              </w:rPr>
              <w:t>2.7 The SOC Flow: From Signal to Action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_Toc236431642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36</w:t>
            </w:r>
            <w:r w:rsidRPr="005521FC">
              <w:rPr>
                <w:rFonts w:ascii="Times New Roman" w:hAnsi="Times New Roman" w:cs="Times New Roman"/>
                <w:noProof/>
                <w:webHidden/>
              </w:rPr>
              <w:fldChar w:fldCharType="end"/>
            </w:r>
          </w:hyperlink>
        </w:p>
        <w:p w14:paraId="7169B466" w14:textId="3F8868E3" w:rsidR="005521FC" w:rsidRPr="005521FC" w:rsidRDefault="005521FC">
          <w:pPr>
            <w:pStyle w:val="TOC3"/>
            <w:tabs>
              <w:tab w:val="right" w:leader="dot" w:pos="9350"/>
            </w:tabs>
            <w:rPr>
              <w:rFonts w:ascii="Times New Roman" w:eastAsiaTheme="minorEastAsia" w:hAnsi="Times New Roman" w:cs="Times New Roman"/>
              <w:noProof/>
            </w:rPr>
          </w:pPr>
          <w:hyperlink w:anchor="_Toc236431643" w:history="1">
            <w:r w:rsidRPr="005521FC">
              <w:rPr>
                <w:rStyle w:val="Hyperlink"/>
                <w:rFonts w:ascii="Times New Roman" w:hAnsi="Times New Roman" w:cs="Times New Roman"/>
                <w:noProof/>
              </w:rPr>
              <w:t>2.7.1 Data Ingestion &amp; Normalization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_Toc236431643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37</w:t>
            </w:r>
            <w:r w:rsidRPr="005521FC">
              <w:rPr>
                <w:rFonts w:ascii="Times New Roman" w:hAnsi="Times New Roman" w:cs="Times New Roman"/>
                <w:noProof/>
                <w:webHidden/>
              </w:rPr>
              <w:fldChar w:fldCharType="end"/>
            </w:r>
          </w:hyperlink>
        </w:p>
        <w:p w14:paraId="7F3A9354" w14:textId="1BC194DE" w:rsidR="005521FC" w:rsidRPr="005521FC" w:rsidRDefault="005521FC">
          <w:pPr>
            <w:pStyle w:val="TOC3"/>
            <w:tabs>
              <w:tab w:val="right" w:leader="dot" w:pos="9350"/>
            </w:tabs>
            <w:rPr>
              <w:rFonts w:ascii="Times New Roman" w:eastAsiaTheme="minorEastAsia" w:hAnsi="Times New Roman" w:cs="Times New Roman"/>
              <w:noProof/>
            </w:rPr>
          </w:pPr>
          <w:hyperlink w:anchor="_Toc236431644" w:history="1">
            <w:r w:rsidRPr="005521FC">
              <w:rPr>
                <w:rStyle w:val="Hyperlink"/>
                <w:rFonts w:ascii="Times New Roman" w:hAnsi="Times New Roman" w:cs="Times New Roman"/>
                <w:noProof/>
              </w:rPr>
              <w:t>2.7.2 Detection &amp; Alerting</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_Toc236431644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38</w:t>
            </w:r>
            <w:r w:rsidRPr="005521FC">
              <w:rPr>
                <w:rFonts w:ascii="Times New Roman" w:hAnsi="Times New Roman" w:cs="Times New Roman"/>
                <w:noProof/>
                <w:webHidden/>
              </w:rPr>
              <w:fldChar w:fldCharType="end"/>
            </w:r>
          </w:hyperlink>
        </w:p>
        <w:p w14:paraId="0532FB79" w14:textId="72510134" w:rsidR="005521FC" w:rsidRPr="005521FC" w:rsidRDefault="005521FC">
          <w:pPr>
            <w:pStyle w:val="TOC3"/>
            <w:tabs>
              <w:tab w:val="right" w:leader="dot" w:pos="9350"/>
            </w:tabs>
            <w:rPr>
              <w:rFonts w:ascii="Times New Roman" w:eastAsiaTheme="minorEastAsia" w:hAnsi="Times New Roman" w:cs="Times New Roman"/>
              <w:noProof/>
            </w:rPr>
          </w:pPr>
          <w:hyperlink w:anchor="_Toc236431645" w:history="1">
            <w:r w:rsidRPr="005521FC">
              <w:rPr>
                <w:rStyle w:val="Hyperlink"/>
                <w:rFonts w:ascii="Times New Roman" w:hAnsi="Times New Roman" w:cs="Times New Roman"/>
                <w:noProof/>
              </w:rPr>
              <w:t>2.7.3 Triage &amp; Prioritization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_Toc236431645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38</w:t>
            </w:r>
            <w:r w:rsidRPr="005521FC">
              <w:rPr>
                <w:rFonts w:ascii="Times New Roman" w:hAnsi="Times New Roman" w:cs="Times New Roman"/>
                <w:noProof/>
                <w:webHidden/>
              </w:rPr>
              <w:fldChar w:fldCharType="end"/>
            </w:r>
          </w:hyperlink>
        </w:p>
        <w:p w14:paraId="0FE61179" w14:textId="544B0728" w:rsidR="005521FC" w:rsidRPr="005521FC" w:rsidRDefault="005521FC">
          <w:pPr>
            <w:pStyle w:val="TOC3"/>
            <w:tabs>
              <w:tab w:val="right" w:leader="dot" w:pos="9350"/>
            </w:tabs>
            <w:rPr>
              <w:rFonts w:ascii="Times New Roman" w:eastAsiaTheme="minorEastAsia" w:hAnsi="Times New Roman" w:cs="Times New Roman"/>
              <w:noProof/>
            </w:rPr>
          </w:pPr>
          <w:hyperlink w:anchor="_Toc236431646" w:history="1">
            <w:r w:rsidRPr="005521FC">
              <w:rPr>
                <w:rStyle w:val="Hyperlink"/>
                <w:rFonts w:ascii="Times New Roman" w:hAnsi="Times New Roman" w:cs="Times New Roman"/>
                <w:noProof/>
              </w:rPr>
              <w:t>2.7.4 Investigation &amp; Context Gathering</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_Toc236431646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39</w:t>
            </w:r>
            <w:r w:rsidRPr="005521FC">
              <w:rPr>
                <w:rFonts w:ascii="Times New Roman" w:hAnsi="Times New Roman" w:cs="Times New Roman"/>
                <w:noProof/>
                <w:webHidden/>
              </w:rPr>
              <w:fldChar w:fldCharType="end"/>
            </w:r>
          </w:hyperlink>
        </w:p>
        <w:p w14:paraId="0839117F" w14:textId="0B250D85" w:rsidR="005521FC" w:rsidRPr="005521FC" w:rsidRDefault="005521FC">
          <w:pPr>
            <w:pStyle w:val="TOC3"/>
            <w:tabs>
              <w:tab w:val="right" w:leader="dot" w:pos="9350"/>
            </w:tabs>
            <w:rPr>
              <w:rFonts w:ascii="Times New Roman" w:eastAsiaTheme="minorEastAsia" w:hAnsi="Times New Roman" w:cs="Times New Roman"/>
              <w:noProof/>
            </w:rPr>
          </w:pPr>
          <w:hyperlink w:anchor="_Toc236431647" w:history="1">
            <w:r w:rsidRPr="005521FC">
              <w:rPr>
                <w:rStyle w:val="Hyperlink"/>
                <w:rFonts w:ascii="Times New Roman" w:hAnsi="Times New Roman" w:cs="Times New Roman"/>
                <w:noProof/>
              </w:rPr>
              <w:t>2.7.5 Response &amp; Containment</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_Toc236431647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40</w:t>
            </w:r>
            <w:r w:rsidRPr="005521FC">
              <w:rPr>
                <w:rFonts w:ascii="Times New Roman" w:hAnsi="Times New Roman" w:cs="Times New Roman"/>
                <w:noProof/>
                <w:webHidden/>
              </w:rPr>
              <w:fldChar w:fldCharType="end"/>
            </w:r>
          </w:hyperlink>
        </w:p>
        <w:p w14:paraId="1060F401" w14:textId="1D81B990" w:rsidR="005521FC" w:rsidRPr="005521FC" w:rsidRDefault="005521FC">
          <w:pPr>
            <w:pStyle w:val="TOC2"/>
            <w:rPr>
              <w:rFonts w:ascii="Times New Roman" w:eastAsiaTheme="minorEastAsia" w:hAnsi="Times New Roman" w:cs="Times New Roman"/>
              <w:noProof/>
            </w:rPr>
          </w:pPr>
          <w:hyperlink w:anchor="_Toc236431648" w:history="1">
            <w:r w:rsidRPr="005521FC">
              <w:rPr>
                <w:rStyle w:val="Hyperlink"/>
                <w:rFonts w:ascii="Times New Roman" w:hAnsi="Times New Roman" w:cs="Times New Roman"/>
                <w:noProof/>
              </w:rPr>
              <w:t>2.8 Main Challenges for the SOC</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_Toc236431648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41</w:t>
            </w:r>
            <w:r w:rsidRPr="005521FC">
              <w:rPr>
                <w:rFonts w:ascii="Times New Roman" w:hAnsi="Times New Roman" w:cs="Times New Roman"/>
                <w:noProof/>
                <w:webHidden/>
              </w:rPr>
              <w:fldChar w:fldCharType="end"/>
            </w:r>
          </w:hyperlink>
        </w:p>
        <w:p w14:paraId="727D8D0C" w14:textId="09638BD6" w:rsidR="005521FC" w:rsidRPr="005521FC" w:rsidRDefault="005521FC">
          <w:pPr>
            <w:pStyle w:val="TOC3"/>
            <w:tabs>
              <w:tab w:val="right" w:leader="dot" w:pos="9350"/>
            </w:tabs>
            <w:rPr>
              <w:rFonts w:ascii="Times New Roman" w:eastAsiaTheme="minorEastAsia" w:hAnsi="Times New Roman" w:cs="Times New Roman"/>
              <w:noProof/>
            </w:rPr>
          </w:pPr>
          <w:hyperlink w:anchor="_Toc236431649" w:history="1">
            <w:r w:rsidRPr="005521FC">
              <w:rPr>
                <w:rStyle w:val="Hyperlink"/>
                <w:rFonts w:ascii="Times New Roman" w:hAnsi="Times New Roman" w:cs="Times New Roman"/>
                <w:noProof/>
              </w:rPr>
              <w:t>2.8.1 Too Much Noise and Alert Fatigue</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_Toc236431649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42</w:t>
            </w:r>
            <w:r w:rsidRPr="005521FC">
              <w:rPr>
                <w:rFonts w:ascii="Times New Roman" w:hAnsi="Times New Roman" w:cs="Times New Roman"/>
                <w:noProof/>
                <w:webHidden/>
              </w:rPr>
              <w:fldChar w:fldCharType="end"/>
            </w:r>
          </w:hyperlink>
        </w:p>
        <w:p w14:paraId="5598F886" w14:textId="320D4221" w:rsidR="005521FC" w:rsidRPr="005521FC" w:rsidRDefault="005521FC">
          <w:pPr>
            <w:pStyle w:val="TOC3"/>
            <w:tabs>
              <w:tab w:val="right" w:leader="dot" w:pos="9350"/>
            </w:tabs>
            <w:rPr>
              <w:rFonts w:ascii="Times New Roman" w:eastAsiaTheme="minorEastAsia" w:hAnsi="Times New Roman" w:cs="Times New Roman"/>
              <w:noProof/>
            </w:rPr>
          </w:pPr>
          <w:hyperlink w:anchor="_Toc236431650" w:history="1">
            <w:r w:rsidRPr="005521FC">
              <w:rPr>
                <w:rStyle w:val="Hyperlink"/>
                <w:rFonts w:ascii="Times New Roman" w:hAnsi="Times New Roman" w:cs="Times New Roman"/>
                <w:noProof/>
              </w:rPr>
              <w:t>2.8.2 Prioritization Inhibits Threat Detection and Response</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_Toc236431650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43</w:t>
            </w:r>
            <w:r w:rsidRPr="005521FC">
              <w:rPr>
                <w:rFonts w:ascii="Times New Roman" w:hAnsi="Times New Roman" w:cs="Times New Roman"/>
                <w:noProof/>
                <w:webHidden/>
              </w:rPr>
              <w:fldChar w:fldCharType="end"/>
            </w:r>
          </w:hyperlink>
        </w:p>
        <w:p w14:paraId="68830D8F" w14:textId="65A96D10" w:rsidR="005521FC" w:rsidRPr="005521FC" w:rsidRDefault="005521FC">
          <w:pPr>
            <w:pStyle w:val="TOC3"/>
            <w:tabs>
              <w:tab w:val="right" w:leader="dot" w:pos="9350"/>
            </w:tabs>
            <w:rPr>
              <w:rFonts w:ascii="Times New Roman" w:eastAsiaTheme="minorEastAsia" w:hAnsi="Times New Roman" w:cs="Times New Roman"/>
              <w:noProof/>
            </w:rPr>
          </w:pPr>
          <w:hyperlink w:anchor="_Toc236431651" w:history="1">
            <w:r w:rsidRPr="005521FC">
              <w:rPr>
                <w:rStyle w:val="Hyperlink"/>
                <w:rFonts w:ascii="Times New Roman" w:hAnsi="Times New Roman" w:cs="Times New Roman"/>
                <w:noProof/>
              </w:rPr>
              <w:t>2.8.3 The Slow and Silent Attacker Is The Most Dangerous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_Toc236431651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44</w:t>
            </w:r>
            <w:r w:rsidRPr="005521FC">
              <w:rPr>
                <w:rFonts w:ascii="Times New Roman" w:hAnsi="Times New Roman" w:cs="Times New Roman"/>
                <w:noProof/>
                <w:webHidden/>
              </w:rPr>
              <w:fldChar w:fldCharType="end"/>
            </w:r>
          </w:hyperlink>
        </w:p>
        <w:p w14:paraId="06AC21D6" w14:textId="6DBA2E24" w:rsidR="005521FC" w:rsidRPr="005521FC" w:rsidRDefault="005521FC">
          <w:pPr>
            <w:pStyle w:val="TOC2"/>
            <w:rPr>
              <w:rFonts w:ascii="Times New Roman" w:eastAsiaTheme="minorEastAsia" w:hAnsi="Times New Roman" w:cs="Times New Roman"/>
              <w:noProof/>
            </w:rPr>
          </w:pPr>
          <w:hyperlink w:anchor="_Toc236431652" w:history="1">
            <w:r w:rsidRPr="005521FC">
              <w:rPr>
                <w:rStyle w:val="Hyperlink"/>
                <w:rFonts w:ascii="Times New Roman" w:hAnsi="Times New Roman" w:cs="Times New Roman"/>
                <w:noProof/>
              </w:rPr>
              <w:t>2.9 MITRE ATT&amp;CK Framework as a Cornerstone of Security Operations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_Toc236431652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45</w:t>
            </w:r>
            <w:r w:rsidRPr="005521FC">
              <w:rPr>
                <w:rFonts w:ascii="Times New Roman" w:hAnsi="Times New Roman" w:cs="Times New Roman"/>
                <w:noProof/>
                <w:webHidden/>
              </w:rPr>
              <w:fldChar w:fldCharType="end"/>
            </w:r>
          </w:hyperlink>
        </w:p>
        <w:p w14:paraId="149ABE06" w14:textId="14174276" w:rsidR="005521FC" w:rsidRPr="005521FC" w:rsidRDefault="005521FC">
          <w:pPr>
            <w:pStyle w:val="TOC2"/>
            <w:rPr>
              <w:rFonts w:ascii="Times New Roman" w:eastAsiaTheme="minorEastAsia" w:hAnsi="Times New Roman" w:cs="Times New Roman"/>
              <w:noProof/>
            </w:rPr>
          </w:pPr>
          <w:hyperlink w:anchor="_Toc236431653" w:history="1">
            <w:r w:rsidRPr="005521FC">
              <w:rPr>
                <w:rStyle w:val="Hyperlink"/>
                <w:rFonts w:ascii="Times New Roman" w:hAnsi="Times New Roman" w:cs="Times New Roman"/>
                <w:noProof/>
              </w:rPr>
              <w:t>2.10 Establishing the Potential of a PII Context Framework to Improve SOC Efficacy</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_Toc236431653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48</w:t>
            </w:r>
            <w:r w:rsidRPr="005521FC">
              <w:rPr>
                <w:rFonts w:ascii="Times New Roman" w:hAnsi="Times New Roman" w:cs="Times New Roman"/>
                <w:noProof/>
                <w:webHidden/>
              </w:rPr>
              <w:fldChar w:fldCharType="end"/>
            </w:r>
          </w:hyperlink>
        </w:p>
        <w:p w14:paraId="0F78B743" w14:textId="2A2D70CD" w:rsidR="005521FC" w:rsidRPr="005521FC" w:rsidRDefault="005521FC">
          <w:pPr>
            <w:pStyle w:val="TOC1"/>
            <w:tabs>
              <w:tab w:val="right" w:leader="dot" w:pos="9350"/>
            </w:tabs>
            <w:rPr>
              <w:rFonts w:ascii="Times New Roman" w:eastAsiaTheme="minorEastAsia" w:hAnsi="Times New Roman" w:cs="Times New Roman"/>
              <w:noProof/>
            </w:rPr>
          </w:pPr>
          <w:hyperlink w:anchor="_Toc236431654" w:history="1">
            <w:r w:rsidRPr="005521FC">
              <w:rPr>
                <w:rStyle w:val="Hyperlink"/>
                <w:rFonts w:ascii="Times New Roman" w:hAnsi="Times New Roman" w:cs="Times New Roman"/>
                <w:noProof/>
              </w:rPr>
              <w:t>Chapter 3 - Methodology</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_Toc236431654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51</w:t>
            </w:r>
            <w:r w:rsidRPr="005521FC">
              <w:rPr>
                <w:rFonts w:ascii="Times New Roman" w:hAnsi="Times New Roman" w:cs="Times New Roman"/>
                <w:noProof/>
                <w:webHidden/>
              </w:rPr>
              <w:fldChar w:fldCharType="end"/>
            </w:r>
          </w:hyperlink>
        </w:p>
        <w:p w14:paraId="251B38F8" w14:textId="2B26A68A" w:rsidR="005521FC" w:rsidRPr="005521FC" w:rsidRDefault="005521FC">
          <w:pPr>
            <w:pStyle w:val="TOC2"/>
            <w:rPr>
              <w:rFonts w:ascii="Times New Roman" w:eastAsiaTheme="minorEastAsia" w:hAnsi="Times New Roman" w:cs="Times New Roman"/>
              <w:noProof/>
            </w:rPr>
          </w:pPr>
          <w:hyperlink w:anchor="_Toc236431655" w:history="1">
            <w:r w:rsidRPr="005521FC">
              <w:rPr>
                <w:rStyle w:val="Hyperlink"/>
                <w:rFonts w:ascii="Times New Roman" w:hAnsi="Times New Roman" w:cs="Times New Roman"/>
                <w:noProof/>
              </w:rPr>
              <w:t>3.1 Overview and Research Design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_Toc236431655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51</w:t>
            </w:r>
            <w:r w:rsidRPr="005521FC">
              <w:rPr>
                <w:rFonts w:ascii="Times New Roman" w:hAnsi="Times New Roman" w:cs="Times New Roman"/>
                <w:noProof/>
                <w:webHidden/>
              </w:rPr>
              <w:fldChar w:fldCharType="end"/>
            </w:r>
          </w:hyperlink>
        </w:p>
        <w:p w14:paraId="20653B57" w14:textId="2F7F5A9C" w:rsidR="005521FC" w:rsidRPr="005521FC" w:rsidRDefault="005521FC">
          <w:pPr>
            <w:pStyle w:val="TOC2"/>
            <w:rPr>
              <w:rFonts w:ascii="Times New Roman" w:eastAsiaTheme="minorEastAsia" w:hAnsi="Times New Roman" w:cs="Times New Roman"/>
              <w:noProof/>
            </w:rPr>
          </w:pPr>
          <w:hyperlink w:anchor="_Toc236431656" w:history="1">
            <w:r w:rsidRPr="005521FC">
              <w:rPr>
                <w:rStyle w:val="Hyperlink"/>
                <w:rFonts w:ascii="Times New Roman" w:eastAsia="Times New Roman" w:hAnsi="Times New Roman" w:cs="Times New Roman"/>
                <w:noProof/>
              </w:rPr>
              <w:t>3.2 Research Approach</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_Toc236431656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55</w:t>
            </w:r>
            <w:r w:rsidRPr="005521FC">
              <w:rPr>
                <w:rFonts w:ascii="Times New Roman" w:hAnsi="Times New Roman" w:cs="Times New Roman"/>
                <w:noProof/>
                <w:webHidden/>
              </w:rPr>
              <w:fldChar w:fldCharType="end"/>
            </w:r>
          </w:hyperlink>
        </w:p>
        <w:p w14:paraId="66A249C0" w14:textId="4EBF8A7A" w:rsidR="005521FC" w:rsidRPr="005521FC" w:rsidRDefault="005521FC">
          <w:pPr>
            <w:pStyle w:val="TOC2"/>
            <w:rPr>
              <w:rFonts w:ascii="Times New Roman" w:eastAsiaTheme="minorEastAsia" w:hAnsi="Times New Roman" w:cs="Times New Roman"/>
              <w:noProof/>
            </w:rPr>
          </w:pPr>
          <w:hyperlink w:anchor="_Toc236431657" w:history="1">
            <w:r w:rsidRPr="005521FC">
              <w:rPr>
                <w:rStyle w:val="Hyperlink"/>
                <w:rFonts w:ascii="Times New Roman" w:eastAsia="Times New Roman" w:hAnsi="Times New Roman" w:cs="Times New Roman"/>
                <w:noProof/>
              </w:rPr>
              <w:t>3.3 Research Questions and Hypotheses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_Toc236431657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57</w:t>
            </w:r>
            <w:r w:rsidRPr="005521FC">
              <w:rPr>
                <w:rFonts w:ascii="Times New Roman" w:hAnsi="Times New Roman" w:cs="Times New Roman"/>
                <w:noProof/>
                <w:webHidden/>
              </w:rPr>
              <w:fldChar w:fldCharType="end"/>
            </w:r>
          </w:hyperlink>
        </w:p>
        <w:p w14:paraId="7AF44016" w14:textId="47C7C9A9" w:rsidR="005521FC" w:rsidRPr="005521FC" w:rsidRDefault="005521FC">
          <w:pPr>
            <w:pStyle w:val="TOC3"/>
            <w:tabs>
              <w:tab w:val="right" w:leader="dot" w:pos="9350"/>
            </w:tabs>
            <w:rPr>
              <w:rFonts w:ascii="Times New Roman" w:eastAsiaTheme="minorEastAsia" w:hAnsi="Times New Roman" w:cs="Times New Roman"/>
              <w:noProof/>
            </w:rPr>
          </w:pPr>
          <w:hyperlink w:anchor="_Toc236431658" w:history="1">
            <w:r w:rsidRPr="005521FC">
              <w:rPr>
                <w:rStyle w:val="Hyperlink"/>
                <w:rFonts w:ascii="Times New Roman" w:hAnsi="Times New Roman" w:cs="Times New Roman"/>
                <w:noProof/>
              </w:rPr>
              <w:t>3.3.1 Research Questions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_Toc236431658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57</w:t>
            </w:r>
            <w:r w:rsidRPr="005521FC">
              <w:rPr>
                <w:rFonts w:ascii="Times New Roman" w:hAnsi="Times New Roman" w:cs="Times New Roman"/>
                <w:noProof/>
                <w:webHidden/>
              </w:rPr>
              <w:fldChar w:fldCharType="end"/>
            </w:r>
          </w:hyperlink>
        </w:p>
        <w:p w14:paraId="074B7712" w14:textId="763FC9D1" w:rsidR="005521FC" w:rsidRPr="005521FC" w:rsidRDefault="005521FC">
          <w:pPr>
            <w:pStyle w:val="TOC3"/>
            <w:tabs>
              <w:tab w:val="right" w:leader="dot" w:pos="9350"/>
            </w:tabs>
            <w:rPr>
              <w:rFonts w:ascii="Times New Roman" w:eastAsiaTheme="minorEastAsia" w:hAnsi="Times New Roman" w:cs="Times New Roman"/>
              <w:noProof/>
            </w:rPr>
          </w:pPr>
          <w:hyperlink w:anchor="_Toc236431659" w:history="1">
            <w:r w:rsidRPr="005521FC">
              <w:rPr>
                <w:rStyle w:val="Hyperlink"/>
                <w:rFonts w:ascii="Times New Roman" w:hAnsi="Times New Roman" w:cs="Times New Roman"/>
                <w:noProof/>
              </w:rPr>
              <w:t>3.3.2 Hypotheses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_Toc236431659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58</w:t>
            </w:r>
            <w:r w:rsidRPr="005521FC">
              <w:rPr>
                <w:rFonts w:ascii="Times New Roman" w:hAnsi="Times New Roman" w:cs="Times New Roman"/>
                <w:noProof/>
                <w:webHidden/>
              </w:rPr>
              <w:fldChar w:fldCharType="end"/>
            </w:r>
          </w:hyperlink>
        </w:p>
        <w:p w14:paraId="75239061" w14:textId="74C2FF74" w:rsidR="005521FC" w:rsidRPr="005521FC" w:rsidRDefault="005521FC">
          <w:pPr>
            <w:pStyle w:val="TOC2"/>
            <w:rPr>
              <w:rFonts w:ascii="Times New Roman" w:eastAsiaTheme="minorEastAsia" w:hAnsi="Times New Roman" w:cs="Times New Roman"/>
              <w:noProof/>
            </w:rPr>
          </w:pPr>
          <w:hyperlink w:anchor="_Toc236431660" w:history="1">
            <w:r w:rsidRPr="005521FC">
              <w:rPr>
                <w:rStyle w:val="Hyperlink"/>
                <w:rFonts w:ascii="Times New Roman" w:eastAsia="Times New Roman" w:hAnsi="Times New Roman" w:cs="Times New Roman"/>
                <w:noProof/>
              </w:rPr>
              <w:t>3.4 Experimental Design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_Toc236431660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58</w:t>
            </w:r>
            <w:r w:rsidRPr="005521FC">
              <w:rPr>
                <w:rFonts w:ascii="Times New Roman" w:hAnsi="Times New Roman" w:cs="Times New Roman"/>
                <w:noProof/>
                <w:webHidden/>
              </w:rPr>
              <w:fldChar w:fldCharType="end"/>
            </w:r>
          </w:hyperlink>
        </w:p>
        <w:p w14:paraId="7066C4D5" w14:textId="5B68FA29" w:rsidR="005521FC" w:rsidRPr="005521FC" w:rsidRDefault="005521FC">
          <w:pPr>
            <w:pStyle w:val="TOC2"/>
            <w:rPr>
              <w:rFonts w:ascii="Times New Roman" w:eastAsiaTheme="minorEastAsia" w:hAnsi="Times New Roman" w:cs="Times New Roman"/>
              <w:noProof/>
            </w:rPr>
          </w:pPr>
          <w:hyperlink w:anchor="_Toc236431661" w:history="1">
            <w:r w:rsidRPr="005521FC">
              <w:rPr>
                <w:rStyle w:val="Hyperlink"/>
                <w:rFonts w:ascii="Times New Roman" w:eastAsia="Times New Roman" w:hAnsi="Times New Roman" w:cs="Times New Roman"/>
                <w:noProof/>
              </w:rPr>
              <w:t>3.5 The Graphical Model and Conceptual Framework</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_Toc236431661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60</w:t>
            </w:r>
            <w:r w:rsidRPr="005521FC">
              <w:rPr>
                <w:rFonts w:ascii="Times New Roman" w:hAnsi="Times New Roman" w:cs="Times New Roman"/>
                <w:noProof/>
                <w:webHidden/>
              </w:rPr>
              <w:fldChar w:fldCharType="end"/>
            </w:r>
          </w:hyperlink>
        </w:p>
        <w:p w14:paraId="319A194A" w14:textId="117EEE6B" w:rsidR="005521FC" w:rsidRPr="005521FC" w:rsidRDefault="005521FC">
          <w:pPr>
            <w:pStyle w:val="TOC2"/>
            <w:rPr>
              <w:rFonts w:ascii="Times New Roman" w:eastAsiaTheme="minorEastAsia" w:hAnsi="Times New Roman" w:cs="Times New Roman"/>
              <w:noProof/>
            </w:rPr>
          </w:pPr>
          <w:hyperlink w:anchor="_Toc236431662" w:history="1">
            <w:r w:rsidRPr="005521FC">
              <w:rPr>
                <w:rStyle w:val="Hyperlink"/>
                <w:rFonts w:ascii="Times New Roman" w:eastAsia="Times New Roman" w:hAnsi="Times New Roman" w:cs="Times New Roman"/>
                <w:noProof/>
              </w:rPr>
              <w:t>3.6 Datasets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_Toc236431662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63</w:t>
            </w:r>
            <w:r w:rsidRPr="005521FC">
              <w:rPr>
                <w:rFonts w:ascii="Times New Roman" w:hAnsi="Times New Roman" w:cs="Times New Roman"/>
                <w:noProof/>
                <w:webHidden/>
              </w:rPr>
              <w:fldChar w:fldCharType="end"/>
            </w:r>
          </w:hyperlink>
        </w:p>
        <w:p w14:paraId="7FC8F3BC" w14:textId="3B89A0BF" w:rsidR="005521FC" w:rsidRPr="005521FC" w:rsidRDefault="005521FC">
          <w:pPr>
            <w:pStyle w:val="TOC3"/>
            <w:tabs>
              <w:tab w:val="right" w:leader="dot" w:pos="9350"/>
            </w:tabs>
            <w:rPr>
              <w:rFonts w:ascii="Times New Roman" w:eastAsiaTheme="minorEastAsia" w:hAnsi="Times New Roman" w:cs="Times New Roman"/>
              <w:noProof/>
            </w:rPr>
          </w:pPr>
          <w:hyperlink w:anchor="_Toc236431663" w:history="1">
            <w:r w:rsidRPr="005521FC">
              <w:rPr>
                <w:rStyle w:val="Hyperlink"/>
                <w:rFonts w:ascii="Times New Roman" w:hAnsi="Times New Roman" w:cs="Times New Roman"/>
                <w:noProof/>
              </w:rPr>
              <w:t>3.6.1 Primary Scenario: Remote Access Trojan with PII Exfiltration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_Toc236431663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64</w:t>
            </w:r>
            <w:r w:rsidRPr="005521FC">
              <w:rPr>
                <w:rFonts w:ascii="Times New Roman" w:hAnsi="Times New Roman" w:cs="Times New Roman"/>
                <w:noProof/>
                <w:webHidden/>
              </w:rPr>
              <w:fldChar w:fldCharType="end"/>
            </w:r>
          </w:hyperlink>
        </w:p>
        <w:p w14:paraId="5B3B7AEA" w14:textId="5CA40839" w:rsidR="005521FC" w:rsidRPr="005521FC" w:rsidRDefault="005521FC">
          <w:pPr>
            <w:pStyle w:val="TOC3"/>
            <w:tabs>
              <w:tab w:val="right" w:leader="dot" w:pos="9350"/>
            </w:tabs>
            <w:rPr>
              <w:rFonts w:ascii="Times New Roman" w:eastAsiaTheme="minorEastAsia" w:hAnsi="Times New Roman" w:cs="Times New Roman"/>
              <w:noProof/>
            </w:rPr>
          </w:pPr>
          <w:hyperlink w:anchor="_Toc236431664" w:history="1">
            <w:r w:rsidRPr="005521FC">
              <w:rPr>
                <w:rStyle w:val="Hyperlink"/>
                <w:rFonts w:ascii="Times New Roman" w:hAnsi="Times New Roman" w:cs="Times New Roman"/>
                <w:noProof/>
              </w:rPr>
              <w:t>3.6.2 Remaining Scenarios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_Toc236431664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66</w:t>
            </w:r>
            <w:r w:rsidRPr="005521FC">
              <w:rPr>
                <w:rFonts w:ascii="Times New Roman" w:hAnsi="Times New Roman" w:cs="Times New Roman"/>
                <w:noProof/>
                <w:webHidden/>
              </w:rPr>
              <w:fldChar w:fldCharType="end"/>
            </w:r>
          </w:hyperlink>
        </w:p>
        <w:p w14:paraId="13E75A85" w14:textId="6E012210" w:rsidR="005521FC" w:rsidRPr="005521FC" w:rsidRDefault="005521FC">
          <w:pPr>
            <w:pStyle w:val="TOC2"/>
            <w:rPr>
              <w:rFonts w:ascii="Times New Roman" w:eastAsiaTheme="minorEastAsia" w:hAnsi="Times New Roman" w:cs="Times New Roman"/>
              <w:noProof/>
            </w:rPr>
          </w:pPr>
          <w:hyperlink w:anchor="_Toc236431665" w:history="1">
            <w:r w:rsidRPr="005521FC">
              <w:rPr>
                <w:rStyle w:val="Hyperlink"/>
                <w:rFonts w:ascii="Times New Roman" w:eastAsia="Times New Roman" w:hAnsi="Times New Roman" w:cs="Times New Roman"/>
                <w:noProof/>
              </w:rPr>
              <w:t>3.7 Techniques and Tools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_Toc236431665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70</w:t>
            </w:r>
            <w:r w:rsidRPr="005521FC">
              <w:rPr>
                <w:rFonts w:ascii="Times New Roman" w:hAnsi="Times New Roman" w:cs="Times New Roman"/>
                <w:noProof/>
                <w:webHidden/>
              </w:rPr>
              <w:fldChar w:fldCharType="end"/>
            </w:r>
          </w:hyperlink>
        </w:p>
        <w:p w14:paraId="2D886F4B" w14:textId="4993C48C" w:rsidR="005521FC" w:rsidRPr="005521FC" w:rsidRDefault="005521FC">
          <w:pPr>
            <w:pStyle w:val="TOC3"/>
            <w:tabs>
              <w:tab w:val="right" w:leader="dot" w:pos="9350"/>
            </w:tabs>
            <w:rPr>
              <w:rFonts w:ascii="Times New Roman" w:eastAsiaTheme="minorEastAsia" w:hAnsi="Times New Roman" w:cs="Times New Roman"/>
              <w:noProof/>
            </w:rPr>
          </w:pPr>
          <w:hyperlink w:anchor="_Toc236431666" w:history="1">
            <w:r w:rsidRPr="005521FC">
              <w:rPr>
                <w:rStyle w:val="Hyperlink"/>
                <w:rFonts w:ascii="Times New Roman" w:hAnsi="Times New Roman" w:cs="Times New Roman"/>
                <w:noProof/>
              </w:rPr>
              <w:t>3.7.1 Platform and Containerization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_Toc236431666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70</w:t>
            </w:r>
            <w:r w:rsidRPr="005521FC">
              <w:rPr>
                <w:rFonts w:ascii="Times New Roman" w:hAnsi="Times New Roman" w:cs="Times New Roman"/>
                <w:noProof/>
                <w:webHidden/>
              </w:rPr>
              <w:fldChar w:fldCharType="end"/>
            </w:r>
          </w:hyperlink>
        </w:p>
        <w:p w14:paraId="662254F4" w14:textId="15ED1DD4" w:rsidR="005521FC" w:rsidRPr="005521FC" w:rsidRDefault="005521FC">
          <w:pPr>
            <w:pStyle w:val="TOC3"/>
            <w:tabs>
              <w:tab w:val="right" w:leader="dot" w:pos="9350"/>
            </w:tabs>
            <w:rPr>
              <w:rFonts w:ascii="Times New Roman" w:eastAsiaTheme="minorEastAsia" w:hAnsi="Times New Roman" w:cs="Times New Roman"/>
              <w:noProof/>
            </w:rPr>
          </w:pPr>
          <w:hyperlink w:anchor="_Toc236431667" w:history="1">
            <w:r w:rsidRPr="005521FC">
              <w:rPr>
                <w:rStyle w:val="Hyperlink"/>
                <w:rFonts w:ascii="Times New Roman" w:hAnsi="Times New Roman" w:cs="Times New Roman"/>
                <w:noProof/>
              </w:rPr>
              <w:t>3.7.2 Data Normalization: Elastic Common Schema</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_Toc236431667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71</w:t>
            </w:r>
            <w:r w:rsidRPr="005521FC">
              <w:rPr>
                <w:rFonts w:ascii="Times New Roman" w:hAnsi="Times New Roman" w:cs="Times New Roman"/>
                <w:noProof/>
                <w:webHidden/>
              </w:rPr>
              <w:fldChar w:fldCharType="end"/>
            </w:r>
          </w:hyperlink>
        </w:p>
        <w:p w14:paraId="4E220422" w14:textId="0052466B" w:rsidR="005521FC" w:rsidRPr="005521FC" w:rsidRDefault="005521FC">
          <w:pPr>
            <w:pStyle w:val="TOC3"/>
            <w:tabs>
              <w:tab w:val="right" w:leader="dot" w:pos="9350"/>
            </w:tabs>
            <w:rPr>
              <w:rFonts w:ascii="Times New Roman" w:eastAsiaTheme="minorEastAsia" w:hAnsi="Times New Roman" w:cs="Times New Roman"/>
              <w:noProof/>
            </w:rPr>
          </w:pPr>
          <w:hyperlink w:anchor="_Toc236431668" w:history="1">
            <w:r w:rsidRPr="005521FC">
              <w:rPr>
                <w:rStyle w:val="Hyperlink"/>
                <w:rFonts w:ascii="Times New Roman" w:hAnsi="Times New Roman" w:cs="Times New Roman"/>
                <w:noProof/>
              </w:rPr>
              <w:t>3.7.3 Aggregation, Correlation, and Visualization Logic</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_Toc236431668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72</w:t>
            </w:r>
            <w:r w:rsidRPr="005521FC">
              <w:rPr>
                <w:rFonts w:ascii="Times New Roman" w:hAnsi="Times New Roman" w:cs="Times New Roman"/>
                <w:noProof/>
                <w:webHidden/>
              </w:rPr>
              <w:fldChar w:fldCharType="end"/>
            </w:r>
          </w:hyperlink>
        </w:p>
        <w:p w14:paraId="0A0570FC" w14:textId="712984F5" w:rsidR="005521FC" w:rsidRPr="005521FC" w:rsidRDefault="005521FC">
          <w:pPr>
            <w:pStyle w:val="TOC3"/>
            <w:tabs>
              <w:tab w:val="right" w:leader="dot" w:pos="9350"/>
            </w:tabs>
            <w:rPr>
              <w:rFonts w:ascii="Times New Roman" w:eastAsiaTheme="minorEastAsia" w:hAnsi="Times New Roman" w:cs="Times New Roman"/>
              <w:noProof/>
            </w:rPr>
          </w:pPr>
          <w:hyperlink w:anchor="_Toc236431669" w:history="1">
            <w:r w:rsidRPr="005521FC">
              <w:rPr>
                <w:rStyle w:val="Hyperlink"/>
                <w:rFonts w:ascii="Times New Roman" w:hAnsi="Times New Roman" w:cs="Times New Roman"/>
                <w:noProof/>
              </w:rPr>
              <w:t>3.7.4 The PII Context Framework</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_Toc236431669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73</w:t>
            </w:r>
            <w:r w:rsidRPr="005521FC">
              <w:rPr>
                <w:rFonts w:ascii="Times New Roman" w:hAnsi="Times New Roman" w:cs="Times New Roman"/>
                <w:noProof/>
                <w:webHidden/>
              </w:rPr>
              <w:fldChar w:fldCharType="end"/>
            </w:r>
          </w:hyperlink>
        </w:p>
        <w:p w14:paraId="0DCC24DA" w14:textId="5A5D965C" w:rsidR="005521FC" w:rsidRPr="005521FC" w:rsidRDefault="005521FC">
          <w:pPr>
            <w:pStyle w:val="TOC2"/>
            <w:rPr>
              <w:rFonts w:ascii="Times New Roman" w:eastAsiaTheme="minorEastAsia" w:hAnsi="Times New Roman" w:cs="Times New Roman"/>
              <w:noProof/>
            </w:rPr>
          </w:pPr>
          <w:hyperlink w:anchor="_Toc236431670" w:history="1">
            <w:r w:rsidRPr="005521FC">
              <w:rPr>
                <w:rStyle w:val="Hyperlink"/>
                <w:rFonts w:ascii="Times New Roman" w:eastAsia="Times New Roman" w:hAnsi="Times New Roman" w:cs="Times New Roman"/>
                <w:noProof/>
              </w:rPr>
              <w:t>3.8 Testing Procedures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_Toc236431670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77</w:t>
            </w:r>
            <w:r w:rsidRPr="005521FC">
              <w:rPr>
                <w:rFonts w:ascii="Times New Roman" w:hAnsi="Times New Roman" w:cs="Times New Roman"/>
                <w:noProof/>
                <w:webHidden/>
              </w:rPr>
              <w:fldChar w:fldCharType="end"/>
            </w:r>
          </w:hyperlink>
        </w:p>
        <w:p w14:paraId="6BAE869A" w14:textId="601197C6" w:rsidR="005521FC" w:rsidRPr="005521FC" w:rsidRDefault="005521FC">
          <w:pPr>
            <w:pStyle w:val="TOC3"/>
            <w:tabs>
              <w:tab w:val="right" w:leader="dot" w:pos="9350"/>
            </w:tabs>
            <w:rPr>
              <w:rFonts w:ascii="Times New Roman" w:eastAsiaTheme="minorEastAsia" w:hAnsi="Times New Roman" w:cs="Times New Roman"/>
              <w:noProof/>
            </w:rPr>
          </w:pPr>
          <w:hyperlink w:anchor="_Toc236431671" w:history="1">
            <w:r w:rsidRPr="005521FC">
              <w:rPr>
                <w:rStyle w:val="Hyperlink"/>
                <w:rFonts w:ascii="Times New Roman" w:hAnsi="Times New Roman" w:cs="Times New Roman"/>
                <w:noProof/>
              </w:rPr>
              <w:t>3.8.1 Baseline Establishment and Enriched Execution</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_Toc236431671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77</w:t>
            </w:r>
            <w:r w:rsidRPr="005521FC">
              <w:rPr>
                <w:rFonts w:ascii="Times New Roman" w:hAnsi="Times New Roman" w:cs="Times New Roman"/>
                <w:noProof/>
                <w:webHidden/>
              </w:rPr>
              <w:fldChar w:fldCharType="end"/>
            </w:r>
          </w:hyperlink>
        </w:p>
        <w:p w14:paraId="216E9FC2" w14:textId="5ED5BE05" w:rsidR="005521FC" w:rsidRPr="005521FC" w:rsidRDefault="005521FC">
          <w:pPr>
            <w:pStyle w:val="TOC3"/>
            <w:tabs>
              <w:tab w:val="right" w:leader="dot" w:pos="9350"/>
            </w:tabs>
            <w:rPr>
              <w:rFonts w:ascii="Times New Roman" w:eastAsiaTheme="minorEastAsia" w:hAnsi="Times New Roman" w:cs="Times New Roman"/>
              <w:noProof/>
            </w:rPr>
          </w:pPr>
          <w:hyperlink w:anchor="_Toc236431672" w:history="1">
            <w:r w:rsidRPr="005521FC">
              <w:rPr>
                <w:rStyle w:val="Hyperlink"/>
                <w:rFonts w:ascii="Times New Roman" w:hAnsi="Times New Roman" w:cs="Times New Roman"/>
                <w:noProof/>
              </w:rPr>
              <w:t>3.8.2 Primary Performance Metrics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_Toc236431672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79</w:t>
            </w:r>
            <w:r w:rsidRPr="005521FC">
              <w:rPr>
                <w:rFonts w:ascii="Times New Roman" w:hAnsi="Times New Roman" w:cs="Times New Roman"/>
                <w:noProof/>
                <w:webHidden/>
              </w:rPr>
              <w:fldChar w:fldCharType="end"/>
            </w:r>
          </w:hyperlink>
        </w:p>
        <w:p w14:paraId="2BF398D7" w14:textId="79211EFC" w:rsidR="005521FC" w:rsidRPr="005521FC" w:rsidRDefault="005521FC">
          <w:pPr>
            <w:pStyle w:val="TOC3"/>
            <w:tabs>
              <w:tab w:val="right" w:leader="dot" w:pos="9350"/>
            </w:tabs>
            <w:rPr>
              <w:rFonts w:ascii="Times New Roman" w:eastAsiaTheme="minorEastAsia" w:hAnsi="Times New Roman" w:cs="Times New Roman"/>
              <w:noProof/>
            </w:rPr>
          </w:pPr>
          <w:hyperlink w:anchor="_Toc236431673" w:history="1">
            <w:r w:rsidRPr="005521FC">
              <w:rPr>
                <w:rStyle w:val="Hyperlink"/>
                <w:rFonts w:ascii="Times New Roman" w:hAnsi="Times New Roman" w:cs="Times New Roman"/>
                <w:noProof/>
              </w:rPr>
              <w:t>3.8.3 Secondary Validation Metrics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_Toc236431673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79</w:t>
            </w:r>
            <w:r w:rsidRPr="005521FC">
              <w:rPr>
                <w:rFonts w:ascii="Times New Roman" w:hAnsi="Times New Roman" w:cs="Times New Roman"/>
                <w:noProof/>
                <w:webHidden/>
              </w:rPr>
              <w:fldChar w:fldCharType="end"/>
            </w:r>
          </w:hyperlink>
        </w:p>
        <w:p w14:paraId="3B3B2EE5" w14:textId="74292E49" w:rsidR="005521FC" w:rsidRPr="005521FC" w:rsidRDefault="005521FC">
          <w:pPr>
            <w:pStyle w:val="TOC3"/>
            <w:tabs>
              <w:tab w:val="right" w:leader="dot" w:pos="9350"/>
            </w:tabs>
            <w:rPr>
              <w:rFonts w:ascii="Times New Roman" w:eastAsiaTheme="minorEastAsia" w:hAnsi="Times New Roman" w:cs="Times New Roman"/>
              <w:noProof/>
            </w:rPr>
          </w:pPr>
          <w:hyperlink w:anchor="_Toc236431674" w:history="1">
            <w:r w:rsidRPr="005521FC">
              <w:rPr>
                <w:rStyle w:val="Hyperlink"/>
                <w:rFonts w:ascii="Times New Roman" w:hAnsi="Times New Roman" w:cs="Times New Roman"/>
                <w:noProof/>
              </w:rPr>
              <w:t>3.8.4 Statistical Analysis Approach</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_Toc236431674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80</w:t>
            </w:r>
            <w:r w:rsidRPr="005521FC">
              <w:rPr>
                <w:rFonts w:ascii="Times New Roman" w:hAnsi="Times New Roman" w:cs="Times New Roman"/>
                <w:noProof/>
                <w:webHidden/>
              </w:rPr>
              <w:fldChar w:fldCharType="end"/>
            </w:r>
          </w:hyperlink>
        </w:p>
        <w:p w14:paraId="6882E945" w14:textId="6E2A7480" w:rsidR="005521FC" w:rsidRPr="005521FC" w:rsidRDefault="005521FC">
          <w:pPr>
            <w:pStyle w:val="TOC2"/>
            <w:rPr>
              <w:rFonts w:ascii="Times New Roman" w:eastAsiaTheme="minorEastAsia" w:hAnsi="Times New Roman" w:cs="Times New Roman"/>
              <w:noProof/>
            </w:rPr>
          </w:pPr>
          <w:hyperlink w:anchor="_Toc236431675" w:history="1">
            <w:r w:rsidRPr="005521FC">
              <w:rPr>
                <w:rStyle w:val="Hyperlink"/>
                <w:rFonts w:ascii="Times New Roman" w:eastAsia="Times New Roman" w:hAnsi="Times New Roman" w:cs="Times New Roman"/>
                <w:noProof/>
              </w:rPr>
              <w:t>3.9 Ethical Considerations and Research Limitations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_Toc236431675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81</w:t>
            </w:r>
            <w:r w:rsidRPr="005521FC">
              <w:rPr>
                <w:rFonts w:ascii="Times New Roman" w:hAnsi="Times New Roman" w:cs="Times New Roman"/>
                <w:noProof/>
                <w:webHidden/>
              </w:rPr>
              <w:fldChar w:fldCharType="end"/>
            </w:r>
          </w:hyperlink>
        </w:p>
        <w:p w14:paraId="013BF35B" w14:textId="1D4FB00A" w:rsidR="005521FC" w:rsidRPr="005521FC" w:rsidRDefault="005521FC">
          <w:pPr>
            <w:pStyle w:val="TOC3"/>
            <w:tabs>
              <w:tab w:val="right" w:leader="dot" w:pos="9350"/>
            </w:tabs>
            <w:rPr>
              <w:rFonts w:ascii="Times New Roman" w:eastAsiaTheme="minorEastAsia" w:hAnsi="Times New Roman" w:cs="Times New Roman"/>
              <w:noProof/>
            </w:rPr>
          </w:pPr>
          <w:hyperlink w:anchor="_Toc236431676" w:history="1">
            <w:r w:rsidRPr="005521FC">
              <w:rPr>
                <w:rStyle w:val="Hyperlink"/>
                <w:rFonts w:ascii="Times New Roman" w:hAnsi="Times New Roman" w:cs="Times New Roman"/>
                <w:noProof/>
              </w:rPr>
              <w:t>3.9.1 Research Limitations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_Toc236431676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82</w:t>
            </w:r>
            <w:r w:rsidRPr="005521FC">
              <w:rPr>
                <w:rFonts w:ascii="Times New Roman" w:hAnsi="Times New Roman" w:cs="Times New Roman"/>
                <w:noProof/>
                <w:webHidden/>
              </w:rPr>
              <w:fldChar w:fldCharType="end"/>
            </w:r>
          </w:hyperlink>
        </w:p>
        <w:p w14:paraId="73F3A420" w14:textId="364398B4" w:rsidR="005521FC" w:rsidRPr="005521FC" w:rsidRDefault="005521FC">
          <w:pPr>
            <w:pStyle w:val="TOC2"/>
            <w:rPr>
              <w:rFonts w:ascii="Times New Roman" w:eastAsiaTheme="minorEastAsia" w:hAnsi="Times New Roman" w:cs="Times New Roman"/>
              <w:noProof/>
            </w:rPr>
          </w:pPr>
          <w:hyperlink w:anchor="_Toc236431677" w:history="1">
            <w:r w:rsidRPr="005521FC">
              <w:rPr>
                <w:rStyle w:val="Hyperlink"/>
                <w:rFonts w:ascii="Times New Roman" w:eastAsia="Times New Roman" w:hAnsi="Times New Roman" w:cs="Times New Roman"/>
                <w:noProof/>
              </w:rPr>
              <w:t>3.10 Chapter Summary</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_Toc236431677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82</w:t>
            </w:r>
            <w:r w:rsidRPr="005521FC">
              <w:rPr>
                <w:rFonts w:ascii="Times New Roman" w:hAnsi="Times New Roman" w:cs="Times New Roman"/>
                <w:noProof/>
                <w:webHidden/>
              </w:rPr>
              <w:fldChar w:fldCharType="end"/>
            </w:r>
          </w:hyperlink>
        </w:p>
        <w:p w14:paraId="64EC570F" w14:textId="4A0780AD" w:rsidR="005521FC" w:rsidRPr="005521FC" w:rsidRDefault="005521FC">
          <w:pPr>
            <w:pStyle w:val="TOC1"/>
            <w:tabs>
              <w:tab w:val="right" w:leader="dot" w:pos="9350"/>
            </w:tabs>
            <w:rPr>
              <w:rFonts w:ascii="Times New Roman" w:eastAsiaTheme="minorEastAsia" w:hAnsi="Times New Roman" w:cs="Times New Roman"/>
              <w:noProof/>
            </w:rPr>
          </w:pPr>
          <w:hyperlink w:anchor="_Toc236431678" w:history="1">
            <w:r w:rsidRPr="005521FC">
              <w:rPr>
                <w:rStyle w:val="Hyperlink"/>
                <w:rFonts w:ascii="Times New Roman" w:eastAsia="Times New Roman" w:hAnsi="Times New Roman" w:cs="Times New Roman"/>
                <w:noProof/>
              </w:rPr>
              <w:t>References</w:t>
            </w:r>
            <w:r w:rsidRPr="005521FC">
              <w:rPr>
                <w:rFonts w:ascii="Times New Roman" w:hAnsi="Times New Roman" w:cs="Times New Roman"/>
                <w:noProof/>
                <w:webHidden/>
              </w:rPr>
              <w:tab/>
            </w:r>
            <w:r w:rsidRPr="005521FC">
              <w:rPr>
                <w:rFonts w:ascii="Times New Roman" w:hAnsi="Times New Roman" w:cs="Times New Roman"/>
                <w:noProof/>
                <w:webHidden/>
              </w:rPr>
              <w:fldChar w:fldCharType="begin"/>
            </w:r>
            <w:r w:rsidRPr="005521FC">
              <w:rPr>
                <w:rFonts w:ascii="Times New Roman" w:hAnsi="Times New Roman" w:cs="Times New Roman"/>
                <w:noProof/>
                <w:webHidden/>
              </w:rPr>
              <w:instrText xml:space="preserve"> PAGEREF _Toc236431678 \h </w:instrText>
            </w:r>
            <w:r w:rsidRPr="005521FC">
              <w:rPr>
                <w:rFonts w:ascii="Times New Roman" w:hAnsi="Times New Roman" w:cs="Times New Roman"/>
                <w:noProof/>
                <w:webHidden/>
              </w:rPr>
            </w:r>
            <w:r w:rsidRPr="005521FC">
              <w:rPr>
                <w:rFonts w:ascii="Times New Roman" w:hAnsi="Times New Roman" w:cs="Times New Roman"/>
                <w:noProof/>
                <w:webHidden/>
              </w:rPr>
              <w:fldChar w:fldCharType="separate"/>
            </w:r>
            <w:r w:rsidRPr="005521FC">
              <w:rPr>
                <w:rFonts w:ascii="Times New Roman" w:hAnsi="Times New Roman" w:cs="Times New Roman"/>
                <w:noProof/>
                <w:webHidden/>
              </w:rPr>
              <w:t>84</w:t>
            </w:r>
            <w:r w:rsidRPr="005521FC">
              <w:rPr>
                <w:rFonts w:ascii="Times New Roman" w:hAnsi="Times New Roman" w:cs="Times New Roman"/>
                <w:noProof/>
                <w:webHidden/>
              </w:rPr>
              <w:fldChar w:fldCharType="end"/>
            </w:r>
          </w:hyperlink>
        </w:p>
        <w:p w14:paraId="0857DBFC" w14:textId="59D4D45B" w:rsidR="00926CB9" w:rsidRPr="005521FC" w:rsidRDefault="005942A8">
          <w:pPr>
            <w:rPr>
              <w:rFonts w:ascii="Times New Roman" w:hAnsi="Times New Roman" w:cs="Times New Roman"/>
              <w:b/>
              <w:bCs/>
              <w:noProof/>
            </w:rPr>
          </w:pPr>
          <w:r w:rsidRPr="005521FC">
            <w:rPr>
              <w:rFonts w:ascii="Times New Roman" w:hAnsi="Times New Roman" w:cs="Times New Roman"/>
              <w:b/>
              <w:bCs/>
              <w:noProof/>
            </w:rPr>
            <w:fldChar w:fldCharType="end"/>
          </w:r>
        </w:p>
      </w:sdtContent>
    </w:sdt>
    <w:p w14:paraId="2D9F0A98" w14:textId="085F5700" w:rsidR="00926CB9" w:rsidRDefault="00926CB9" w:rsidP="00267887">
      <w:pPr>
        <w:rPr>
          <w:rFonts w:ascii="Times New Roman" w:hAnsi="Times New Roman" w:cs="Times New Roman"/>
          <w:i/>
          <w:iCs/>
        </w:rPr>
      </w:pPr>
      <w:r w:rsidRPr="005521FC">
        <w:rPr>
          <w:rFonts w:ascii="Times New Roman" w:hAnsi="Times New Roman" w:cs="Times New Roman"/>
          <w:b/>
          <w:bCs/>
          <w:noProof/>
        </w:rPr>
        <w:br w:type="page"/>
      </w:r>
      <w:r>
        <w:rPr>
          <w:rFonts w:ascii="Times New Roman" w:hAnsi="Times New Roman" w:cs="Times New Roman"/>
        </w:rPr>
        <w:lastRenderedPageBreak/>
        <w:t>List of Tables</w:t>
      </w:r>
      <w:r>
        <w:rPr>
          <w:rFonts w:ascii="Times New Roman" w:hAnsi="Times New Roman" w:cs="Times New Roman"/>
          <w:i/>
          <w:iCs/>
        </w:rPr>
        <w:t xml:space="preserve"> </w:t>
      </w:r>
    </w:p>
    <w:p w14:paraId="49663DF6" w14:textId="77777777" w:rsidR="006A7B16" w:rsidRDefault="006A7B16" w:rsidP="006A7B16">
      <w:pPr>
        <w:spacing w:after="0" w:line="240" w:lineRule="auto"/>
      </w:pPr>
    </w:p>
    <w:p w14:paraId="7263F0EA" w14:textId="77777777" w:rsidR="006A7B16" w:rsidRPr="006A7B16" w:rsidRDefault="006A7B16" w:rsidP="006A7B16">
      <w:pPr>
        <w:spacing w:after="0" w:line="240" w:lineRule="auto"/>
      </w:pPr>
    </w:p>
    <w:p w14:paraId="42A7F52E" w14:textId="77777777" w:rsidR="006A7B16" w:rsidRPr="006A7B16" w:rsidRDefault="006A7B16" w:rsidP="006A7B16">
      <w:pPr>
        <w:spacing w:after="0" w:line="240" w:lineRule="auto"/>
      </w:pPr>
    </w:p>
    <w:p w14:paraId="00989205" w14:textId="77777777" w:rsidR="006A7B16" w:rsidRPr="006A7B16" w:rsidRDefault="006A7B16" w:rsidP="006A7B16">
      <w:pPr>
        <w:spacing w:after="0" w:line="240" w:lineRule="auto"/>
      </w:pPr>
    </w:p>
    <w:p w14:paraId="7648876F" w14:textId="77777777" w:rsidR="00387094" w:rsidRDefault="00000000">
      <w:pPr>
        <w:pStyle w:val="BodyText"/>
        <w:tabs>
          <w:tab w:val="right" w:leader="dot" w:pos="9360"/>
        </w:tabs>
        <w:spacing w:line="480" w:lineRule="auto"/>
        <w:rPr>
          <w:rFonts w:cs="Times New Roman"/>
          <w:sz w:val="24"/>
          <w:szCs w:val="24"/>
        </w:rPr>
      </w:pPr>
      <w:r>
        <w:rPr>
          <w:rFonts w:cs="Times New Roman"/>
          <w:sz w:val="24"/>
          <w:szCs w:val="24"/>
        </w:rPr>
        <w:t xml:space="preserve">Table </w:t>
      </w:r>
      <w:proofErr w:type="gramStart"/>
      <w:r>
        <w:rPr>
          <w:rFonts w:cs="Times New Roman"/>
          <w:sz w:val="24"/>
          <w:szCs w:val="24"/>
        </w:rPr>
        <w:t>3.1  Detection</w:t>
      </w:r>
      <w:proofErr w:type="gramEnd"/>
      <w:r>
        <w:rPr>
          <w:rFonts w:cs="Times New Roman"/>
          <w:sz w:val="24"/>
          <w:szCs w:val="24"/>
        </w:rPr>
        <w:t xml:space="preserve"> Pipeline Configuration for Correlation, Enrichment and Alerting</w:t>
      </w:r>
      <w:r>
        <w:rPr>
          <w:rFonts w:cs="Times New Roman"/>
          <w:sz w:val="24"/>
          <w:szCs w:val="24"/>
        </w:rPr>
        <w:tab/>
      </w:r>
      <w:r>
        <w:rPr>
          <w:rFonts w:cs="Times New Roman"/>
          <w:sz w:val="24"/>
          <w:szCs w:val="24"/>
        </w:rPr>
        <w:fldChar w:fldCharType="begin"/>
      </w:r>
      <w:r>
        <w:rPr>
          <w:rFonts w:cs="Times New Roman"/>
          <w:sz w:val="24"/>
          <w:szCs w:val="24"/>
        </w:rPr>
        <w:instrText xml:space="preserve"> PAGEREF _Tbl_3_1 \h </w:instrText>
      </w:r>
      <w:r>
        <w:rPr>
          <w:rFonts w:cs="Times New Roman"/>
          <w:sz w:val="24"/>
          <w:szCs w:val="24"/>
        </w:rPr>
      </w:r>
      <w:r>
        <w:rPr>
          <w:rFonts w:cs="Times New Roman"/>
          <w:sz w:val="24"/>
          <w:szCs w:val="24"/>
        </w:rPr>
        <w:fldChar w:fldCharType="separate"/>
      </w:r>
      <w:r>
        <w:rPr>
          <w:rFonts w:cs="Times New Roman"/>
          <w:sz w:val="24"/>
          <w:szCs w:val="24"/>
        </w:rPr>
        <w:t>1</w:t>
      </w:r>
      <w:r>
        <w:rPr>
          <w:rFonts w:cs="Times New Roman"/>
          <w:sz w:val="24"/>
          <w:szCs w:val="24"/>
        </w:rPr>
        <w:fldChar w:fldCharType="end"/>
      </w:r>
    </w:p>
    <w:p w14:paraId="5780B46B" w14:textId="77777777" w:rsidR="00387094" w:rsidRDefault="00000000">
      <w:pPr>
        <w:pStyle w:val="BodyText"/>
        <w:tabs>
          <w:tab w:val="right" w:leader="dot" w:pos="9360"/>
        </w:tabs>
        <w:spacing w:line="480" w:lineRule="auto"/>
        <w:rPr>
          <w:rFonts w:cs="Times New Roman"/>
          <w:sz w:val="24"/>
          <w:szCs w:val="24"/>
        </w:rPr>
      </w:pPr>
      <w:r>
        <w:rPr>
          <w:rFonts w:cs="Times New Roman"/>
          <w:sz w:val="24"/>
          <w:szCs w:val="24"/>
        </w:rPr>
        <w:t xml:space="preserve">Table </w:t>
      </w:r>
      <w:proofErr w:type="gramStart"/>
      <w:r>
        <w:rPr>
          <w:rFonts w:cs="Times New Roman"/>
          <w:sz w:val="24"/>
          <w:szCs w:val="24"/>
        </w:rPr>
        <w:t>3.2  PII</w:t>
      </w:r>
      <w:proofErr w:type="gramEnd"/>
      <w:r>
        <w:rPr>
          <w:rFonts w:cs="Times New Roman"/>
          <w:sz w:val="24"/>
          <w:szCs w:val="24"/>
        </w:rPr>
        <w:t xml:space="preserve"> Classification Taxonomy and Risk-Scoring Inputs</w:t>
      </w:r>
      <w:r>
        <w:rPr>
          <w:rFonts w:cs="Times New Roman"/>
          <w:sz w:val="24"/>
          <w:szCs w:val="24"/>
        </w:rPr>
        <w:tab/>
      </w:r>
      <w:r>
        <w:rPr>
          <w:rFonts w:cs="Times New Roman"/>
          <w:sz w:val="24"/>
          <w:szCs w:val="24"/>
        </w:rPr>
        <w:fldChar w:fldCharType="begin"/>
      </w:r>
      <w:r>
        <w:rPr>
          <w:rFonts w:cs="Times New Roman"/>
          <w:sz w:val="24"/>
          <w:szCs w:val="24"/>
        </w:rPr>
        <w:instrText xml:space="preserve"> PAGEREF _Tbl_3_2 \h </w:instrText>
      </w:r>
      <w:r>
        <w:rPr>
          <w:rFonts w:cs="Times New Roman"/>
          <w:sz w:val="24"/>
          <w:szCs w:val="24"/>
        </w:rPr>
      </w:r>
      <w:r>
        <w:rPr>
          <w:rFonts w:cs="Times New Roman"/>
          <w:sz w:val="24"/>
          <w:szCs w:val="24"/>
        </w:rPr>
        <w:fldChar w:fldCharType="separate"/>
      </w:r>
      <w:r>
        <w:rPr>
          <w:rFonts w:cs="Times New Roman"/>
          <w:sz w:val="24"/>
          <w:szCs w:val="24"/>
        </w:rPr>
        <w:t>1</w:t>
      </w:r>
      <w:r>
        <w:rPr>
          <w:rFonts w:cs="Times New Roman"/>
          <w:sz w:val="24"/>
          <w:szCs w:val="24"/>
        </w:rPr>
        <w:fldChar w:fldCharType="end"/>
      </w:r>
    </w:p>
    <w:p w14:paraId="7F9659E3" w14:textId="77777777" w:rsidR="00387094" w:rsidRDefault="00000000">
      <w:pPr>
        <w:pStyle w:val="BodyText"/>
        <w:tabs>
          <w:tab w:val="right" w:leader="dot" w:pos="9360"/>
        </w:tabs>
        <w:spacing w:line="480" w:lineRule="auto"/>
        <w:rPr>
          <w:rFonts w:cs="Times New Roman"/>
          <w:sz w:val="24"/>
          <w:szCs w:val="24"/>
        </w:rPr>
      </w:pPr>
      <w:r>
        <w:rPr>
          <w:rFonts w:cs="Times New Roman"/>
          <w:sz w:val="24"/>
          <w:szCs w:val="24"/>
        </w:rPr>
        <w:t xml:space="preserve">Table </w:t>
      </w:r>
      <w:proofErr w:type="gramStart"/>
      <w:r>
        <w:rPr>
          <w:rFonts w:cs="Times New Roman"/>
          <w:sz w:val="24"/>
          <w:szCs w:val="24"/>
        </w:rPr>
        <w:t>3.3  Illustrative</w:t>
      </w:r>
      <w:proofErr w:type="gramEnd"/>
      <w:r>
        <w:rPr>
          <w:rFonts w:cs="Times New Roman"/>
          <w:sz w:val="24"/>
          <w:szCs w:val="24"/>
        </w:rPr>
        <w:t xml:space="preserve"> Boundary Cases of the Composite Scoring and Promotion Rules</w:t>
      </w:r>
      <w:r>
        <w:rPr>
          <w:rFonts w:cs="Times New Roman"/>
          <w:sz w:val="24"/>
          <w:szCs w:val="24"/>
        </w:rPr>
        <w:tab/>
      </w:r>
      <w:r>
        <w:rPr>
          <w:rFonts w:cs="Times New Roman"/>
          <w:sz w:val="24"/>
          <w:szCs w:val="24"/>
        </w:rPr>
        <w:fldChar w:fldCharType="begin"/>
      </w:r>
      <w:r>
        <w:rPr>
          <w:rFonts w:cs="Times New Roman"/>
          <w:sz w:val="24"/>
          <w:szCs w:val="24"/>
        </w:rPr>
        <w:instrText xml:space="preserve"> PAGEREF _Tbl_3_3 \h </w:instrText>
      </w:r>
      <w:r>
        <w:rPr>
          <w:rFonts w:cs="Times New Roman"/>
          <w:sz w:val="24"/>
          <w:szCs w:val="24"/>
        </w:rPr>
      </w:r>
      <w:r>
        <w:rPr>
          <w:rFonts w:cs="Times New Roman"/>
          <w:sz w:val="24"/>
          <w:szCs w:val="24"/>
        </w:rPr>
        <w:fldChar w:fldCharType="separate"/>
      </w:r>
      <w:r>
        <w:rPr>
          <w:rFonts w:cs="Times New Roman"/>
          <w:sz w:val="24"/>
          <w:szCs w:val="24"/>
        </w:rPr>
        <w:t>1</w:t>
      </w:r>
      <w:r>
        <w:rPr>
          <w:rFonts w:cs="Times New Roman"/>
          <w:sz w:val="24"/>
          <w:szCs w:val="24"/>
        </w:rPr>
        <w:fldChar w:fldCharType="end"/>
      </w:r>
    </w:p>
    <w:p w14:paraId="460364AE" w14:textId="77777777" w:rsidR="00387094" w:rsidRDefault="00000000">
      <w:pPr>
        <w:pStyle w:val="BodyText"/>
        <w:tabs>
          <w:tab w:val="right" w:leader="dot" w:pos="9360"/>
        </w:tabs>
        <w:spacing w:line="480" w:lineRule="auto"/>
        <w:rPr>
          <w:rFonts w:cs="Times New Roman"/>
          <w:sz w:val="24"/>
          <w:szCs w:val="24"/>
        </w:rPr>
      </w:pPr>
      <w:r>
        <w:rPr>
          <w:rFonts w:cs="Times New Roman"/>
          <w:sz w:val="24"/>
          <w:szCs w:val="24"/>
        </w:rPr>
        <w:t xml:space="preserve">Table </w:t>
      </w:r>
      <w:proofErr w:type="gramStart"/>
      <w:r>
        <w:rPr>
          <w:rFonts w:cs="Times New Roman"/>
          <w:sz w:val="24"/>
          <w:szCs w:val="24"/>
        </w:rPr>
        <w:t>3.4  Security</w:t>
      </w:r>
      <w:proofErr w:type="gramEnd"/>
      <w:r>
        <w:rPr>
          <w:rFonts w:cs="Times New Roman"/>
          <w:sz w:val="24"/>
          <w:szCs w:val="24"/>
        </w:rPr>
        <w:t xml:space="preserve"> Detection Rules and Triggers</w:t>
      </w:r>
      <w:r>
        <w:rPr>
          <w:rFonts w:cs="Times New Roman"/>
          <w:sz w:val="24"/>
          <w:szCs w:val="24"/>
        </w:rPr>
        <w:tab/>
      </w:r>
      <w:r>
        <w:rPr>
          <w:rFonts w:cs="Times New Roman"/>
          <w:sz w:val="24"/>
          <w:szCs w:val="24"/>
        </w:rPr>
        <w:fldChar w:fldCharType="begin"/>
      </w:r>
      <w:r>
        <w:rPr>
          <w:rFonts w:cs="Times New Roman"/>
          <w:sz w:val="24"/>
          <w:szCs w:val="24"/>
        </w:rPr>
        <w:instrText xml:space="preserve"> PAGEREF _Tbl_3_4 \h </w:instrText>
      </w:r>
      <w:r>
        <w:rPr>
          <w:rFonts w:cs="Times New Roman"/>
          <w:sz w:val="24"/>
          <w:szCs w:val="24"/>
        </w:rPr>
      </w:r>
      <w:r>
        <w:rPr>
          <w:rFonts w:cs="Times New Roman"/>
          <w:sz w:val="24"/>
          <w:szCs w:val="24"/>
        </w:rPr>
        <w:fldChar w:fldCharType="separate"/>
      </w:r>
      <w:r>
        <w:rPr>
          <w:rFonts w:cs="Times New Roman"/>
          <w:sz w:val="24"/>
          <w:szCs w:val="24"/>
        </w:rPr>
        <w:t>1</w:t>
      </w:r>
      <w:r>
        <w:rPr>
          <w:rFonts w:cs="Times New Roman"/>
          <w:sz w:val="24"/>
          <w:szCs w:val="24"/>
        </w:rPr>
        <w:fldChar w:fldCharType="end"/>
      </w:r>
    </w:p>
    <w:p w14:paraId="0B3A53EF" w14:textId="77777777" w:rsidR="007373E3" w:rsidRDefault="007373E3">
      <w:pPr>
        <w:rPr>
          <w:rFonts w:ascii="Times New Roman" w:eastAsiaTheme="majorEastAsia" w:hAnsi="Times New Roman" w:cs="Times New Roman"/>
          <w:b/>
          <w:bCs/>
          <w:color w:val="000000" w:themeColor="text1"/>
        </w:rPr>
      </w:pPr>
      <w:r>
        <w:rPr>
          <w:rFonts w:ascii="Times New Roman" w:hAnsi="Times New Roman" w:cs="Times New Roman"/>
        </w:rPr>
        <w:br w:type="page"/>
      </w:r>
    </w:p>
    <w:p w14:paraId="57B2C0CE" w14:textId="2E1A0A60" w:rsidR="007373E3" w:rsidRDefault="007373E3" w:rsidP="006A7B16">
      <w:pPr>
        <w:pStyle w:val="Heading1"/>
        <w:spacing w:before="0" w:after="0"/>
        <w:rPr>
          <w:rFonts w:ascii="Times New Roman" w:hAnsi="Times New Roman" w:cs="Times New Roman"/>
          <w:i/>
          <w:iCs/>
          <w:sz w:val="24"/>
          <w:szCs w:val="24"/>
        </w:rPr>
      </w:pPr>
      <w:bookmarkStart w:id="0" w:name="_Toc228742702"/>
      <w:bookmarkStart w:id="1" w:name="_Toc228742775"/>
      <w:bookmarkStart w:id="2" w:name="_Toc236431609"/>
      <w:r>
        <w:rPr>
          <w:rFonts w:ascii="Times New Roman" w:hAnsi="Times New Roman" w:cs="Times New Roman"/>
          <w:sz w:val="24"/>
          <w:szCs w:val="24"/>
        </w:rPr>
        <w:lastRenderedPageBreak/>
        <w:t>Glossary of Terms</w:t>
      </w:r>
      <w:bookmarkEnd w:id="0"/>
      <w:bookmarkEnd w:id="1"/>
      <w:bookmarkEnd w:id="2"/>
      <w:r>
        <w:rPr>
          <w:rFonts w:ascii="Times New Roman" w:hAnsi="Times New Roman" w:cs="Times New Roman"/>
          <w:i/>
          <w:iCs/>
          <w:sz w:val="24"/>
          <w:szCs w:val="24"/>
        </w:rPr>
        <w:t xml:space="preserve"> </w:t>
      </w:r>
    </w:p>
    <w:p w14:paraId="7F9B7586" w14:textId="77777777" w:rsidR="006A7B16" w:rsidRDefault="006A7B16" w:rsidP="006A7B16">
      <w:pPr>
        <w:spacing w:after="0" w:line="240" w:lineRule="auto"/>
      </w:pPr>
    </w:p>
    <w:p w14:paraId="09F89BF4" w14:textId="77777777" w:rsidR="006A7B16" w:rsidRPr="006A7B16" w:rsidRDefault="006A7B16" w:rsidP="006A7B16">
      <w:pPr>
        <w:spacing w:after="0" w:line="240" w:lineRule="auto"/>
      </w:pPr>
    </w:p>
    <w:p w14:paraId="2183A64D" w14:textId="77777777" w:rsidR="007373E3" w:rsidRDefault="007373E3" w:rsidP="00A81034">
      <w:pPr>
        <w:pStyle w:val="BodyText"/>
        <w:rPr>
          <w:rFonts w:cs="Times New Roman"/>
          <w:sz w:val="24"/>
          <w:szCs w:val="24"/>
        </w:rPr>
      </w:pPr>
      <w:bookmarkStart w:id="3" w:name="_Toc228742703"/>
      <w:bookmarkStart w:id="4" w:name="_Toc228742776"/>
      <w:r>
        <w:rPr>
          <w:rFonts w:cs="Times New Roman"/>
          <w:sz w:val="24"/>
          <w:szCs w:val="24"/>
        </w:rPr>
        <w:t>Term 1: Start Definition here</w:t>
      </w:r>
      <w:bookmarkEnd w:id="3"/>
      <w:bookmarkEnd w:id="4"/>
      <w:r>
        <w:rPr>
          <w:rFonts w:cs="Times New Roman"/>
          <w:sz w:val="24"/>
          <w:szCs w:val="24"/>
        </w:rPr>
        <w:t xml:space="preserve"> </w:t>
      </w:r>
    </w:p>
    <w:p w14:paraId="528F9676" w14:textId="77777777" w:rsidR="006A7B16" w:rsidRPr="006A7B16" w:rsidRDefault="006A7B16" w:rsidP="006A7B16">
      <w:pPr>
        <w:spacing w:after="0" w:line="240" w:lineRule="auto"/>
      </w:pPr>
    </w:p>
    <w:p w14:paraId="698C1970" w14:textId="77777777" w:rsidR="007373E3" w:rsidRDefault="007373E3" w:rsidP="00A81034">
      <w:pPr>
        <w:pStyle w:val="BodyText"/>
        <w:rPr>
          <w:rFonts w:cs="Times New Roman"/>
          <w:b/>
          <w:bCs/>
          <w:sz w:val="24"/>
          <w:szCs w:val="24"/>
        </w:rPr>
        <w:sectPr w:rsidR="007373E3" w:rsidSect="007373E3">
          <w:footerReference w:type="default" r:id="rId13"/>
          <w:footerReference w:type="first" r:id="rId14"/>
          <w:pgSz w:w="12240" w:h="15840"/>
          <w:pgMar w:top="1440" w:right="1440" w:bottom="1440" w:left="1440" w:header="720" w:footer="720" w:gutter="0"/>
          <w:pgNumType w:fmt="lowerRoman"/>
          <w:cols w:space="720"/>
          <w:titlePg/>
          <w:docGrid w:linePitch="360"/>
        </w:sectPr>
      </w:pPr>
      <w:bookmarkStart w:id="5" w:name="_Toc228742704"/>
      <w:bookmarkStart w:id="6" w:name="_Toc228742777"/>
      <w:r>
        <w:rPr>
          <w:rFonts w:cs="Times New Roman"/>
          <w:sz w:val="24"/>
          <w:szCs w:val="24"/>
        </w:rPr>
        <w:t>Term 2: Start Definition here</w:t>
      </w:r>
      <w:bookmarkEnd w:id="5"/>
      <w:bookmarkEnd w:id="6"/>
    </w:p>
    <w:p w14:paraId="3EB8BF18" w14:textId="77777777" w:rsidR="00EC3320" w:rsidRPr="00FF649F" w:rsidRDefault="007373E3" w:rsidP="00B57117">
      <w:pPr>
        <w:pStyle w:val="Heading1"/>
        <w:rPr>
          <w:rFonts w:ascii="Times New Roman" w:hAnsi="Times New Roman" w:cs="Times New Roman"/>
          <w:sz w:val="24"/>
          <w:szCs w:val="24"/>
        </w:rPr>
      </w:pPr>
      <w:bookmarkStart w:id="7" w:name="_Toc236431610"/>
      <w:r>
        <w:rPr>
          <w:rFonts w:ascii="Times New Roman" w:hAnsi="Times New Roman" w:cs="Times New Roman"/>
          <w:sz w:val="24"/>
          <w:szCs w:val="28"/>
        </w:rPr>
        <w:lastRenderedPageBreak/>
        <w:t>Chapter 1 - Introduction</w:t>
      </w:r>
      <w:bookmarkEnd w:id="7"/>
    </w:p>
    <w:p w14:paraId="5087DAA7" w14:textId="77777777" w:rsidR="00EC3320" w:rsidRPr="00FF649F" w:rsidRDefault="00EC3320" w:rsidP="00613613">
      <w:pPr>
        <w:rPr>
          <w:rFonts w:ascii="Times New Roman" w:hAnsi="Times New Roman" w:cs="Times New Roman"/>
          <w:b/>
          <w:bCs/>
        </w:rPr>
      </w:pPr>
    </w:p>
    <w:p w14:paraId="06DC17D5" w14:textId="77777777" w:rsidR="00E66F6D" w:rsidRPr="00FF649F" w:rsidRDefault="00E66F6D" w:rsidP="00613613">
      <w:pPr>
        <w:rPr>
          <w:rFonts w:ascii="Times New Roman" w:hAnsi="Times New Roman" w:cs="Times New Roman"/>
          <w:b/>
          <w:bCs/>
        </w:rPr>
      </w:pPr>
    </w:p>
    <w:p w14:paraId="448AEDB7" w14:textId="77777777" w:rsidR="00613613" w:rsidRPr="00FF649F" w:rsidRDefault="00EC3320" w:rsidP="00B57117">
      <w:pPr>
        <w:pStyle w:val="Heading2"/>
        <w:rPr>
          <w:rFonts w:cs="Times New Roman"/>
          <w:szCs w:val="24"/>
        </w:rPr>
      </w:pPr>
      <w:bookmarkStart w:id="8" w:name="_Toc236431611"/>
      <w:r>
        <w:rPr>
          <w:rFonts w:cs="Times New Roman"/>
          <w:szCs w:val="24"/>
        </w:rPr>
        <w:t>1.1 Background and Research Motivation</w:t>
      </w:r>
      <w:bookmarkEnd w:id="8"/>
    </w:p>
    <w:p w14:paraId="20CE6D2F" w14:textId="77777777" w:rsidR="00EC3320" w:rsidRPr="00F17123" w:rsidRDefault="00613613" w:rsidP="00F6400A">
      <w:pPr>
        <w:spacing w:line="480" w:lineRule="auto"/>
        <w:ind w:firstLine="540"/>
        <w:rPr>
          <w:rFonts w:ascii="Times New Roman" w:hAnsi="Times New Roman" w:cs="Times New Roman"/>
        </w:rPr>
      </w:pPr>
      <w:r>
        <w:rPr>
          <w:rFonts w:ascii="Times New Roman" w:hAnsi="Times New Roman" w:cs="Times New Roman"/>
        </w:rPr>
        <w:t>Organizations acting as custodians for Personally Identifiable Information (PII), banking credentials, and Payment Card Industry (PCI) data now operate in a "</w:t>
      </w:r>
      <w:proofErr w:type="gramStart"/>
      <w:r>
        <w:rPr>
          <w:rFonts w:ascii="Times New Roman" w:hAnsi="Times New Roman" w:cs="Times New Roman"/>
        </w:rPr>
        <w:t>high-trust</w:t>
      </w:r>
      <w:proofErr w:type="gramEnd"/>
      <w:r>
        <w:rPr>
          <w:rFonts w:ascii="Times New Roman" w:hAnsi="Times New Roman" w:cs="Times New Roman"/>
        </w:rPr>
        <w:t xml:space="preserve">, but high-risk" environment. Organizations that use and store PII along with banking and payment card information are a top target for threat actors due to opportunities for financial gain. </w:t>
      </w:r>
    </w:p>
    <w:p w14:paraId="2A3F668A" w14:textId="77777777" w:rsidR="00EC3320" w:rsidRPr="00F17123" w:rsidRDefault="007B44F4" w:rsidP="00F6400A">
      <w:pPr>
        <w:spacing w:line="480" w:lineRule="auto"/>
        <w:ind w:firstLine="540"/>
        <w:rPr>
          <w:rFonts w:ascii="Times New Roman" w:hAnsi="Times New Roman" w:cs="Times New Roman"/>
        </w:rPr>
      </w:pPr>
      <w:r>
        <w:rPr>
          <w:rFonts w:ascii="Times New Roman" w:hAnsi="Times New Roman" w:cs="Times New Roman"/>
        </w:rPr>
        <w:t>Even if pure financial gain isn't the end goal, exploitation of vulnerabilities increased by 34% from 2024 to 2025. However, 28% of espionage actors are now seeking financial supplements alongside traditional state-driven goals (Verizon, 2025). North Korea alone has sustained their economy by stealing billions of dollars through cybercrime (ENISA, 2025). This shift suggests a blurring of lines between state-sponsored activity and high-end cybercrime. Studies across the U.S. and Europe confirm this trajectory, documenting "threats against data" (PII theft/leaks) as a top-tier concern, specifically with the financial sector positioned as the prime target (Klepper, 2025). The distinction between independently operating threat actor groups and state-sponsored groups has blurred, as both often work together but also utilize the same Tactics, Techniques, and Procedures (TTPs) as part of Advanced Persistent Threat (APT) playbooks to target the financial sectors.</w:t>
      </w:r>
    </w:p>
    <w:p w14:paraId="5D4D7407" w14:textId="77777777" w:rsidR="00B34056" w:rsidRDefault="00797CD9" w:rsidP="00F6400A">
      <w:pPr>
        <w:spacing w:line="480" w:lineRule="auto"/>
        <w:ind w:firstLine="540"/>
        <w:rPr>
          <w:rFonts w:ascii="Times New Roman" w:hAnsi="Times New Roman" w:cs="Times New Roman"/>
        </w:rPr>
      </w:pPr>
      <w:r>
        <w:rPr>
          <w:rFonts w:ascii="Times New Roman" w:hAnsi="Times New Roman" w:cs="Times New Roman"/>
        </w:rPr>
        <w:t xml:space="preserve">Financial Institutions have continued to add security capabilities, including new frameworks, such as Zero Trust Architectures (ZTA) to secure access to sensitive resources starting at the perimeter of the network (Dhanaraj, 2023). However, despite advancements in perimeter defense and overall improvements in security, customer PII remains the most </w:t>
      </w:r>
      <w:r>
        <w:rPr>
          <w:rFonts w:ascii="Times New Roman" w:hAnsi="Times New Roman" w:cs="Times New Roman"/>
        </w:rPr>
        <w:lastRenderedPageBreak/>
        <w:t xml:space="preserve">compromised data type, appearing in 53% of all breaches (IBM Security &amp; </w:t>
      </w:r>
      <w:proofErr w:type="spellStart"/>
      <w:r>
        <w:rPr>
          <w:rFonts w:ascii="Times New Roman" w:hAnsi="Times New Roman" w:cs="Times New Roman"/>
        </w:rPr>
        <w:t>Ponemon</w:t>
      </w:r>
      <w:proofErr w:type="spellEnd"/>
      <w:r>
        <w:rPr>
          <w:rFonts w:ascii="Times New Roman" w:hAnsi="Times New Roman" w:cs="Times New Roman"/>
        </w:rPr>
        <w:t xml:space="preserve"> Institute, 2025). This persistent vulnerability highlights a critical "detection gap." While organizations are successful at logging massive amounts of telemetry, they often fail to correlate that data into actionable intelligence. The challenge is no longer just gathering data but intelligently filtering "synthetic" or noise-heavy attack data to identify the high-risk signals that precede a PII exfiltration event.</w:t>
      </w:r>
    </w:p>
    <w:p w14:paraId="7EA5C1E7" w14:textId="70C91625" w:rsidR="00B34056" w:rsidRPr="00F17123" w:rsidRDefault="004F6554" w:rsidP="00A77F60">
      <w:pPr>
        <w:spacing w:line="480" w:lineRule="auto"/>
        <w:ind w:firstLine="540"/>
        <w:rPr>
          <w:rFonts w:ascii="Times New Roman" w:hAnsi="Times New Roman" w:cs="Times New Roman"/>
        </w:rPr>
      </w:pPr>
      <w:r>
        <w:rPr>
          <w:rFonts w:ascii="Times New Roman" w:hAnsi="Times New Roman" w:cs="Times New Roman"/>
        </w:rPr>
        <w:t xml:space="preserve">Security Operations Centers (SOC) often struggle with necessary visibility because PII is not a static category; rather, it exists as a complex spectrum of direct and indirect identifiers that require different levels of protection (Henry, 2025). While PII that is deemed sensitive (like SSNs or account numbers) is useful as a singular piece of important data for attackers, what is deemed as non-sensitive PII (like known addresses, zip codes or social media handles) is often leveraged as additional context in order to produce a more advanced attack aiming to steal credentials or gain access to more sensitive financial data. This piecemeal approach by attackers makes it extraordinarily difficult for security teams to identify an attack campaign.   </w:t>
      </w:r>
    </w:p>
    <w:p w14:paraId="380CC59C" w14:textId="77777777" w:rsidR="005771D1" w:rsidRPr="00E66F6D" w:rsidRDefault="00B57117" w:rsidP="00B57117">
      <w:pPr>
        <w:pStyle w:val="Heading2"/>
        <w:rPr>
          <w:rFonts w:cs="Times New Roman"/>
          <w:szCs w:val="28"/>
        </w:rPr>
      </w:pPr>
      <w:bookmarkStart w:id="9" w:name="_Toc236431612"/>
      <w:r>
        <w:rPr>
          <w:rFonts w:cs="Times New Roman"/>
          <w:szCs w:val="28"/>
        </w:rPr>
        <w:t>1.2 Problem Statement</w:t>
      </w:r>
      <w:bookmarkEnd w:id="9"/>
    </w:p>
    <w:p w14:paraId="5D05D3E7" w14:textId="77777777" w:rsidR="006373DD" w:rsidRDefault="006373DD" w:rsidP="00F6400A">
      <w:pPr>
        <w:spacing w:line="480" w:lineRule="auto"/>
        <w:ind w:firstLine="540"/>
        <w:rPr>
          <w:rFonts w:ascii="Times New Roman" w:hAnsi="Times New Roman" w:cs="Times New Roman"/>
        </w:rPr>
      </w:pPr>
      <w:r>
        <w:rPr>
          <w:rFonts w:ascii="Times New Roman" w:hAnsi="Times New Roman" w:cs="Times New Roman"/>
        </w:rPr>
        <w:t xml:space="preserve">Without correlating events that contain indirect PII with where sensitive PII sits and may be targeted leaves SOC teams blind to the inherent risk to sensitive PII. When it comes to sensitive data for financial accounts, lacking an understanding of what and where this data exists, makes it difficult for SOC teams to effectively </w:t>
      </w:r>
      <w:proofErr w:type="gramStart"/>
      <w:r>
        <w:rPr>
          <w:rFonts w:ascii="Times New Roman" w:hAnsi="Times New Roman" w:cs="Times New Roman"/>
        </w:rPr>
        <w:t>triage</w:t>
      </w:r>
      <w:proofErr w:type="gramEnd"/>
      <w:r>
        <w:rPr>
          <w:rFonts w:ascii="Times New Roman" w:hAnsi="Times New Roman" w:cs="Times New Roman"/>
        </w:rPr>
        <w:t xml:space="preserve"> and prioritize events of higher importance than they are aware of. Sophisticated attackers exploit this gap to steal PII before the SOC is aware and/or can respond to the attacker.</w:t>
      </w:r>
    </w:p>
    <w:p w14:paraId="439F23C7" w14:textId="77777777" w:rsidR="00891BDD" w:rsidRDefault="005771D1" w:rsidP="00F6400A">
      <w:pPr>
        <w:spacing w:line="480" w:lineRule="auto"/>
        <w:ind w:firstLine="540"/>
        <w:rPr>
          <w:rFonts w:ascii="Times New Roman" w:hAnsi="Times New Roman" w:cs="Times New Roman"/>
        </w:rPr>
      </w:pPr>
      <w:r>
        <w:rPr>
          <w:rFonts w:ascii="Times New Roman" w:hAnsi="Times New Roman" w:cs="Times New Roman"/>
        </w:rPr>
        <w:t xml:space="preserve">Data security teams are focused on identifying risks to sensitive data at rest to better secure that data, however, they lack the threat context to know when that data is being actively targeted </w:t>
      </w:r>
      <w:r>
        <w:rPr>
          <w:rFonts w:ascii="Times New Roman" w:hAnsi="Times New Roman" w:cs="Times New Roman"/>
        </w:rPr>
        <w:lastRenderedPageBreak/>
        <w:t>by a threat actor because they are focused on the state and storage of data rather than on the data actively being accessed. However, this also leads them to operate in silos, rarely ever engaging with other areas of security and often falling under the Chief Compliance or Chief Finance Officer, but not the same as the SOC, which typically reports to the Chief Information Security Officer or Chief Security Officer (CISO/CSO). Detecting, investigating and responding to any sort of cyber threats falls to the security analyst within the SOC. However, when it comes to security analysts in these organizations this lack of information sharing between the data security and the SOC inhibits their ability to tie together the relevant security events with needed PII context in a way that can better help them understand the risks to PII. In fact, research shows that 62.5% of security teams are overwhelmed by data volume, making it difficult for them to identify critical events and over 50% of SOCs struggle with a "lack of context" related to alerts (Crowley, 2024). The SIEM is the primary SOC tool used by security teams to collect events across the infrastructure, correlate these events, assist with investigations and help determine a threat. However, SIEM, as the core data aggregation platform for the SOC, has also led to a massive amount of information and resulting noise with the growth of cloud infrastructure, mobile devices and IoT (Morgan, 2025). This huge increase in event data to sift through has made it difficult to correlate what is important, especially when lacking needed context to identify targeted threats. 60% of analysts report that stress and alert fatigue have caused them to consider leaving (Forrester Consulting, 2025). Forrester identifies "Lack of Context" as a primary driver for why analysts must manually investigate every alert. Based on the lack of context sharing between the Data Security and Governance team and the SOC, where PII is stored and how it is classified becomes a critical blind spot in preventing sensitive data theft.</w:t>
      </w:r>
    </w:p>
    <w:p w14:paraId="4B2C617C" w14:textId="77777777" w:rsidR="00B34747" w:rsidRPr="00F17123" w:rsidRDefault="00B34747" w:rsidP="00CB152A">
      <w:pPr>
        <w:tabs>
          <w:tab w:val="left" w:pos="360"/>
        </w:tabs>
        <w:spacing w:line="480" w:lineRule="auto"/>
        <w:ind w:left="360"/>
        <w:rPr>
          <w:rFonts w:ascii="Times New Roman" w:hAnsi="Times New Roman" w:cs="Times New Roman"/>
        </w:rPr>
      </w:pPr>
    </w:p>
    <w:p w14:paraId="00A4A3DF" w14:textId="77777777" w:rsidR="00484FB3" w:rsidRDefault="00B57117" w:rsidP="00B57117">
      <w:pPr>
        <w:pStyle w:val="Heading2"/>
        <w:rPr>
          <w:rFonts w:cs="Times New Roman"/>
          <w:szCs w:val="28"/>
        </w:rPr>
      </w:pPr>
      <w:bookmarkStart w:id="10" w:name="_Toc236431613"/>
      <w:r>
        <w:rPr>
          <w:rFonts w:cs="Times New Roman"/>
          <w:szCs w:val="28"/>
        </w:rPr>
        <w:lastRenderedPageBreak/>
        <w:t>1.3 Thesis Statement</w:t>
      </w:r>
      <w:bookmarkEnd w:id="10"/>
    </w:p>
    <w:p w14:paraId="472F62F9" w14:textId="60392A9E" w:rsidR="004A741B" w:rsidRDefault="004A741B" w:rsidP="00F6400A">
      <w:pPr>
        <w:tabs>
          <w:tab w:val="left" w:pos="450"/>
        </w:tabs>
        <w:spacing w:after="0" w:line="480" w:lineRule="auto"/>
        <w:ind w:firstLine="540"/>
        <w:rPr>
          <w:rFonts w:ascii="Times New Roman" w:hAnsi="Times New Roman" w:cs="Times New Roman"/>
        </w:rPr>
      </w:pPr>
      <w:r>
        <w:rPr>
          <w:rFonts w:ascii="Times New Roman" w:hAnsi="Times New Roman" w:cs="Times New Roman"/>
        </w:rPr>
        <w:t xml:space="preserve">Specific threats that target banking and credit card information often exhibit anomalous behaviors. These anomalous behaviors provide an early indication of risk to security analysts when triggered based on detection rules within an anomaly detection engine or User Entity Behavior Analytics (UEBA) engine that are part of most enterprise SIEMs (Okolie et al., 2025). UEBA engines that are often integrated with Modern SIEMs are effective at identifying </w:t>
      </w:r>
      <w:proofErr w:type="gramStart"/>
      <w:r>
        <w:rPr>
          <w:rFonts w:ascii="Times New Roman" w:hAnsi="Times New Roman" w:cs="Times New Roman"/>
        </w:rPr>
        <w:t>anomalies,</w:t>
      </w:r>
      <w:proofErr w:type="gramEnd"/>
      <w:r>
        <w:rPr>
          <w:rFonts w:ascii="Times New Roman" w:hAnsi="Times New Roman" w:cs="Times New Roman"/>
        </w:rPr>
        <w:t xml:space="preserve"> however, the bottleneck remains in automating the "explanation" or context of the data being accessed. Specifically, the lack of acquiring and correlating PII-specific threat context creates a critical bottleneck in the SOC when it comes to attacks targeting PII. Therefore, organizations must adopt a context-aware triage</w:t>
      </w:r>
      <w:r>
        <w:rPr>
          <w:rFonts w:ascii="Times New Roman" w:hAnsi="Times New Roman" w:cs="Times New Roman"/>
          <w:b/>
          <w:bCs/>
        </w:rPr>
        <w:t xml:space="preserve"> </w:t>
      </w:r>
      <w:r>
        <w:rPr>
          <w:rFonts w:ascii="Times New Roman" w:hAnsi="Times New Roman" w:cs="Times New Roman"/>
        </w:rPr>
        <w:t xml:space="preserve">framework that correlates behavioral anomalies with data sensitivity to enable analysts to prioritize high-risk threats and prevent financial data breaches. </w:t>
      </w:r>
      <w:r w:rsidR="00A94147" w:rsidRPr="00A94147">
        <w:rPr>
          <w:rFonts w:ascii="Times New Roman" w:hAnsi="Times New Roman" w:cs="Times New Roman"/>
        </w:rPr>
        <w:t xml:space="preserve">By programmatically correlating the </w:t>
      </w:r>
      <w:r w:rsidR="00A94147" w:rsidRPr="00A94147">
        <w:rPr>
          <w:rFonts w:ascii="Times New Roman" w:hAnsi="Times New Roman" w:cs="Times New Roman"/>
          <w:i/>
          <w:iCs/>
        </w:rPr>
        <w:t>intent</w:t>
      </w:r>
      <w:r w:rsidR="00A94147" w:rsidRPr="00A94147">
        <w:rPr>
          <w:rFonts w:ascii="Times New Roman" w:hAnsi="Times New Roman" w:cs="Times New Roman"/>
        </w:rPr>
        <w:t xml:space="preserve"> of an anomaly with the </w:t>
      </w:r>
      <w:r w:rsidR="00A94147" w:rsidRPr="00A94147">
        <w:rPr>
          <w:rFonts w:ascii="Times New Roman" w:hAnsi="Times New Roman" w:cs="Times New Roman"/>
          <w:i/>
          <w:iCs/>
        </w:rPr>
        <w:t>criticality</w:t>
      </w:r>
      <w:r>
        <w:rPr>
          <w:rFonts w:ascii="Times New Roman" w:hAnsi="Times New Roman" w:cs="Times New Roman"/>
        </w:rPr>
        <w:t xml:space="preserve"> of the targeted data, this framework aims to reduce the volume of alerts that analysts must investigate at high priority, and to concentrate that reduced volume more tightly around confirmed threats to PII, so that analysts can respond to the most serious threats sooner.</w:t>
      </w:r>
    </w:p>
    <w:p w14:paraId="7FF4D6CD" w14:textId="77777777" w:rsidR="00A94147" w:rsidRPr="00E66F6D" w:rsidRDefault="00A94147" w:rsidP="00A94147">
      <w:pPr>
        <w:tabs>
          <w:tab w:val="left" w:pos="360"/>
        </w:tabs>
        <w:spacing w:after="0" w:line="480" w:lineRule="auto"/>
        <w:ind w:left="360"/>
        <w:rPr>
          <w:rFonts w:ascii="Times New Roman" w:hAnsi="Times New Roman" w:cs="Times New Roman"/>
          <w:sz w:val="22"/>
          <w:szCs w:val="22"/>
        </w:rPr>
      </w:pPr>
    </w:p>
    <w:p w14:paraId="6EE174CD" w14:textId="77777777" w:rsidR="00484FB3" w:rsidRDefault="00EC3320" w:rsidP="008F2A0E">
      <w:pPr>
        <w:pStyle w:val="Heading2"/>
        <w:spacing w:before="0" w:after="0" w:line="480" w:lineRule="auto"/>
        <w:rPr>
          <w:rFonts w:cs="Times New Roman"/>
          <w:szCs w:val="28"/>
        </w:rPr>
      </w:pPr>
      <w:bookmarkStart w:id="11" w:name="_Toc236431614"/>
      <w:r>
        <w:rPr>
          <w:rFonts w:cs="Times New Roman"/>
          <w:szCs w:val="28"/>
        </w:rPr>
        <w:t>1.4 Research Objectives</w:t>
      </w:r>
      <w:bookmarkEnd w:id="11"/>
    </w:p>
    <w:p w14:paraId="5A4ABFE7" w14:textId="77777777" w:rsidR="00F95E38" w:rsidRPr="00F95E38" w:rsidRDefault="00F95E38" w:rsidP="00F6400A">
      <w:pPr>
        <w:spacing w:line="480" w:lineRule="auto"/>
        <w:ind w:firstLine="540"/>
        <w:rPr>
          <w:rFonts w:ascii="Times New Roman" w:hAnsi="Times New Roman" w:cs="Times New Roman"/>
        </w:rPr>
      </w:pPr>
      <w:r>
        <w:rPr>
          <w:rFonts w:ascii="Times New Roman" w:hAnsi="Times New Roman" w:cs="Times New Roman"/>
        </w:rPr>
        <w:t>The primary goal of this Praxis research and project is to bridge the gap between traditional behavioral monitoring for threats that target PII and data-centric security. While modern Security Operations Centers (SOCs) have tools that can identify security risks stemming from unusual or suspicious behavior, they often lack the granular PII context necessary to prioritize these anomalies based on actual data risk.</w:t>
      </w:r>
    </w:p>
    <w:p w14:paraId="00B0DC42" w14:textId="77777777" w:rsidR="00F95E38" w:rsidRPr="00F95E38" w:rsidRDefault="00F95E38" w:rsidP="00F6400A">
      <w:pPr>
        <w:spacing w:line="480" w:lineRule="auto"/>
        <w:ind w:firstLine="540"/>
        <w:rPr>
          <w:rFonts w:ascii="Times New Roman" w:hAnsi="Times New Roman" w:cs="Times New Roman"/>
        </w:rPr>
      </w:pPr>
      <w:r>
        <w:rPr>
          <w:rFonts w:ascii="Times New Roman" w:hAnsi="Times New Roman" w:cs="Times New Roman"/>
        </w:rPr>
        <w:t xml:space="preserve">By integrating data sensitivity directly into the alert lifecycle, this study aims to transform how analysts triage threats against sensitive banking and credit information. The following </w:t>
      </w:r>
      <w:r>
        <w:rPr>
          <w:rFonts w:ascii="Times New Roman" w:hAnsi="Times New Roman" w:cs="Times New Roman"/>
        </w:rPr>
        <w:lastRenderedPageBreak/>
        <w:t>objectives outline a roadmap from analyzing current limitations to validating a new, risk-aware alerting framework:</w:t>
      </w:r>
    </w:p>
    <w:p w14:paraId="1BFE9390" w14:textId="77777777" w:rsidR="004A741B" w:rsidRPr="00F95E38" w:rsidRDefault="004A741B" w:rsidP="00F6400A">
      <w:pPr>
        <w:numPr>
          <w:ilvl w:val="0"/>
          <w:numId w:val="1"/>
        </w:numPr>
        <w:spacing w:line="480" w:lineRule="auto"/>
        <w:ind w:hanging="180"/>
        <w:rPr>
          <w:rFonts w:ascii="Times New Roman" w:hAnsi="Times New Roman" w:cs="Times New Roman"/>
        </w:rPr>
      </w:pPr>
      <w:r>
        <w:rPr>
          <w:rFonts w:ascii="Times New Roman" w:hAnsi="Times New Roman" w:cs="Times New Roman"/>
        </w:rPr>
        <w:t>Analyze the Current Approach: Identify if and how PII is leveraged by the SOC and what the gap exists in commonly used SOC tools (i.e., SIEM, UEBA) for improving triage and prioritization of threats targeting bank account and credit information</w:t>
      </w:r>
    </w:p>
    <w:p w14:paraId="106FCF03" w14:textId="77777777" w:rsidR="004A741B" w:rsidRPr="00F17123" w:rsidRDefault="004A741B" w:rsidP="00F6400A">
      <w:pPr>
        <w:numPr>
          <w:ilvl w:val="0"/>
          <w:numId w:val="1"/>
        </w:numPr>
        <w:spacing w:line="480" w:lineRule="auto"/>
        <w:ind w:hanging="180"/>
        <w:rPr>
          <w:rFonts w:ascii="Times New Roman" w:hAnsi="Times New Roman" w:cs="Times New Roman"/>
        </w:rPr>
      </w:pPr>
      <w:r>
        <w:rPr>
          <w:rFonts w:ascii="Times New Roman" w:hAnsi="Times New Roman" w:cs="Times New Roman"/>
        </w:rPr>
        <w:t xml:space="preserve">Research Common Attack Scenarios: Identify the specific attack profiles that are often used in PII theft and determine the associated behavioral anomalies that can be leveraged as early indicators of the threat. </w:t>
      </w:r>
    </w:p>
    <w:p w14:paraId="2C6560F3" w14:textId="77777777" w:rsidR="004A741B" w:rsidRPr="00F17123" w:rsidRDefault="004A741B" w:rsidP="00F6400A">
      <w:pPr>
        <w:numPr>
          <w:ilvl w:val="0"/>
          <w:numId w:val="1"/>
        </w:numPr>
        <w:spacing w:line="480" w:lineRule="auto"/>
        <w:ind w:hanging="180"/>
        <w:rPr>
          <w:rFonts w:ascii="Times New Roman" w:hAnsi="Times New Roman" w:cs="Times New Roman"/>
        </w:rPr>
      </w:pPr>
      <w:r>
        <w:rPr>
          <w:rFonts w:ascii="Times New Roman" w:hAnsi="Times New Roman" w:cs="Times New Roman"/>
        </w:rPr>
        <w:t xml:space="preserve">Research and Develop New Pipelines: Use, or develop as necessary, synthetic data sets to simulate logs and event data replicated from common attack scenarios that </w:t>
      </w:r>
      <w:proofErr w:type="gramStart"/>
      <w:r>
        <w:rPr>
          <w:rFonts w:ascii="Times New Roman" w:hAnsi="Times New Roman" w:cs="Times New Roman"/>
        </w:rPr>
        <w:t>is</w:t>
      </w:r>
      <w:proofErr w:type="gramEnd"/>
      <w:r>
        <w:rPr>
          <w:rFonts w:ascii="Times New Roman" w:hAnsi="Times New Roman" w:cs="Times New Roman"/>
        </w:rPr>
        <w:t xml:space="preserve"> transformed and normalize into a consistent format for preparing it for correlation and enrichment of PII.</w:t>
      </w:r>
    </w:p>
    <w:p w14:paraId="4845049C" w14:textId="77777777" w:rsidR="004A741B" w:rsidRPr="00F17123" w:rsidRDefault="004A741B" w:rsidP="00F6400A">
      <w:pPr>
        <w:numPr>
          <w:ilvl w:val="0"/>
          <w:numId w:val="2"/>
        </w:numPr>
        <w:spacing w:line="480" w:lineRule="auto"/>
        <w:ind w:hanging="180"/>
        <w:rPr>
          <w:rFonts w:ascii="Times New Roman" w:hAnsi="Times New Roman" w:cs="Times New Roman"/>
        </w:rPr>
      </w:pPr>
      <w:r>
        <w:rPr>
          <w:rFonts w:ascii="Times New Roman" w:hAnsi="Times New Roman" w:cs="Times New Roman"/>
        </w:rPr>
        <w:t>Develop a PII Context Framework: Define the set of PII and risk scores associated with the theft of combinations of PII. Design a conceptual model that correlates behavioral anomalies with the location, classification and scoring of sensitivity of PII data-at-rest. This can improve the correlation of security control data with risk tolerance by using automation to manage security more effectively while also reducing costs by less analyst time spent on manual efforts (Crowley, 2024).</w:t>
      </w:r>
    </w:p>
    <w:p w14:paraId="1ACEAAF4" w14:textId="77777777" w:rsidR="004A741B" w:rsidRPr="00F17123" w:rsidRDefault="004A741B" w:rsidP="00F6400A">
      <w:pPr>
        <w:numPr>
          <w:ilvl w:val="0"/>
          <w:numId w:val="3"/>
        </w:numPr>
        <w:spacing w:line="480" w:lineRule="auto"/>
        <w:ind w:hanging="180"/>
        <w:rPr>
          <w:rFonts w:ascii="Times New Roman" w:hAnsi="Times New Roman" w:cs="Times New Roman"/>
        </w:rPr>
      </w:pPr>
      <w:r>
        <w:rPr>
          <w:rFonts w:ascii="Times New Roman" w:hAnsi="Times New Roman" w:cs="Times New Roman"/>
        </w:rPr>
        <w:t xml:space="preserve">Define and Build a New Class of PII Alerts: Leveraging the newly developed PII Context Framework, generate a security alert that includes the anomaly along with relevant PII context. The base anomaly risk score and its low, medium, or high priority remain intact, while a confirmed attack targeting PII promotes the alert to a critical priority. Risk-based </w:t>
      </w:r>
      <w:r>
        <w:rPr>
          <w:rFonts w:ascii="Times New Roman" w:hAnsi="Times New Roman" w:cs="Times New Roman"/>
        </w:rPr>
        <w:lastRenderedPageBreak/>
        <w:t>priority scoring (considering data sensitivity) can reduce investigation time (Dempsey et al., 2011).</w:t>
      </w:r>
    </w:p>
    <w:p w14:paraId="05811F5F" w14:textId="77777777" w:rsidR="004A741B" w:rsidRPr="00F17123" w:rsidRDefault="004A741B" w:rsidP="00F6400A">
      <w:pPr>
        <w:numPr>
          <w:ilvl w:val="0"/>
          <w:numId w:val="1"/>
        </w:numPr>
        <w:spacing w:after="0" w:line="480" w:lineRule="auto"/>
        <w:ind w:hanging="180"/>
        <w:rPr>
          <w:rFonts w:ascii="Times New Roman" w:hAnsi="Times New Roman" w:cs="Times New Roman"/>
        </w:rPr>
      </w:pPr>
      <w:r>
        <w:rPr>
          <w:rFonts w:ascii="Times New Roman" w:hAnsi="Times New Roman" w:cs="Times New Roman"/>
        </w:rPr>
        <w:t>Validate Effectiveness: Assess how the promotion of alerts to critical based on PII context, relative to the base anomaly risk score alone, helps analysts better isolate confirmed threats to PII while ignoring less important events.</w:t>
      </w:r>
    </w:p>
    <w:p w14:paraId="3AB9E595" w14:textId="77777777" w:rsidR="00484FB3" w:rsidRDefault="00B57117" w:rsidP="008F2A0E">
      <w:pPr>
        <w:pStyle w:val="Heading2"/>
        <w:spacing w:before="0" w:after="0" w:line="480" w:lineRule="auto"/>
      </w:pPr>
      <w:bookmarkStart w:id="12" w:name="_Toc236431615"/>
      <w:r>
        <w:t>1.5 Research Questions</w:t>
      </w:r>
      <w:bookmarkEnd w:id="12"/>
    </w:p>
    <w:p w14:paraId="330F4DEC" w14:textId="7A871BD8" w:rsidR="00F6400A" w:rsidRPr="00F6400A" w:rsidRDefault="00F6400A" w:rsidP="00F6400A">
      <w:pPr>
        <w:ind w:left="720" w:hanging="180"/>
        <w:rPr>
          <w:rFonts w:ascii="Times New Roman" w:hAnsi="Times New Roman" w:cs="Times New Roman"/>
        </w:rPr>
      </w:pPr>
      <w:r w:rsidRPr="00F6400A">
        <w:rPr>
          <w:rFonts w:ascii="Times New Roman" w:hAnsi="Times New Roman" w:cs="Times New Roman"/>
        </w:rPr>
        <w:t>This research is guided by the following research questions:</w:t>
      </w:r>
    </w:p>
    <w:p w14:paraId="08A95E86" w14:textId="77777777" w:rsidR="004A741B" w:rsidRPr="00F17123" w:rsidRDefault="004A741B" w:rsidP="00F6400A">
      <w:pPr>
        <w:numPr>
          <w:ilvl w:val="0"/>
          <w:numId w:val="1"/>
        </w:numPr>
        <w:tabs>
          <w:tab w:val="clear" w:pos="720"/>
        </w:tabs>
        <w:spacing w:line="480" w:lineRule="auto"/>
        <w:ind w:hanging="180"/>
        <w:rPr>
          <w:rFonts w:ascii="Times New Roman" w:hAnsi="Times New Roman" w:cs="Times New Roman"/>
        </w:rPr>
      </w:pPr>
      <w:r>
        <w:rPr>
          <w:rFonts w:ascii="Times New Roman" w:hAnsi="Times New Roman" w:cs="Times New Roman"/>
        </w:rPr>
        <w:t>Q1: To what extent do current UEBA and SIEM platforms fail to correlate user behavioral anomalies with the specific sensitivity levels of PII and banking data?</w:t>
      </w:r>
    </w:p>
    <w:p w14:paraId="649BE28A" w14:textId="77777777" w:rsidR="00FF5770" w:rsidRPr="00FF5770" w:rsidRDefault="004A741B" w:rsidP="00F6400A">
      <w:pPr>
        <w:numPr>
          <w:ilvl w:val="0"/>
          <w:numId w:val="1"/>
        </w:numPr>
        <w:tabs>
          <w:tab w:val="clear" w:pos="720"/>
        </w:tabs>
        <w:spacing w:line="480" w:lineRule="auto"/>
        <w:ind w:hanging="180"/>
      </w:pPr>
      <w:r>
        <w:rPr>
          <w:rFonts w:ascii="Times New Roman" w:hAnsi="Times New Roman" w:cs="Times New Roman"/>
        </w:rPr>
        <w:t xml:space="preserve">Q2: </w:t>
      </w:r>
      <w:r>
        <w:t>What contextual variables are most critical for an analyst to automate the mapping of "data-at-rest" security insights into real-time "data-in-use" behavioral alerts, thereby providing a more accurate representation of risk?</w:t>
      </w:r>
    </w:p>
    <w:p w14:paraId="4B4EBA40" w14:textId="77777777" w:rsidR="004A741B" w:rsidRPr="00F17123" w:rsidRDefault="004A741B" w:rsidP="00A77F60">
      <w:pPr>
        <w:numPr>
          <w:ilvl w:val="0"/>
          <w:numId w:val="1"/>
        </w:numPr>
        <w:tabs>
          <w:tab w:val="clear" w:pos="720"/>
        </w:tabs>
        <w:spacing w:after="0" w:line="480" w:lineRule="auto"/>
        <w:ind w:hanging="180"/>
        <w:rPr>
          <w:rFonts w:ascii="Times New Roman" w:hAnsi="Times New Roman" w:cs="Times New Roman"/>
        </w:rPr>
      </w:pPr>
      <w:r>
        <w:rPr>
          <w:rFonts w:ascii="Times New Roman" w:hAnsi="Times New Roman" w:cs="Times New Roman"/>
        </w:rPr>
        <w:t>Q3: Does the application of a context-aware risk scoring model significantly reduce the "noise" of false positives compared to standard anomaly detection rules?</w:t>
      </w:r>
    </w:p>
    <w:p w14:paraId="4B0B92F4" w14:textId="77777777" w:rsidR="00484FB3" w:rsidRDefault="00484FB3" w:rsidP="00A77F60">
      <w:pPr>
        <w:pStyle w:val="Heading2"/>
        <w:tabs>
          <w:tab w:val="left" w:pos="450"/>
        </w:tabs>
        <w:spacing w:before="0" w:after="0" w:line="480" w:lineRule="auto"/>
        <w:rPr>
          <w:rFonts w:cs="Times New Roman"/>
          <w:szCs w:val="28"/>
        </w:rPr>
      </w:pPr>
      <w:bookmarkStart w:id="13" w:name="_Toc236431616"/>
      <w:r>
        <w:rPr>
          <w:rFonts w:cs="Times New Roman"/>
          <w:szCs w:val="28"/>
        </w:rPr>
        <w:t>1.6 Research Hypotheses</w:t>
      </w:r>
      <w:bookmarkEnd w:id="13"/>
    </w:p>
    <w:p w14:paraId="46B5CBC2" w14:textId="2C428CE6" w:rsidR="00F6400A" w:rsidRPr="00F6400A" w:rsidRDefault="00F6400A" w:rsidP="00A77F60">
      <w:pPr>
        <w:ind w:firstLine="540"/>
        <w:rPr>
          <w:rFonts w:ascii="Times New Roman" w:hAnsi="Times New Roman" w:cs="Times New Roman"/>
        </w:rPr>
      </w:pPr>
      <w:r w:rsidRPr="00F6400A">
        <w:rPr>
          <w:rFonts w:ascii="Times New Roman" w:hAnsi="Times New Roman" w:cs="Times New Roman"/>
        </w:rPr>
        <w:t>The three hypotheses that relate to examining the research questions are as follows:</w:t>
      </w:r>
    </w:p>
    <w:p w14:paraId="16116F2A" w14:textId="77777777" w:rsidR="00E66F6D" w:rsidRDefault="0013746E" w:rsidP="00A77F60">
      <w:pPr>
        <w:spacing w:after="0" w:line="480" w:lineRule="auto"/>
        <w:rPr>
          <w:rFonts w:ascii="Times New Roman" w:hAnsi="Times New Roman" w:cs="Times New Roman"/>
        </w:rPr>
      </w:pPr>
      <w:r>
        <w:rPr>
          <w:rFonts w:ascii="Times New Roman" w:hAnsi="Times New Roman" w:cs="Times New Roman"/>
        </w:rPr>
        <w:t>Given the severity and impact of cyber-attacks targeting exfiltration of PII, there remains a lack of cooperation between the stewards of the data and teams that are focused on identifying and stopping threats.  To set the basis for challenges and current gaps within an organization, this research investigates the following three hypotheses</w:t>
      </w:r>
      <w:r w:rsidR="00D34D52">
        <w:rPr>
          <w:rFonts w:ascii="Times New Roman" w:hAnsi="Times New Roman" w:cs="Times New Roman"/>
        </w:rPr>
        <w:t>.</w:t>
      </w:r>
    </w:p>
    <w:p w14:paraId="3E65E75E" w14:textId="77777777" w:rsidR="00A77F60" w:rsidRDefault="00A77F60" w:rsidP="00A77F60">
      <w:pPr>
        <w:spacing w:after="0" w:line="480" w:lineRule="auto"/>
        <w:rPr>
          <w:rFonts w:ascii="Times New Roman" w:hAnsi="Times New Roman" w:cs="Times New Roman"/>
        </w:rPr>
      </w:pPr>
    </w:p>
    <w:p w14:paraId="35E24D8A" w14:textId="77777777" w:rsidR="000C2A87" w:rsidRPr="00E66F6D" w:rsidRDefault="00335E69" w:rsidP="00264538">
      <w:pPr>
        <w:pStyle w:val="Heading3"/>
        <w:numPr>
          <w:ilvl w:val="0"/>
          <w:numId w:val="0"/>
        </w:numPr>
        <w:spacing w:after="0" w:line="480" w:lineRule="auto"/>
        <w:ind w:left="450"/>
        <w:rPr>
          <w:rFonts w:cs="Times New Roman"/>
          <w:szCs w:val="28"/>
        </w:rPr>
      </w:pPr>
      <w:bookmarkStart w:id="14" w:name="_Toc236431617"/>
      <w:r>
        <w:rPr>
          <w:rFonts w:cs="Times New Roman"/>
          <w:szCs w:val="28"/>
        </w:rPr>
        <w:t>1.6.1 Hypothesis 1</w:t>
      </w:r>
      <w:bookmarkEnd w:id="14"/>
    </w:p>
    <w:p w14:paraId="45C57236" w14:textId="77777777" w:rsidR="004A741B" w:rsidRPr="009B2D41" w:rsidRDefault="004A741B" w:rsidP="009B4403">
      <w:pPr>
        <w:tabs>
          <w:tab w:val="left" w:pos="540"/>
        </w:tabs>
        <w:spacing w:after="0" w:line="480" w:lineRule="auto"/>
        <w:ind w:left="720" w:firstLine="360"/>
        <w:rPr>
          <w:rFonts w:ascii="Times New Roman" w:hAnsi="Times New Roman" w:cs="Times New Roman"/>
        </w:rPr>
      </w:pPr>
      <w:r>
        <w:rPr>
          <w:rFonts w:ascii="Times New Roman" w:hAnsi="Times New Roman" w:cs="Times New Roman"/>
        </w:rPr>
        <w:lastRenderedPageBreak/>
        <w:t xml:space="preserve">Security analysts in organizations storing banking account and/or credit card data using a PII context-aware triage framework will identify and prioritize high-risk threats to Banking/Credit Card Account PII significantly faster than analysts using standard SIEM/UEBA alerts without integrated data sensitivity context. This prioritization and reduction in noise can lead to an improved response time. </w:t>
      </w:r>
    </w:p>
    <w:p w14:paraId="42BB5B9B" w14:textId="77777777" w:rsidR="000135F4" w:rsidRPr="00F17123" w:rsidRDefault="000135F4" w:rsidP="000135F4">
      <w:pPr>
        <w:pStyle w:val="ListParagraph"/>
        <w:spacing w:after="0" w:line="480" w:lineRule="auto"/>
        <w:ind w:left="1350"/>
        <w:rPr>
          <w:rFonts w:ascii="Times New Roman" w:hAnsi="Times New Roman" w:cs="Times New Roman"/>
          <w:b/>
          <w:bCs/>
        </w:rPr>
      </w:pPr>
    </w:p>
    <w:p w14:paraId="28B628EB" w14:textId="77777777" w:rsidR="000C2A87" w:rsidRPr="002D4F8F" w:rsidRDefault="002D4F8F" w:rsidP="002D4F8F">
      <w:pPr>
        <w:pStyle w:val="Heading3"/>
        <w:numPr>
          <w:ilvl w:val="0"/>
          <w:numId w:val="0"/>
        </w:numPr>
        <w:spacing w:after="0" w:line="480" w:lineRule="auto"/>
        <w:ind w:left="450"/>
        <w:rPr>
          <w:rFonts w:cs="Times New Roman"/>
          <w:szCs w:val="28"/>
        </w:rPr>
      </w:pPr>
      <w:bookmarkStart w:id="15" w:name="_Toc236431618"/>
      <w:r>
        <w:rPr>
          <w:rFonts w:cs="Times New Roman"/>
          <w:szCs w:val="28"/>
        </w:rPr>
        <w:t>1.6.2 Hypothesis 2</w:t>
      </w:r>
      <w:bookmarkEnd w:id="15"/>
    </w:p>
    <w:p w14:paraId="6F4C9084" w14:textId="27661976" w:rsidR="000C2A87" w:rsidRPr="00F17123" w:rsidRDefault="004A741B" w:rsidP="009B4403">
      <w:pPr>
        <w:pStyle w:val="ListParagraph"/>
        <w:tabs>
          <w:tab w:val="left" w:pos="900"/>
          <w:tab w:val="left" w:pos="1440"/>
        </w:tabs>
        <w:spacing w:after="0" w:line="480" w:lineRule="auto"/>
        <w:ind w:firstLine="360"/>
        <w:rPr>
          <w:rFonts w:ascii="Times New Roman" w:hAnsi="Times New Roman" w:cs="Times New Roman"/>
        </w:rPr>
      </w:pPr>
      <w:r>
        <w:rPr>
          <w:rFonts w:ascii="Times New Roman" w:hAnsi="Times New Roman" w:cs="Times New Roman"/>
        </w:rPr>
        <w:t xml:space="preserve">Correlating anomalous behaviors with specific PII-related threat context reduces the "noise" of non-critical behavioral alerts and improves triage time, leading to improved escalation of critical anomalies versus less significant ones. </w:t>
      </w:r>
    </w:p>
    <w:p w14:paraId="67510D4A" w14:textId="77777777" w:rsidR="000135F4" w:rsidRPr="00F17123" w:rsidRDefault="000135F4" w:rsidP="000135F4">
      <w:pPr>
        <w:pStyle w:val="ListParagraph"/>
        <w:spacing w:after="0" w:line="480" w:lineRule="auto"/>
        <w:ind w:left="1350"/>
        <w:rPr>
          <w:rFonts w:ascii="Times New Roman" w:hAnsi="Times New Roman" w:cs="Times New Roman"/>
          <w:b/>
          <w:bCs/>
        </w:rPr>
      </w:pPr>
    </w:p>
    <w:p w14:paraId="2B77BB1B" w14:textId="77777777" w:rsidR="000C2A87" w:rsidRPr="00381548" w:rsidRDefault="00335E69" w:rsidP="000135F4">
      <w:pPr>
        <w:pStyle w:val="Heading3"/>
        <w:numPr>
          <w:ilvl w:val="0"/>
          <w:numId w:val="0"/>
        </w:numPr>
        <w:tabs>
          <w:tab w:val="left" w:pos="900"/>
        </w:tabs>
        <w:spacing w:after="0" w:line="480" w:lineRule="auto"/>
        <w:ind w:left="990" w:hanging="540"/>
      </w:pPr>
      <w:bookmarkStart w:id="16" w:name="_Toc236431619"/>
      <w:r>
        <w:t>1.6.3 Hypothesis 3</w:t>
      </w:r>
      <w:bookmarkEnd w:id="16"/>
    </w:p>
    <w:p w14:paraId="7CED5AC2" w14:textId="1607EFDB" w:rsidR="000C2A87" w:rsidRPr="00A77F60" w:rsidRDefault="004A741B" w:rsidP="009B4403">
      <w:pPr>
        <w:pStyle w:val="ListParagraph"/>
        <w:tabs>
          <w:tab w:val="left" w:pos="540"/>
          <w:tab w:val="left" w:pos="1170"/>
        </w:tabs>
        <w:spacing w:after="0" w:line="480" w:lineRule="auto"/>
        <w:ind w:firstLine="360"/>
        <w:rPr>
          <w:rFonts w:ascii="Times New Roman" w:hAnsi="Times New Roman" w:cs="Times New Roman"/>
        </w:rPr>
      </w:pPr>
      <w:r>
        <w:rPr>
          <w:rFonts w:ascii="Times New Roman" w:hAnsi="Times New Roman" w:cs="Times New Roman"/>
        </w:rPr>
        <w:t>Organizations that implement detection rules specifically mapped to the early-stage anomalous behaviors of financial threat actors will be able to prioritize and respond faster to such threats when implementing a PII-context aware framework. Implementing context-augmented frameworks can reduce analyst cognitive load and improve detection accuracy.</w:t>
      </w:r>
    </w:p>
    <w:p w14:paraId="38BFC342" w14:textId="77777777" w:rsidR="000135F4" w:rsidRPr="00F17123" w:rsidRDefault="000135F4" w:rsidP="000135F4">
      <w:pPr>
        <w:pStyle w:val="ListParagraph"/>
        <w:spacing w:after="0" w:line="480" w:lineRule="auto"/>
        <w:ind w:left="1440"/>
        <w:rPr>
          <w:rFonts w:ascii="Times New Roman" w:hAnsi="Times New Roman" w:cs="Times New Roman"/>
        </w:rPr>
      </w:pPr>
    </w:p>
    <w:p w14:paraId="2FB27B57" w14:textId="77777777" w:rsidR="00484FB3" w:rsidRDefault="00484FB3" w:rsidP="00D34D52">
      <w:pPr>
        <w:pStyle w:val="Heading2"/>
        <w:spacing w:before="0" w:after="0" w:line="480" w:lineRule="auto"/>
        <w:rPr>
          <w:rFonts w:cs="Times New Roman"/>
          <w:szCs w:val="28"/>
        </w:rPr>
      </w:pPr>
      <w:bookmarkStart w:id="17" w:name="_Toc236431620"/>
      <w:r>
        <w:rPr>
          <w:rFonts w:cs="Times New Roman"/>
          <w:szCs w:val="28"/>
        </w:rPr>
        <w:t>1.7 Research Scope and Limitations</w:t>
      </w:r>
      <w:bookmarkEnd w:id="17"/>
    </w:p>
    <w:p w14:paraId="6D329391" w14:textId="4A95AEE8" w:rsidR="00B05CCC" w:rsidRPr="00F17123" w:rsidRDefault="0079185B" w:rsidP="009B4403">
      <w:pPr>
        <w:spacing w:line="480" w:lineRule="auto"/>
        <w:ind w:firstLine="540"/>
        <w:rPr>
          <w:rFonts w:ascii="Times New Roman" w:hAnsi="Times New Roman" w:cs="Times New Roman"/>
        </w:rPr>
      </w:pPr>
      <w:r>
        <w:rPr>
          <w:rFonts w:ascii="Times New Roman" w:hAnsi="Times New Roman" w:cs="Times New Roman"/>
        </w:rPr>
        <w:t xml:space="preserve">The focus is on building synthetic datasets to establish a baseline. What is critical here is to identify and use attack scenarios where an attacker is using specific user attributes to execute attacks that allow them to compromise infrastructures more effectively when targeting PII. </w:t>
      </w:r>
    </w:p>
    <w:p w14:paraId="48540F25" w14:textId="77777777" w:rsidR="00B05CCC" w:rsidRPr="00F17123" w:rsidRDefault="00B05CCC" w:rsidP="009B4403">
      <w:pPr>
        <w:spacing w:line="480" w:lineRule="auto"/>
        <w:rPr>
          <w:rFonts w:ascii="Times New Roman" w:hAnsi="Times New Roman" w:cs="Times New Roman"/>
        </w:rPr>
      </w:pPr>
      <w:r>
        <w:rPr>
          <w:rFonts w:ascii="Times New Roman" w:hAnsi="Times New Roman" w:cs="Times New Roman"/>
        </w:rPr>
        <w:lastRenderedPageBreak/>
        <w:t xml:space="preserve">The overall testing will be limited to five attack scenarios that target PII, especially ones that can trigger behavioral anomalies. </w:t>
      </w:r>
    </w:p>
    <w:p w14:paraId="5BD5E6D1" w14:textId="77777777" w:rsidR="00B05CCC" w:rsidRPr="00F17123" w:rsidRDefault="00B05CCC" w:rsidP="009B4403">
      <w:pPr>
        <w:spacing w:line="480" w:lineRule="auto"/>
        <w:ind w:firstLine="720"/>
        <w:rPr>
          <w:rFonts w:ascii="Times New Roman" w:hAnsi="Times New Roman" w:cs="Times New Roman"/>
        </w:rPr>
      </w:pPr>
      <w:r>
        <w:rPr>
          <w:rFonts w:ascii="Times New Roman" w:hAnsi="Times New Roman" w:cs="Times New Roman"/>
        </w:rPr>
        <w:t xml:space="preserve">Once the framework is built and validated, a broader set of synthetic datasets is used to fully test the environment and confirm that attacks embedded within regular traffic can be escalated based on correlation with PII context. Validation against de-identified production data is outside the scope of this praxis and is identified in Section 3.9.1 as future work. </w:t>
      </w:r>
    </w:p>
    <w:p w14:paraId="3804BABD" w14:textId="77777777" w:rsidR="004A5D9A" w:rsidRPr="00F17123" w:rsidRDefault="004A5D9A" w:rsidP="009B4403">
      <w:pPr>
        <w:spacing w:line="480" w:lineRule="auto"/>
        <w:ind w:firstLine="720"/>
        <w:rPr>
          <w:rFonts w:ascii="Times New Roman" w:hAnsi="Times New Roman" w:cs="Times New Roman"/>
        </w:rPr>
      </w:pPr>
      <w:r>
        <w:rPr>
          <w:rFonts w:ascii="Times New Roman" w:hAnsi="Times New Roman" w:cs="Times New Roman"/>
        </w:rPr>
        <w:t xml:space="preserve">The result of building the correlation rules, building a framework and performing the testing is to enable security analysts to more effectively triage, prioritize, and investigate security events involving sensitive financial bank and credit card account data. </w:t>
      </w:r>
    </w:p>
    <w:p w14:paraId="287CC432" w14:textId="6B63C67B" w:rsidR="0047722A" w:rsidRDefault="004A5D9A" w:rsidP="009B4403">
      <w:pPr>
        <w:spacing w:line="480" w:lineRule="auto"/>
        <w:ind w:firstLine="720"/>
        <w:rPr>
          <w:rFonts w:ascii="Times New Roman" w:hAnsi="Times New Roman" w:cs="Times New Roman"/>
        </w:rPr>
      </w:pPr>
      <w:r>
        <w:rPr>
          <w:rFonts w:ascii="Times New Roman" w:hAnsi="Times New Roman" w:cs="Times New Roman"/>
        </w:rPr>
        <w:t xml:space="preserve">By testing these hypotheses, this praxis determines whether incorporating PII combinations of classifications and storage location into a framework correlated against specific attacks that show behavioral anomalies can escalate the risk of an attack. This would be initial research to develop more advanced analytical models and potentially AI that could be productized in the future and incorporated into a Next Generation SIEM, Extended Detection and Response (XDR), or Workspace security solution. </w:t>
      </w:r>
    </w:p>
    <w:p w14:paraId="557F7C58" w14:textId="77777777" w:rsidR="0047722A" w:rsidRDefault="0047722A" w:rsidP="0047722A">
      <w:pPr>
        <w:spacing w:line="480" w:lineRule="auto"/>
        <w:ind w:left="720"/>
        <w:rPr>
          <w:rFonts w:ascii="Times New Roman" w:hAnsi="Times New Roman" w:cs="Times New Roman"/>
        </w:rPr>
      </w:pPr>
    </w:p>
    <w:p w14:paraId="39501169" w14:textId="77777777" w:rsidR="00A77F60" w:rsidRDefault="00A77F60" w:rsidP="0047722A">
      <w:pPr>
        <w:spacing w:line="480" w:lineRule="auto"/>
        <w:ind w:left="720"/>
        <w:rPr>
          <w:rFonts w:ascii="Times New Roman" w:hAnsi="Times New Roman" w:cs="Times New Roman"/>
        </w:rPr>
      </w:pPr>
    </w:p>
    <w:p w14:paraId="7D39F96F" w14:textId="77777777" w:rsidR="00A77F60" w:rsidRDefault="00A77F60" w:rsidP="0047722A">
      <w:pPr>
        <w:spacing w:line="480" w:lineRule="auto"/>
        <w:ind w:left="720"/>
        <w:rPr>
          <w:rFonts w:ascii="Times New Roman" w:hAnsi="Times New Roman" w:cs="Times New Roman"/>
        </w:rPr>
      </w:pPr>
    </w:p>
    <w:p w14:paraId="7B702C48" w14:textId="77777777" w:rsidR="00A77F60" w:rsidRDefault="00A77F60" w:rsidP="0047722A">
      <w:pPr>
        <w:spacing w:line="480" w:lineRule="auto"/>
        <w:ind w:left="720"/>
        <w:rPr>
          <w:rFonts w:ascii="Times New Roman" w:hAnsi="Times New Roman" w:cs="Times New Roman"/>
        </w:rPr>
      </w:pPr>
    </w:p>
    <w:p w14:paraId="4BDEAFBD" w14:textId="77777777" w:rsidR="009B4403" w:rsidRDefault="009B4403" w:rsidP="0047722A">
      <w:pPr>
        <w:spacing w:line="480" w:lineRule="auto"/>
        <w:ind w:left="720"/>
        <w:rPr>
          <w:rFonts w:ascii="Times New Roman" w:hAnsi="Times New Roman" w:cs="Times New Roman"/>
        </w:rPr>
      </w:pPr>
    </w:p>
    <w:p w14:paraId="16D20F11" w14:textId="77777777" w:rsidR="00CA4395" w:rsidRPr="0031504B" w:rsidRDefault="004A5D9A" w:rsidP="0031504B">
      <w:pPr>
        <w:pStyle w:val="Heading1"/>
        <w:spacing w:line="480" w:lineRule="auto"/>
        <w:rPr>
          <w:rFonts w:ascii="Times New Roman" w:hAnsi="Times New Roman" w:cs="Times New Roman"/>
          <w:b w:val="0"/>
          <w:bCs w:val="0"/>
          <w:sz w:val="24"/>
          <w:szCs w:val="20"/>
        </w:rPr>
      </w:pPr>
      <w:bookmarkStart w:id="18" w:name="_Toc236431621"/>
      <w:r w:rsidRPr="0031504B">
        <w:rPr>
          <w:rFonts w:ascii="Times New Roman" w:hAnsi="Times New Roman" w:cs="Times New Roman"/>
          <w:sz w:val="24"/>
          <w:szCs w:val="20"/>
        </w:rPr>
        <w:lastRenderedPageBreak/>
        <w:t>Chapter 2</w:t>
      </w:r>
      <w:r w:rsidR="0031504B" w:rsidRPr="0031504B">
        <w:rPr>
          <w:rFonts w:ascii="Times New Roman" w:hAnsi="Times New Roman" w:cs="Times New Roman"/>
          <w:sz w:val="24"/>
          <w:szCs w:val="20"/>
        </w:rPr>
        <w:t xml:space="preserve"> -</w:t>
      </w:r>
      <w:r w:rsidRPr="0031504B">
        <w:rPr>
          <w:rFonts w:ascii="Times New Roman" w:hAnsi="Times New Roman" w:cs="Times New Roman"/>
          <w:sz w:val="24"/>
          <w:szCs w:val="20"/>
        </w:rPr>
        <w:t xml:space="preserve"> Literature Review</w:t>
      </w:r>
      <w:bookmarkEnd w:id="18"/>
    </w:p>
    <w:p w14:paraId="1398C383" w14:textId="77777777" w:rsidR="00B57117" w:rsidRPr="00F17123" w:rsidRDefault="00B57117" w:rsidP="00B57117">
      <w:pPr>
        <w:rPr>
          <w:rFonts w:ascii="Times New Roman" w:hAnsi="Times New Roman" w:cs="Times New Roman"/>
        </w:rPr>
      </w:pPr>
    </w:p>
    <w:p w14:paraId="6691453D" w14:textId="77777777" w:rsidR="008B19C4" w:rsidRPr="008B19C4" w:rsidRDefault="008B19C4" w:rsidP="008B19C4">
      <w:pPr>
        <w:pStyle w:val="Heading2"/>
        <w:rPr>
          <w:rFonts w:cs="Times New Roman"/>
          <w:szCs w:val="24"/>
        </w:rPr>
      </w:pPr>
      <w:bookmarkStart w:id="19" w:name="_Toc236431622"/>
      <w:r>
        <w:rPr>
          <w:rFonts w:cs="Times New Roman"/>
          <w:szCs w:val="24"/>
        </w:rPr>
        <w:t>2.1 Introduction</w:t>
      </w:r>
      <w:bookmarkEnd w:id="19"/>
      <w:r>
        <w:rPr>
          <w:rFonts w:cs="Times New Roman"/>
          <w:szCs w:val="24"/>
        </w:rPr>
        <w:t xml:space="preserve">  </w:t>
      </w:r>
    </w:p>
    <w:p w14:paraId="6E1A2E64" w14:textId="77777777" w:rsidR="00760D83" w:rsidRPr="00BA768C" w:rsidRDefault="00760D83" w:rsidP="009B4403">
      <w:pPr>
        <w:tabs>
          <w:tab w:val="left" w:pos="450"/>
        </w:tabs>
        <w:spacing w:line="480" w:lineRule="auto"/>
        <w:ind w:firstLine="540"/>
        <w:rPr>
          <w:rFonts w:ascii="Times New Roman" w:hAnsi="Times New Roman" w:cs="Times New Roman"/>
        </w:rPr>
      </w:pPr>
      <w:r>
        <w:rPr>
          <w:rFonts w:ascii="Times New Roman" w:hAnsi="Times New Roman" w:cs="Times New Roman"/>
        </w:rPr>
        <w:t>This chapter surveys the literature and operational evidence that frames the gap between data security and Security Operations Center (SOC) teams and establishes the need for a PII context-aware triage framework. As established in Chapter 1, financial institutions continue to suffer large-scale PII breaches despite heavy investment in detection technologies; the root cause is not a lack of telemetry or tooling, but a structural gap between the data security teams that classify and protect PII at rest and the SOC teams that detect and respond to active threats.</w:t>
      </w:r>
    </w:p>
    <w:p w14:paraId="7D72AE7B" w14:textId="77777777" w:rsidR="00134293" w:rsidRDefault="00FF01F5" w:rsidP="009B4403">
      <w:pPr>
        <w:tabs>
          <w:tab w:val="left" w:pos="450"/>
        </w:tabs>
        <w:spacing w:line="480" w:lineRule="auto"/>
        <w:ind w:firstLine="540"/>
        <w:rPr>
          <w:rFonts w:ascii="Times New Roman" w:hAnsi="Times New Roman" w:cs="Times New Roman"/>
        </w:rPr>
      </w:pPr>
      <w:r>
        <w:rPr>
          <w:rFonts w:ascii="Times New Roman" w:hAnsi="Times New Roman" w:cs="Times New Roman"/>
        </w:rPr>
        <w:t>The chapter builds a layered argument from the threat landscape to the response gaps that motivate a new approach. Sections 2.2 and 2.3 establish why banking and credit card data is so uniquely valuable to threat actors and examine the most prevalent attack vectors used to steal it. Section 2.4 grounds this threat context in analysis of six major financial-sector breaches that reveal recurring patterns of attacker behavior and systemic detection failure. Section 2.5 reviews the evolution of Data Security Posture Management (DSPM) and its continued isolation from security operations, while Sections 2.6 and 2.7 examine the SOC workflow and the SIEM's role as the central correlation platform.</w:t>
      </w:r>
    </w:p>
    <w:p w14:paraId="339CA423" w14:textId="77777777" w:rsidR="00134293" w:rsidRDefault="00134293" w:rsidP="009B4403">
      <w:pPr>
        <w:tabs>
          <w:tab w:val="left" w:pos="450"/>
        </w:tabs>
        <w:spacing w:line="480" w:lineRule="auto"/>
        <w:ind w:firstLine="540"/>
        <w:rPr>
          <w:rFonts w:ascii="Times New Roman" w:hAnsi="Times New Roman" w:cs="Times New Roman"/>
        </w:rPr>
      </w:pPr>
      <w:r>
        <w:rPr>
          <w:rFonts w:ascii="Times New Roman" w:hAnsi="Times New Roman" w:cs="Times New Roman"/>
        </w:rPr>
        <w:t xml:space="preserve">Section 2.8 addresses the operational challenges that undermine SOC effectiveness, including alert fatigue and prioritization failures, and Section 2.9 examines the MITRE ATT&amp;CK framework as a source of additional detection context. Finally, Section 2.10 synthesizes these threads into the core argument: the absence of data sensitivity context within the SIEM creates a visibility gap that adversaries systematically exploit to exfiltrate PII undetected, and that context, </w:t>
      </w:r>
      <w:r>
        <w:rPr>
          <w:rFonts w:ascii="Times New Roman" w:hAnsi="Times New Roman" w:cs="Times New Roman"/>
        </w:rPr>
        <w:lastRenderedPageBreak/>
        <w:t>like threat intelligence, should be embedded directly into the alert lifecycle. It is this gap that this praxis research seeks to address.</w:t>
      </w:r>
    </w:p>
    <w:p w14:paraId="272D5712" w14:textId="77777777" w:rsidR="00832E39" w:rsidRPr="008B19C4" w:rsidRDefault="00832E39" w:rsidP="00D9506A">
      <w:pPr>
        <w:pStyle w:val="Heading2"/>
        <w:spacing w:before="0" w:after="0" w:line="480" w:lineRule="auto"/>
        <w:rPr>
          <w:rFonts w:cs="Times New Roman"/>
          <w:szCs w:val="28"/>
        </w:rPr>
      </w:pPr>
      <w:bookmarkStart w:id="20" w:name="_Toc236431623"/>
      <w:r>
        <w:rPr>
          <w:rFonts w:cs="Times New Roman"/>
          <w:szCs w:val="28"/>
        </w:rPr>
        <w:t>2.2 Identity Theft and Financial Fraud</w:t>
      </w:r>
      <w:bookmarkEnd w:id="20"/>
    </w:p>
    <w:p w14:paraId="117213E6" w14:textId="77777777" w:rsidR="00167209" w:rsidRPr="009B4403" w:rsidRDefault="00167209" w:rsidP="009B4403">
      <w:pPr>
        <w:tabs>
          <w:tab w:val="left" w:pos="450"/>
        </w:tabs>
        <w:spacing w:line="480" w:lineRule="auto"/>
        <w:ind w:firstLine="540"/>
        <w:rPr>
          <w:rFonts w:ascii="Times New Roman" w:hAnsi="Times New Roman" w:cs="Times New Roman"/>
        </w:rPr>
      </w:pPr>
      <w:r>
        <w:rPr>
          <w:rFonts w:ascii="Times New Roman" w:hAnsi="Times New Roman" w:cs="Times New Roman"/>
        </w:rPr>
        <w:t xml:space="preserve">Identity theft, broadly defined as the unauthorized acquisition and use of another individual's PII to perpetrate fraud, represents one of the most prevalent and financially damaging categories of cybercrime targeting the financial sector (Caporal, 2026). </w:t>
      </w:r>
      <w:r w:rsidRPr="009B4403">
        <w:rPr>
          <w:rFonts w:ascii="Times New Roman" w:hAnsi="Times New Roman" w:cs="Times New Roman"/>
        </w:rPr>
        <w:t>The scope of identity theft certainly extends well beyond credit card misuse or stealing of funds. Stolen identities are even leveraged to file fraudulent tax returns, obtain government benefits, access medical services under a victim's insurance, and even secure employment using another person's credentials. In the financial sector, the consequences are particularly severe because stolen PII can be combined with account credentials, enabling threat actors to also take over existing accounts, apply for new lines of credit, arrange wire transfers, or launder funds through a victim's established banking relationships. The financial industry's reliance on trusted identity verification makes it a high-value target: a single verified identity package, commonly referred to as a "</w:t>
      </w:r>
      <w:proofErr w:type="spellStart"/>
      <w:r w:rsidRPr="009B4403">
        <w:rPr>
          <w:rFonts w:ascii="Times New Roman" w:hAnsi="Times New Roman" w:cs="Times New Roman"/>
        </w:rPr>
        <w:t>fullz</w:t>
      </w:r>
      <w:proofErr w:type="spellEnd"/>
      <w:r w:rsidRPr="009B4403">
        <w:rPr>
          <w:rFonts w:ascii="Times New Roman" w:hAnsi="Times New Roman" w:cs="Times New Roman"/>
        </w:rPr>
        <w:t xml:space="preserve">" in criminal marketplaces, can fetch hundreds of dollars and be used to perpetrate cascading fraud across multiple institutions. An example of </w:t>
      </w:r>
      <w:proofErr w:type="spellStart"/>
      <w:r w:rsidRPr="009B4403">
        <w:rPr>
          <w:rFonts w:ascii="Times New Roman" w:hAnsi="Times New Roman" w:cs="Times New Roman"/>
        </w:rPr>
        <w:t>fullz</w:t>
      </w:r>
      <w:proofErr w:type="spellEnd"/>
      <w:r w:rsidRPr="009B4403">
        <w:rPr>
          <w:rFonts w:ascii="Times New Roman" w:hAnsi="Times New Roman" w:cs="Times New Roman"/>
        </w:rPr>
        <w:t xml:space="preserve"> data and an example of a marketplace is in Figure 2.1.</w:t>
      </w:r>
    </w:p>
    <w:p w14:paraId="60722788" w14:textId="77777777" w:rsidR="00E32803" w:rsidRDefault="00E32803" w:rsidP="005F2C81">
      <w:pPr>
        <w:tabs>
          <w:tab w:val="left" w:pos="90"/>
          <w:tab w:val="left" w:pos="450"/>
        </w:tabs>
        <w:spacing w:after="200" w:line="480" w:lineRule="auto"/>
        <w:ind w:left="360"/>
        <w:rPr>
          <w:rFonts w:ascii="Times New Roman" w:hAnsi="Times New Roman" w:cs="Times New Roman"/>
        </w:rPr>
      </w:pPr>
      <w:r>
        <w:rPr>
          <w:noProof/>
        </w:rPr>
        <w:lastRenderedPageBreak/>
        <w:drawing>
          <wp:inline distT="0" distB="0" distL="0" distR="0" wp14:anchorId="2FAB1C17" wp14:editId="31301B70">
            <wp:extent cx="5943600" cy="3965575"/>
            <wp:effectExtent l="0" t="0" r="0" b="0"/>
            <wp:docPr id="1845880145" name="Picture 1" descr="Example &quot;fullz&quot; captured directly from the deep web site, Fullz 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quot;fullz&quot; captured directly from the deep web site, Fullz Bu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16638977" w14:textId="77777777" w:rsidR="00E32803" w:rsidRDefault="00E32803" w:rsidP="00D34D52">
      <w:pPr>
        <w:pStyle w:val="Caption"/>
        <w:tabs>
          <w:tab w:val="left" w:pos="90"/>
          <w:tab w:val="left" w:pos="450"/>
        </w:tabs>
        <w:spacing w:after="200" w:line="480" w:lineRule="auto"/>
        <w:ind w:left="360"/>
        <w:jc w:val="center"/>
        <w:rPr>
          <w:rFonts w:cs="Times New Roman"/>
          <w:bCs/>
          <w:iCs/>
          <w:sz w:val="18"/>
          <w:szCs w:val="18"/>
        </w:rPr>
      </w:pPr>
      <w:r>
        <w:rPr>
          <w:rFonts w:cs="Times New Roman"/>
          <w:b/>
          <w:iCs/>
          <w:sz w:val="18"/>
          <w:szCs w:val="18"/>
        </w:rPr>
        <w:t xml:space="preserve">Figure 2.1 </w:t>
      </w:r>
      <w:r>
        <w:rPr>
          <w:rFonts w:cs="Times New Roman"/>
          <w:bCs/>
          <w:iCs/>
          <w:sz w:val="18"/>
          <w:szCs w:val="18"/>
        </w:rPr>
        <w:t>Example "</w:t>
      </w:r>
      <w:proofErr w:type="spellStart"/>
      <w:r>
        <w:rPr>
          <w:rFonts w:cs="Times New Roman"/>
          <w:bCs/>
          <w:iCs/>
          <w:sz w:val="18"/>
          <w:szCs w:val="18"/>
        </w:rPr>
        <w:t>fullz</w:t>
      </w:r>
      <w:proofErr w:type="spellEnd"/>
      <w:r>
        <w:rPr>
          <w:rFonts w:cs="Times New Roman"/>
          <w:bCs/>
          <w:iCs/>
          <w:sz w:val="18"/>
          <w:szCs w:val="18"/>
        </w:rPr>
        <w:t xml:space="preserve">" captured directly from the deep web site, </w:t>
      </w:r>
      <w:proofErr w:type="spellStart"/>
      <w:r>
        <w:rPr>
          <w:rFonts w:cs="Times New Roman"/>
          <w:bCs/>
          <w:iCs/>
          <w:sz w:val="18"/>
          <w:szCs w:val="18"/>
        </w:rPr>
        <w:t>Fullz</w:t>
      </w:r>
      <w:proofErr w:type="spellEnd"/>
      <w:r>
        <w:rPr>
          <w:rFonts w:cs="Times New Roman"/>
          <w:bCs/>
          <w:iCs/>
          <w:sz w:val="18"/>
          <w:szCs w:val="18"/>
        </w:rPr>
        <w:t xml:space="preserve"> Buy.</w:t>
      </w:r>
    </w:p>
    <w:p w14:paraId="039D53C8" w14:textId="77777777" w:rsidR="00E32803" w:rsidRPr="00E32803" w:rsidRDefault="00E32803" w:rsidP="00E32803">
      <w:pPr>
        <w:tabs>
          <w:tab w:val="left" w:pos="90"/>
          <w:tab w:val="left" w:pos="450"/>
        </w:tabs>
        <w:spacing w:after="200" w:line="480" w:lineRule="auto"/>
        <w:ind w:left="360"/>
        <w:jc w:val="center"/>
        <w:rPr>
          <w:rFonts w:ascii="Times New Roman" w:hAnsi="Times New Roman" w:cs="Times New Roman"/>
          <w:bCs/>
          <w:iCs/>
          <w:sz w:val="18"/>
          <w:szCs w:val="18"/>
        </w:rPr>
      </w:pPr>
    </w:p>
    <w:p w14:paraId="45A3BFF3" w14:textId="77777777" w:rsidR="00093EFD" w:rsidRDefault="00EE5423" w:rsidP="009B4403">
      <w:pPr>
        <w:tabs>
          <w:tab w:val="left" w:pos="450"/>
        </w:tabs>
        <w:spacing w:after="200" w:line="480" w:lineRule="auto"/>
        <w:ind w:firstLine="540"/>
        <w:rPr>
          <w:rFonts w:ascii="Times New Roman" w:hAnsi="Times New Roman" w:cs="Times New Roman"/>
        </w:rPr>
      </w:pPr>
      <w:r>
        <w:rPr>
          <w:rFonts w:ascii="Times New Roman" w:hAnsi="Times New Roman" w:cs="Times New Roman"/>
        </w:rPr>
        <w:t xml:space="preserve">Literature that reviews criminal activity provides an empirical foundation for understanding why financial PII commands this value. In one of the earliest systematic studies of stolen data markets, Holt and Lampke (2010) analyzed threads from web forums where stolen financial information was bought and sold and found a functioning market economy in which prices varied with the quality and freshness of the underlying accounts and in which seller reputation mechanisms mirrored those of legitimate e-commerce. Hutchings and Holt (2015) extended this work through a crime script analysis of 13 English- and Russian-speaking stolen data forums, demonstrating that the market constitutes a complete criminal supply chain: the tools used to steal data, the stolen data itself, and "cashing out" services such as drops and money laundering </w:t>
      </w:r>
      <w:r>
        <w:rPr>
          <w:rFonts w:ascii="Times New Roman" w:hAnsi="Times New Roman" w:cs="Times New Roman"/>
        </w:rPr>
        <w:lastRenderedPageBreak/>
        <w:t>that convert records into profit. Anderson et al. (2013) estimated the aggregate economic impact of this underground economy in the billions of dollars. Taken together, these studies establish that stolen financial PII is a mature, liquid commodity, which explains why threat actors persistently prioritize it over other data types and why its theft has proven so resistant to deterrence.</w:t>
      </w:r>
    </w:p>
    <w:p w14:paraId="3607B222" w14:textId="77777777" w:rsidR="00167209" w:rsidRDefault="00167209" w:rsidP="009B4403">
      <w:pPr>
        <w:tabs>
          <w:tab w:val="left" w:pos="450"/>
        </w:tabs>
        <w:spacing w:after="200" w:line="480" w:lineRule="auto"/>
        <w:ind w:firstLine="540"/>
        <w:rPr>
          <w:rFonts w:ascii="Times New Roman" w:hAnsi="Times New Roman" w:cs="Times New Roman"/>
        </w:rPr>
      </w:pPr>
      <w:r>
        <w:rPr>
          <w:rFonts w:ascii="Times New Roman" w:hAnsi="Times New Roman" w:cs="Times New Roman"/>
        </w:rPr>
        <w:t>The scale of PII exposure in financial breaches is documented from various sources with increasing precision. An analysis by Lab1 (2025) of more than 141 million leaked files across approximately 1,300 breached datasets found that sensitive financial documents appeared in nearly every incident examined, comprising 41% of all exposed files. Bank statements, a direct enabler of identity fraud, appeared in 49% of incidents, and International Bank Account Numbers (IBANs), exploitable for mandate fraud and payment redirection, were present in 36% of breached datasets. As shown in Figure 2.2, these figures underscore both the pervasiveness of financial PII exposure and the high market value that drives threat actors to prioritize it as a target.</w:t>
      </w:r>
    </w:p>
    <w:p w14:paraId="6049888F" w14:textId="77777777" w:rsidR="00102D39" w:rsidRDefault="00102D39" w:rsidP="00167209">
      <w:pPr>
        <w:tabs>
          <w:tab w:val="left" w:pos="450"/>
        </w:tabs>
        <w:spacing w:after="200" w:line="480" w:lineRule="auto"/>
        <w:ind w:left="360"/>
        <w:rPr>
          <w:rFonts w:ascii="Times New Roman" w:hAnsi="Times New Roman" w:cs="Times New Roman"/>
        </w:rPr>
      </w:pPr>
      <w:r>
        <w:rPr>
          <w:rFonts w:ascii="Times New Roman" w:hAnsi="Times New Roman" w:cs="Times New Roman"/>
          <w:noProof/>
        </w:rPr>
        <w:drawing>
          <wp:inline distT="0" distB="0" distL="0" distR="0" wp14:anchorId="0F573A16" wp14:editId="082808C4">
            <wp:extent cx="5943600" cy="2080895"/>
            <wp:effectExtent l="0" t="0" r="0" b="0"/>
            <wp:docPr id="31907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70535" name=""/>
                    <pic:cNvPicPr/>
                  </pic:nvPicPr>
                  <pic:blipFill>
                    <a:blip r:embed="rId16"/>
                    <a:stretch>
                      <a:fillRect/>
                    </a:stretch>
                  </pic:blipFill>
                  <pic:spPr>
                    <a:xfrm>
                      <a:off x="0" y="0"/>
                      <a:ext cx="5943600" cy="2080895"/>
                    </a:xfrm>
                    <a:prstGeom prst="rect">
                      <a:avLst/>
                    </a:prstGeom>
                  </pic:spPr>
                </pic:pic>
              </a:graphicData>
            </a:graphic>
          </wp:inline>
        </w:drawing>
      </w:r>
    </w:p>
    <w:p w14:paraId="0008B75C" w14:textId="77777777" w:rsidR="00102D39" w:rsidRDefault="00102D39" w:rsidP="00D34D52">
      <w:pPr>
        <w:pStyle w:val="Caption"/>
        <w:tabs>
          <w:tab w:val="left" w:pos="90"/>
          <w:tab w:val="left" w:pos="450"/>
        </w:tabs>
        <w:spacing w:after="200" w:line="480" w:lineRule="auto"/>
        <w:ind w:left="360"/>
        <w:jc w:val="center"/>
        <w:rPr>
          <w:rFonts w:cs="Times New Roman"/>
          <w:bCs/>
          <w:iCs/>
          <w:sz w:val="18"/>
          <w:szCs w:val="18"/>
        </w:rPr>
      </w:pPr>
      <w:r>
        <w:rPr>
          <w:rFonts w:cs="Times New Roman"/>
          <w:b/>
          <w:iCs/>
          <w:sz w:val="18"/>
          <w:szCs w:val="18"/>
        </w:rPr>
        <w:t xml:space="preserve">Figure 2.2 </w:t>
      </w:r>
      <w:r>
        <w:rPr>
          <w:rFonts w:cs="Times New Roman"/>
          <w:bCs/>
          <w:iCs/>
          <w:sz w:val="18"/>
          <w:szCs w:val="18"/>
        </w:rPr>
        <w:t>Lab1's research study shows the dangerous financial data and file exposure in cyber security incidents</w:t>
      </w:r>
    </w:p>
    <w:p w14:paraId="32B3524B" w14:textId="77777777" w:rsidR="009B4403" w:rsidRPr="009B4403" w:rsidRDefault="009B4403" w:rsidP="009B4403"/>
    <w:p w14:paraId="696EFCFE" w14:textId="77777777" w:rsidR="00167209" w:rsidRDefault="00167209" w:rsidP="009B4403">
      <w:pPr>
        <w:tabs>
          <w:tab w:val="left" w:pos="450"/>
        </w:tabs>
        <w:spacing w:after="0" w:line="480" w:lineRule="auto"/>
        <w:ind w:firstLine="540"/>
        <w:rPr>
          <w:rFonts w:ascii="Times New Roman" w:eastAsia="Arial" w:hAnsi="Times New Roman" w:cs="Times New Roman"/>
        </w:rPr>
      </w:pPr>
      <w:r>
        <w:rPr>
          <w:rFonts w:ascii="Times New Roman" w:hAnsi="Times New Roman" w:cs="Times New Roman"/>
        </w:rPr>
        <w:lastRenderedPageBreak/>
        <w:t>Among the various forms of financial fraud enabled by PII theft, credit card fraud remains the most frequently reported. The FTC recorded approximately 503,450 credit card fraud cases in the first three quarters of 2025 alone (Caporal, 2026). This is an increase of nearly 180,000 cases over the same period in the prior year, reflecting an accelerating trend that underscores the urgency of improved detection frameworks (Caporal, 2026).</w:t>
      </w:r>
    </w:p>
    <w:p w14:paraId="61EC7B6F" w14:textId="77777777" w:rsidR="00093EFD" w:rsidRDefault="00000000" w:rsidP="009B4403">
      <w:pPr>
        <w:tabs>
          <w:tab w:val="left" w:pos="450"/>
        </w:tabs>
        <w:spacing w:after="200" w:line="480" w:lineRule="auto"/>
        <w:ind w:firstLine="540"/>
        <w:rPr>
          <w:rFonts w:ascii="Times New Roman" w:hAnsi="Times New Roman" w:cs="Times New Roman"/>
        </w:rPr>
      </w:pPr>
      <w:r>
        <w:rPr>
          <w:rFonts w:ascii="Times New Roman" w:hAnsi="Times New Roman" w:cs="Times New Roman"/>
        </w:rPr>
        <w:t xml:space="preserve">While this body of research thoroughly documents the scale, market value, and consumer consequences of financial PII theft, its focus is largely on the criminal economy and on victim impact after data has already been stolen. Far less attention has been paid to how this knowledge could be operationalized defensively, for example, by using the known monetization value of specific data types to inform how a SOC prioritizes the alerts that involve them. The significance of that omission is underscored by IBM Security and </w:t>
      </w:r>
      <w:proofErr w:type="spellStart"/>
      <w:r>
        <w:rPr>
          <w:rFonts w:ascii="Times New Roman" w:hAnsi="Times New Roman" w:cs="Times New Roman"/>
        </w:rPr>
        <w:t>Ponemon</w:t>
      </w:r>
      <w:proofErr w:type="spellEnd"/>
      <w:r>
        <w:rPr>
          <w:rFonts w:ascii="Times New Roman" w:hAnsi="Times New Roman" w:cs="Times New Roman"/>
        </w:rPr>
        <w:t xml:space="preserve"> Institute's (2025) finding that customer PII was the most frequently compromised data type, present in 53% of the breaches studied. In other words, the data type that the literature shows attackers most consistently pursue is precisely the data type for which detection workflows lack dedicated context, and it is this disconnect that the present research is designed to address.</w:t>
      </w:r>
    </w:p>
    <w:p w14:paraId="13E63959" w14:textId="77777777" w:rsidR="00A25DEE" w:rsidRPr="00650D93" w:rsidRDefault="00650D93" w:rsidP="00D9506A">
      <w:pPr>
        <w:pStyle w:val="Heading2"/>
        <w:spacing w:before="0" w:after="0" w:line="480" w:lineRule="auto"/>
      </w:pPr>
      <w:bookmarkStart w:id="21" w:name="_Toc236431624"/>
      <w:r>
        <w:t>2.3 Common Attack Vectors Used by Threat Actors</w:t>
      </w:r>
      <w:bookmarkEnd w:id="21"/>
    </w:p>
    <w:p w14:paraId="0232B8AB" w14:textId="5FBACDE8" w:rsidR="00A25DEE" w:rsidRDefault="00A25DEE" w:rsidP="009B4403">
      <w:pPr>
        <w:spacing w:after="0" w:line="480" w:lineRule="auto"/>
        <w:ind w:firstLine="540"/>
        <w:rPr>
          <w:rFonts w:ascii="Times New Roman" w:eastAsia="Arial" w:hAnsi="Times New Roman" w:cs="Times New Roman"/>
        </w:rPr>
      </w:pPr>
      <w:r>
        <w:rPr>
          <w:rFonts w:ascii="Times New Roman" w:eastAsia="Arial" w:hAnsi="Times New Roman" w:cs="Times New Roman"/>
        </w:rPr>
        <w:t>When it comes to cybersecurity attacks and identity theft for financial fraud that involves stealing PII, across different literature and analysis, it is clear that threat actors primarily use phishing, malware, or data breaches to drain accounts, open new fraudulent credit lines, or commit tax fraud (</w:t>
      </w:r>
      <w:r w:rsidR="00F56F7C">
        <w:rPr>
          <w:rFonts w:ascii="Times New Roman" w:eastAsia="Arial" w:hAnsi="Times New Roman" w:cs="Times New Roman"/>
        </w:rPr>
        <w:t xml:space="preserve">U.S. </w:t>
      </w:r>
      <w:r>
        <w:rPr>
          <w:rFonts w:ascii="Times New Roman" w:eastAsia="Arial" w:hAnsi="Times New Roman" w:cs="Times New Roman"/>
        </w:rPr>
        <w:t>Federal Bureau of Investigation [FBI], 2025).</w:t>
      </w:r>
    </w:p>
    <w:p w14:paraId="6EE32779" w14:textId="77777777" w:rsidR="00093EFD" w:rsidRDefault="00000000" w:rsidP="009B4403">
      <w:pPr>
        <w:tabs>
          <w:tab w:val="left" w:pos="450"/>
        </w:tabs>
        <w:spacing w:after="200" w:line="480" w:lineRule="auto"/>
        <w:ind w:firstLine="540"/>
        <w:rPr>
          <w:rFonts w:ascii="Times New Roman" w:hAnsi="Times New Roman" w:cs="Times New Roman"/>
        </w:rPr>
      </w:pPr>
      <w:r>
        <w:rPr>
          <w:rFonts w:ascii="Times New Roman" w:hAnsi="Times New Roman" w:cs="Times New Roman"/>
        </w:rPr>
        <w:t xml:space="preserve">Large annual industry datasets corroborate this characterization and provide an empirical baseline for the attack vectors reviewed in this section. Verizon's (2025) Data Breach Investigations Report, which analyzed more than 22,000 incidents including over 12,000 </w:t>
      </w:r>
      <w:r>
        <w:rPr>
          <w:rFonts w:ascii="Times New Roman" w:hAnsi="Times New Roman" w:cs="Times New Roman"/>
        </w:rPr>
        <w:lastRenderedPageBreak/>
        <w:t>confirmed breaches, found that credential abuse (22%) and the exploitation of vulnerabilities (20%) were the leading initial access vectors, that the human element was present in roughly 60% of breaches, and that ransomware appeared in 44% of breaches. Mandiant (2025), drawing on its global incident response caseload, similarly identified exploits (33%) and stolen credentials (16%) as the most common initial infection vectors and reported that the financial sector was the single most targeted industry, accounting for more than 17% of its investigations. The convergence of these independent datasets supports the conclusion that PII-focused attacks are multi-stage campaigns that nonetheless begin with a small, well-understood set of entry techniques, each of which is examined below.</w:t>
      </w:r>
    </w:p>
    <w:p w14:paraId="1B6E455F" w14:textId="77777777" w:rsidR="00D9506A" w:rsidRPr="00A25DEE" w:rsidRDefault="00D9506A" w:rsidP="00D9506A">
      <w:pPr>
        <w:spacing w:after="0" w:line="480" w:lineRule="auto"/>
        <w:ind w:left="360"/>
        <w:rPr>
          <w:rFonts w:ascii="Times New Roman" w:hAnsi="Times New Roman" w:cs="Times New Roman"/>
        </w:rPr>
      </w:pPr>
    </w:p>
    <w:p w14:paraId="70681404" w14:textId="77777777" w:rsidR="00A25DEE" w:rsidRPr="00A25DEE" w:rsidRDefault="00650D93" w:rsidP="00C16C5F">
      <w:pPr>
        <w:pStyle w:val="Heading3"/>
        <w:numPr>
          <w:ilvl w:val="0"/>
          <w:numId w:val="0"/>
        </w:numPr>
        <w:spacing w:after="0" w:line="480" w:lineRule="auto"/>
        <w:ind w:left="450"/>
        <w:rPr>
          <w:rFonts w:cs="Times New Roman"/>
        </w:rPr>
      </w:pPr>
      <w:bookmarkStart w:id="22" w:name="_Toc236431625"/>
      <w:r>
        <w:rPr>
          <w:rFonts w:eastAsia="Arial" w:cs="Times New Roman"/>
          <w:sz w:val="26"/>
          <w:szCs w:val="26"/>
        </w:rPr>
        <w:t>2.3.1 Phishing and Social Engineering</w:t>
      </w:r>
      <w:bookmarkEnd w:id="22"/>
    </w:p>
    <w:p w14:paraId="63D4DABB" w14:textId="77777777" w:rsidR="00A25DEE" w:rsidRPr="00A25DEE" w:rsidRDefault="00A25DEE" w:rsidP="00741681">
      <w:pPr>
        <w:spacing w:after="200" w:line="480" w:lineRule="auto"/>
        <w:ind w:left="540" w:firstLine="360"/>
        <w:rPr>
          <w:rFonts w:ascii="Times New Roman" w:hAnsi="Times New Roman" w:cs="Times New Roman"/>
        </w:rPr>
      </w:pPr>
      <w:r>
        <w:rPr>
          <w:rFonts w:ascii="Times New Roman" w:eastAsia="Arial" w:hAnsi="Times New Roman" w:cs="Times New Roman"/>
        </w:rPr>
        <w:t xml:space="preserve">Phishing remains one of the most prevalent and cost-effective methods for harvesting PII on a large-scale basis. The research on phishing shows a </w:t>
      </w:r>
      <w:proofErr w:type="gramStart"/>
      <w:r>
        <w:rPr>
          <w:rFonts w:ascii="Times New Roman" w:eastAsia="Arial" w:hAnsi="Times New Roman" w:cs="Times New Roman"/>
        </w:rPr>
        <w:t>fairly standard</w:t>
      </w:r>
      <w:proofErr w:type="gramEnd"/>
      <w:r>
        <w:rPr>
          <w:rFonts w:ascii="Times New Roman" w:eastAsia="Arial" w:hAnsi="Times New Roman" w:cs="Times New Roman"/>
        </w:rPr>
        <w:t xml:space="preserve"> pattern that leads to a successful data breach. To start, threat actors send deceptive emails that impersonate trusted brands, such as banks, payment processors, tax authorities, or healthcare providers, all to lure victims into providing login credentials, Social Security numbers, or financial account details. Spear phishing elevates this technique by tailoring messages to specific individuals using publicly available information gathered from social media, LinkedIn, or prior breach data, dramatically increasing the likelihood of success.</w:t>
      </w:r>
    </w:p>
    <w:p w14:paraId="77D82CBE" w14:textId="3A8FFEFC" w:rsidR="00A25DEE"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 xml:space="preserve">Vishing (voice phishing) and smishing (SMS phishing) extend the same deception to phone calls and text messages respectively, often targeting elderly individuals or employees who may be less familiar with these attack formats. Business Email Compromise (BEC), a sophisticated form of social engineering, involves compromising or spoofing executive </w:t>
      </w:r>
      <w:r>
        <w:rPr>
          <w:rFonts w:ascii="Times New Roman" w:eastAsia="Arial" w:hAnsi="Times New Roman" w:cs="Times New Roman"/>
        </w:rPr>
        <w:lastRenderedPageBreak/>
        <w:t>email accounts to authorize fraudulent wire transfers or redirect payroll deposits, costing U.S. businesses billions of dollars annually. Research from the FBI's Internet Crime Complaint Center (IC3) consistently ranks BEC among the top financial cybercrime categories by total losses (</w:t>
      </w:r>
      <w:r w:rsidR="00F56F7C">
        <w:rPr>
          <w:rFonts w:ascii="Times New Roman" w:eastAsia="Arial" w:hAnsi="Times New Roman" w:cs="Times New Roman"/>
        </w:rPr>
        <w:t xml:space="preserve">U.S. </w:t>
      </w:r>
      <w:r>
        <w:rPr>
          <w:rFonts w:ascii="Times New Roman" w:eastAsia="Arial" w:hAnsi="Times New Roman" w:cs="Times New Roman"/>
        </w:rPr>
        <w:t>Federal Bureau of Investigation, 2025).</w:t>
      </w:r>
    </w:p>
    <w:p w14:paraId="3B397C0B" w14:textId="77777777" w:rsidR="00D9506A" w:rsidRPr="00A25DEE" w:rsidRDefault="00D9506A" w:rsidP="00D9506A">
      <w:pPr>
        <w:tabs>
          <w:tab w:val="left" w:pos="450"/>
          <w:tab w:val="left" w:pos="540"/>
        </w:tabs>
        <w:spacing w:after="0" w:line="480" w:lineRule="auto"/>
        <w:ind w:left="540"/>
        <w:rPr>
          <w:rFonts w:ascii="Times New Roman" w:hAnsi="Times New Roman" w:cs="Times New Roman"/>
        </w:rPr>
      </w:pPr>
    </w:p>
    <w:p w14:paraId="27589820" w14:textId="77777777" w:rsidR="00A25DEE" w:rsidRPr="00A25DEE" w:rsidRDefault="00650D93" w:rsidP="00C16C5F">
      <w:pPr>
        <w:pStyle w:val="Heading3"/>
        <w:numPr>
          <w:ilvl w:val="0"/>
          <w:numId w:val="0"/>
        </w:numPr>
        <w:spacing w:after="0" w:line="480" w:lineRule="auto"/>
        <w:ind w:left="450"/>
      </w:pPr>
      <w:bookmarkStart w:id="23" w:name="_Toc236431626"/>
      <w:r>
        <w:t>2.3.2 Malware and Credential Theft</w:t>
      </w:r>
      <w:bookmarkEnd w:id="23"/>
    </w:p>
    <w:p w14:paraId="0CD0CD35" w14:textId="77777777" w:rsidR="00A25DEE" w:rsidRPr="00741681"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Malware deployed against individuals and financial organizations takes many forms, each optimized for a specific stage of the attack lifecycle. Keyloggers silently record every keystroke on an infected device, capturing usernames, passwords, PINs, and answers to security questions. Infostealers, a class of malware, automatically harvest saved browser credentials, session cookies, autofill data, and cryptocurrency wallet files before exfiltrating the collected data to attacker-controlled infrastructure. These tools are widely available through Malware-as-a-Service (</w:t>
      </w:r>
      <w:proofErr w:type="spellStart"/>
      <w:r>
        <w:rPr>
          <w:rFonts w:ascii="Times New Roman" w:eastAsia="Arial" w:hAnsi="Times New Roman" w:cs="Times New Roman"/>
        </w:rPr>
        <w:t>MaaS</w:t>
      </w:r>
      <w:proofErr w:type="spellEnd"/>
      <w:r>
        <w:rPr>
          <w:rFonts w:ascii="Times New Roman" w:eastAsia="Arial" w:hAnsi="Times New Roman" w:cs="Times New Roman"/>
        </w:rPr>
        <w:t>) platforms on dark web forums, lowering the technical barrier for entry-level cybercriminals.</w:t>
      </w:r>
    </w:p>
    <w:p w14:paraId="415D2BF7" w14:textId="010987F3" w:rsidR="00A25DEE"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 xml:space="preserve">Banking trojans such as </w:t>
      </w:r>
      <w:proofErr w:type="spellStart"/>
      <w:r>
        <w:rPr>
          <w:rFonts w:ascii="Times New Roman" w:eastAsia="Arial" w:hAnsi="Times New Roman" w:cs="Times New Roman"/>
        </w:rPr>
        <w:t>Emotet</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TrickBot</w:t>
      </w:r>
      <w:proofErr w:type="spellEnd"/>
      <w:r>
        <w:rPr>
          <w:rFonts w:ascii="Times New Roman" w:eastAsia="Arial" w:hAnsi="Times New Roman" w:cs="Times New Roman"/>
        </w:rPr>
        <w:t xml:space="preserve">, and </w:t>
      </w:r>
      <w:proofErr w:type="spellStart"/>
      <w:r>
        <w:rPr>
          <w:rFonts w:ascii="Times New Roman" w:eastAsia="Arial" w:hAnsi="Times New Roman" w:cs="Times New Roman"/>
        </w:rPr>
        <w:t>Dridex</w:t>
      </w:r>
      <w:proofErr w:type="spellEnd"/>
      <w:r>
        <w:rPr>
          <w:rFonts w:ascii="Times New Roman" w:eastAsia="Arial" w:hAnsi="Times New Roman" w:cs="Times New Roman"/>
        </w:rPr>
        <w:t xml:space="preserve"> represent a more sophisticated category of financial malware. These threats are designed specifically to intercept online banking sessions, inject fraudulent web content into legitimate bank portals, and redirect transactions without triggering visible alerts to the victim. Once installed, they can also function as loaders</w:t>
      </w:r>
      <w:r w:rsidR="002105AD">
        <w:rPr>
          <w:rFonts w:ascii="Times New Roman" w:eastAsia="Arial" w:hAnsi="Times New Roman" w:cs="Times New Roman"/>
        </w:rPr>
        <w:t xml:space="preserve"> by </w:t>
      </w:r>
      <w:r>
        <w:rPr>
          <w:rFonts w:ascii="Times New Roman" w:eastAsia="Arial" w:hAnsi="Times New Roman" w:cs="Times New Roman"/>
        </w:rPr>
        <w:t>deploying additional payloads such as ransomware or remote access tools (RATs)</w:t>
      </w:r>
      <w:r w:rsidR="002105AD">
        <w:rPr>
          <w:rFonts w:ascii="Times New Roman" w:eastAsia="Arial" w:hAnsi="Times New Roman" w:cs="Times New Roman"/>
        </w:rPr>
        <w:t xml:space="preserve"> and </w:t>
      </w:r>
      <w:r>
        <w:rPr>
          <w:rFonts w:ascii="Times New Roman" w:eastAsia="Arial" w:hAnsi="Times New Roman" w:cs="Times New Roman"/>
        </w:rPr>
        <w:t>enabling threat actors to pivot from credential theft to full network compromise.</w:t>
      </w:r>
    </w:p>
    <w:p w14:paraId="2E6C8809" w14:textId="77777777" w:rsidR="00D9506A" w:rsidRDefault="00D9506A" w:rsidP="00D9506A">
      <w:pPr>
        <w:tabs>
          <w:tab w:val="left" w:pos="90"/>
        </w:tabs>
        <w:spacing w:after="0" w:line="480" w:lineRule="auto"/>
        <w:ind w:left="540"/>
        <w:rPr>
          <w:rFonts w:ascii="Times New Roman" w:hAnsi="Times New Roman" w:cs="Times New Roman"/>
        </w:rPr>
      </w:pPr>
    </w:p>
    <w:p w14:paraId="14AB8AED" w14:textId="77777777" w:rsidR="00C16C5F" w:rsidRPr="00A25DEE" w:rsidRDefault="00C16C5F" w:rsidP="00D9506A">
      <w:pPr>
        <w:tabs>
          <w:tab w:val="left" w:pos="90"/>
        </w:tabs>
        <w:spacing w:after="0" w:line="480" w:lineRule="auto"/>
        <w:ind w:left="540"/>
        <w:rPr>
          <w:rFonts w:ascii="Times New Roman" w:hAnsi="Times New Roman" w:cs="Times New Roman"/>
        </w:rPr>
      </w:pPr>
    </w:p>
    <w:p w14:paraId="13FD6EC8" w14:textId="77777777" w:rsidR="00A25DEE" w:rsidRPr="00C35046" w:rsidRDefault="00C35046" w:rsidP="00C35046">
      <w:pPr>
        <w:pStyle w:val="Heading3"/>
        <w:numPr>
          <w:ilvl w:val="0"/>
          <w:numId w:val="0"/>
        </w:numPr>
        <w:spacing w:after="0" w:line="480" w:lineRule="auto"/>
        <w:ind w:left="450"/>
        <w:rPr>
          <w:rFonts w:cs="Times New Roman"/>
          <w:szCs w:val="28"/>
        </w:rPr>
      </w:pPr>
      <w:bookmarkStart w:id="24" w:name="_Toc236431627"/>
      <w:r>
        <w:rPr>
          <w:rFonts w:cs="Times New Roman"/>
          <w:szCs w:val="28"/>
        </w:rPr>
        <w:t>2.3.3 Data Breaches and Large-Scale PII Exfiltration</w:t>
      </w:r>
      <w:bookmarkEnd w:id="24"/>
    </w:p>
    <w:p w14:paraId="7C8FA979" w14:textId="77777777" w:rsidR="00A25DEE" w:rsidRPr="00741681"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Large-scale data breaches represent the most impactful avenue for mass PII acquisition. Research and analysis of well-known large-scale attacks shows that threat actors targeting financial institutions, healthcare systems, and government databases can exfiltrate millions of records in a single operation, providing rich datasets that combine names, addresses, dates of birth, Social Security numbers, financial account details, and employment history. This aggregation allows for highly credible identity fraud, since the attacker can answer knowledge-based authentication (KBA) questions with precision.</w:t>
      </w:r>
    </w:p>
    <w:p w14:paraId="2E65775A" w14:textId="77777777" w:rsidR="00A25DEE"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 xml:space="preserve">Initial access to target systems is commonly achieved through exploitation of unpatched software vulnerabilities, compromised third-party vendor credentials, or brute-force attacks against externally exposed services such as Remote Desktop Protocol (RDP) or Virtual Private Network (VPN) gateways. Once inside a network, threat actors move laterally using legitimate administrative tools, a very difficult to detect technique known as "living off the land", to avoid triggering security alerts. Privileged access to databases containing customer PII is then leveraged to exfiltrate data quietly over extended periods. The empirical evidence on detection timelines reinforces how effective this quiet approach remains: IBM Security and </w:t>
      </w:r>
      <w:proofErr w:type="spellStart"/>
      <w:r>
        <w:rPr>
          <w:rFonts w:ascii="Times New Roman" w:eastAsia="Arial" w:hAnsi="Times New Roman" w:cs="Times New Roman"/>
        </w:rPr>
        <w:t>Ponemon</w:t>
      </w:r>
      <w:proofErr w:type="spellEnd"/>
      <w:r>
        <w:rPr>
          <w:rFonts w:ascii="Times New Roman" w:eastAsia="Arial" w:hAnsi="Times New Roman" w:cs="Times New Roman"/>
        </w:rPr>
        <w:t xml:space="preserve"> Institute (2025) reported that the average breach took 241 days to identify and contain, and Mandiant (2025) found that 57% of compromises were first identified by an external party, such as law enforcement or the attackers themselves, rather than by the victim's own security team. Both findings indicate that exfiltration campaigns routinely outlast the defender's detection window.</w:t>
      </w:r>
    </w:p>
    <w:p w14:paraId="05A07CDC" w14:textId="77777777" w:rsidR="00E32803" w:rsidRPr="00A25DEE" w:rsidRDefault="00E32803" w:rsidP="00C16C5F">
      <w:pPr>
        <w:spacing w:after="200" w:line="480" w:lineRule="auto"/>
        <w:ind w:left="630"/>
        <w:rPr>
          <w:rFonts w:ascii="Times New Roman" w:hAnsi="Times New Roman" w:cs="Times New Roman"/>
        </w:rPr>
      </w:pPr>
    </w:p>
    <w:p w14:paraId="78E2AA22" w14:textId="77777777" w:rsidR="00A25DEE" w:rsidRPr="00C35046" w:rsidRDefault="00C35046" w:rsidP="00C35046">
      <w:pPr>
        <w:pStyle w:val="Heading3"/>
        <w:numPr>
          <w:ilvl w:val="0"/>
          <w:numId w:val="0"/>
        </w:numPr>
        <w:spacing w:after="0" w:line="480" w:lineRule="auto"/>
        <w:ind w:left="450"/>
        <w:rPr>
          <w:rFonts w:cs="Times New Roman"/>
          <w:szCs w:val="28"/>
        </w:rPr>
      </w:pPr>
      <w:bookmarkStart w:id="25" w:name="_Toc236431628"/>
      <w:r>
        <w:rPr>
          <w:rFonts w:cs="Times New Roman"/>
          <w:szCs w:val="28"/>
        </w:rPr>
        <w:lastRenderedPageBreak/>
        <w:t>2.3.4 The Evolution of Ransomware: From Encryption to Double and Triple Extortion</w:t>
      </w:r>
      <w:bookmarkEnd w:id="25"/>
    </w:p>
    <w:p w14:paraId="2AA5CC9E" w14:textId="77777777" w:rsidR="00A25DEE" w:rsidRDefault="00D459A1"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 xml:space="preserve">While many associate Ransomware with collecting funds from encrypted data, the reality is that it has undergone a dramatic strategic evolution since the early days of indiscriminate campaigns that simply encrypted files and demanded small Bitcoin payments for decryption keys. Based on several research articles and papers, the next several sections discuss the evolution of ransomware that is relevant to data theft of PII. Ransomware operations are now highly organized, often structured as Ransomware-as-a-Service (RaaS) enterprises with dedicated development teams, affiliate networks, negotiation specialists, and even customer support portals for victims. However, the important change is that most threat actors will start with theft of PII before encryption even occurs. With its high regulatory exposure, operational dependency on continuous data availability, and repositories of sensitive PII, the financial services sector has become a primary target. </w:t>
      </w:r>
    </w:p>
    <w:p w14:paraId="35A7A363" w14:textId="77777777" w:rsidR="00424066" w:rsidRDefault="00EC63D5" w:rsidP="00424066">
      <w:pPr>
        <w:spacing w:after="0" w:line="480" w:lineRule="auto"/>
        <w:ind w:left="540"/>
        <w:rPr>
          <w:rFonts w:ascii="Times New Roman" w:eastAsia="Arial" w:hAnsi="Times New Roman" w:cs="Times New Roman"/>
        </w:rPr>
      </w:pPr>
      <w:r>
        <w:rPr>
          <w:rFonts w:ascii="Times New Roman" w:eastAsia="Arial" w:hAnsi="Times New Roman" w:cs="Times New Roman"/>
          <w:noProof/>
        </w:rPr>
        <w:drawing>
          <wp:inline distT="0" distB="0" distL="0" distR="0" wp14:anchorId="5F910512" wp14:editId="6DE3AE38">
            <wp:extent cx="5730737" cy="2658086"/>
            <wp:effectExtent l="0" t="0" r="3810" b="9525"/>
            <wp:docPr id="1375554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54970" name="Picture 1375554970"/>
                    <pic:cNvPicPr/>
                  </pic:nvPicPr>
                  <pic:blipFill>
                    <a:blip r:embed="rId17">
                      <a:extLst>
                        <a:ext uri="{28A0092B-C50C-407E-A947-70E740481C1C}">
                          <a14:useLocalDpi xmlns:a14="http://schemas.microsoft.com/office/drawing/2010/main" val="0"/>
                        </a:ext>
                      </a:extLst>
                    </a:blip>
                    <a:stretch>
                      <a:fillRect/>
                    </a:stretch>
                  </pic:blipFill>
                  <pic:spPr>
                    <a:xfrm>
                      <a:off x="0" y="0"/>
                      <a:ext cx="5730737" cy="2658086"/>
                    </a:xfrm>
                    <a:prstGeom prst="rect">
                      <a:avLst/>
                    </a:prstGeom>
                  </pic:spPr>
                </pic:pic>
              </a:graphicData>
            </a:graphic>
          </wp:inline>
        </w:drawing>
      </w:r>
    </w:p>
    <w:p w14:paraId="7B33EC92" w14:textId="77777777" w:rsidR="00EC63D5" w:rsidRPr="001341B1" w:rsidRDefault="00EC63D5" w:rsidP="0031504B">
      <w:pPr>
        <w:pStyle w:val="Caption"/>
        <w:tabs>
          <w:tab w:val="left" w:pos="450"/>
        </w:tabs>
        <w:spacing w:after="0" w:line="480" w:lineRule="auto"/>
        <w:ind w:left="360"/>
        <w:jc w:val="center"/>
        <w:rPr>
          <w:rFonts w:cs="Times New Roman"/>
          <w:iCs/>
          <w:sz w:val="18"/>
          <w:szCs w:val="18"/>
        </w:rPr>
      </w:pPr>
      <w:r>
        <w:rPr>
          <w:rFonts w:cs="Times New Roman"/>
          <w:b/>
          <w:iCs/>
          <w:sz w:val="18"/>
          <w:szCs w:val="18"/>
        </w:rPr>
        <w:lastRenderedPageBreak/>
        <w:t xml:space="preserve">Figure 2.3 </w:t>
      </w:r>
      <w:r>
        <w:rPr>
          <w:rFonts w:cs="Times New Roman"/>
          <w:bCs/>
          <w:iCs/>
          <w:sz w:val="18"/>
          <w:szCs w:val="18"/>
        </w:rPr>
        <w:t>Evolution of Ransomware from Encryption to more advanced monetary gains</w:t>
      </w:r>
    </w:p>
    <w:p w14:paraId="1207948E" w14:textId="77777777" w:rsidR="00EC63D5" w:rsidRDefault="00EC63D5" w:rsidP="00424066">
      <w:pPr>
        <w:spacing w:after="0" w:line="480" w:lineRule="auto"/>
        <w:ind w:left="540"/>
        <w:rPr>
          <w:rFonts w:ascii="Times New Roman" w:eastAsia="Arial" w:hAnsi="Times New Roman" w:cs="Times New Roman"/>
        </w:rPr>
      </w:pPr>
    </w:p>
    <w:p w14:paraId="47DAB446" w14:textId="77777777" w:rsidR="00A25DEE" w:rsidRPr="00C35046" w:rsidRDefault="00C35046" w:rsidP="00C35046">
      <w:pPr>
        <w:pStyle w:val="Heading3"/>
        <w:numPr>
          <w:ilvl w:val="0"/>
          <w:numId w:val="0"/>
        </w:numPr>
        <w:spacing w:after="0" w:line="480" w:lineRule="auto"/>
        <w:ind w:left="450"/>
        <w:rPr>
          <w:rFonts w:cs="Times New Roman"/>
          <w:szCs w:val="28"/>
        </w:rPr>
      </w:pPr>
      <w:bookmarkStart w:id="26" w:name="_Toc236431629"/>
      <w:r>
        <w:rPr>
          <w:rFonts w:cs="Times New Roman"/>
          <w:szCs w:val="28"/>
        </w:rPr>
        <w:t>2.3.5 Encryption-Only Ransomware</w:t>
      </w:r>
      <w:bookmarkEnd w:id="26"/>
    </w:p>
    <w:p w14:paraId="2C42AD1C" w14:textId="77777777" w:rsidR="00A25DEE" w:rsidRDefault="00790989"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 xml:space="preserve">As Figure 2.3 shows, ransomware has evolved over time. Early ransomware such as </w:t>
      </w:r>
      <w:proofErr w:type="spellStart"/>
      <w:r>
        <w:rPr>
          <w:rFonts w:ascii="Times New Roman" w:eastAsia="Arial" w:hAnsi="Times New Roman" w:cs="Times New Roman"/>
        </w:rPr>
        <w:t>CryptoLocker</w:t>
      </w:r>
      <w:proofErr w:type="spellEnd"/>
      <w:r>
        <w:rPr>
          <w:rFonts w:ascii="Times New Roman" w:eastAsia="Arial" w:hAnsi="Times New Roman" w:cs="Times New Roman"/>
        </w:rPr>
        <w:t xml:space="preserve"> (2013) and WannaCry (2017) operated on a straightforward model: infect a system, encrypt files, and demand payment for decryption. Victims who maintained current backups could often recover without paying, which drove down ransom conversion rates and forced threat actors to rethink their leverage model. This phase, while financially damaging in aggregate, did not typically involve the deliberate theft and weaponization of sensitive data.</w:t>
      </w:r>
    </w:p>
    <w:p w14:paraId="14F7D02F" w14:textId="77777777" w:rsidR="009F608F" w:rsidRPr="00A25DEE" w:rsidRDefault="009F608F" w:rsidP="009F608F">
      <w:pPr>
        <w:spacing w:after="0" w:line="480" w:lineRule="auto"/>
        <w:ind w:left="450"/>
        <w:rPr>
          <w:rFonts w:ascii="Times New Roman" w:hAnsi="Times New Roman" w:cs="Times New Roman"/>
        </w:rPr>
      </w:pPr>
    </w:p>
    <w:p w14:paraId="01FA59B8" w14:textId="77777777" w:rsidR="00A25DEE" w:rsidRPr="00C35046" w:rsidRDefault="00C35046" w:rsidP="00C35046">
      <w:pPr>
        <w:pStyle w:val="Heading3"/>
        <w:numPr>
          <w:ilvl w:val="0"/>
          <w:numId w:val="0"/>
        </w:numPr>
        <w:spacing w:after="0" w:line="480" w:lineRule="auto"/>
        <w:ind w:left="450"/>
        <w:rPr>
          <w:rFonts w:cs="Times New Roman"/>
          <w:szCs w:val="28"/>
        </w:rPr>
      </w:pPr>
      <w:bookmarkStart w:id="27" w:name="_Toc236431630"/>
      <w:r>
        <w:rPr>
          <w:rFonts w:cs="Times New Roman"/>
          <w:szCs w:val="28"/>
        </w:rPr>
        <w:t>2.3.6 Double Extortion – Steal First, Encrypt Second</w:t>
      </w:r>
      <w:bookmarkEnd w:id="27"/>
    </w:p>
    <w:p w14:paraId="7C50959F" w14:textId="77777777" w:rsidR="00A25DEE" w:rsidRPr="00741681"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The introduction of double extortion, widely attributed to the Maze ransomware group around 2019–2020, fundamentally altered the threat landscape. Rather than moving immediately to encryption, threat actors began conducting extensive reconnaissance within compromised networks to identify and exfiltrate the most sensitive data before deploying the encryption payload. This sequencing is deliberate: by stealing data first, attackers ensure they retain leverage even if the victim restores backups.</w:t>
      </w:r>
    </w:p>
    <w:p w14:paraId="3A88F44B" w14:textId="205127B2" w:rsidR="00AB0164"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 xml:space="preserve">For financial institutions, this pre-encryption exfiltration phase is particularly damaging. Threat actors specifically seek out high-value PII repositories: customer account records, loan applications, know-your-customer (KYC) documentation, Social Security numbers, tax identification records, credit histories, and internal employee HR files. These datasets are especially attractive because they can simultaneously be used to extort the </w:t>
      </w:r>
      <w:r>
        <w:rPr>
          <w:rFonts w:ascii="Times New Roman" w:eastAsia="Arial" w:hAnsi="Times New Roman" w:cs="Times New Roman"/>
        </w:rPr>
        <w:lastRenderedPageBreak/>
        <w:t xml:space="preserve">victimized institution </w:t>
      </w:r>
      <w:r w:rsidR="00EF2F9C">
        <w:rPr>
          <w:rFonts w:ascii="Times New Roman" w:eastAsia="Arial" w:hAnsi="Times New Roman" w:cs="Times New Roman"/>
        </w:rPr>
        <w:t>and the data can be</w:t>
      </w:r>
      <w:r>
        <w:rPr>
          <w:rFonts w:ascii="Times New Roman" w:eastAsia="Arial" w:hAnsi="Times New Roman" w:cs="Times New Roman"/>
        </w:rPr>
        <w:t xml:space="preserve"> monetized independently through sale on dark web marketplaces or deployment in follow-on identity theft campaigns.</w:t>
      </w:r>
    </w:p>
    <w:p w14:paraId="3310B1A5" w14:textId="77777777" w:rsidR="00A25DEE"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 xml:space="preserve">Groups such as </w:t>
      </w:r>
      <w:proofErr w:type="spellStart"/>
      <w:r>
        <w:rPr>
          <w:rFonts w:ascii="Times New Roman" w:eastAsia="Arial" w:hAnsi="Times New Roman" w:cs="Times New Roman"/>
        </w:rPr>
        <w:t>LockBit</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BlackCat</w:t>
      </w:r>
      <w:proofErr w:type="spellEnd"/>
      <w:r>
        <w:rPr>
          <w:rFonts w:ascii="Times New Roman" w:eastAsia="Arial" w:hAnsi="Times New Roman" w:cs="Times New Roman"/>
        </w:rPr>
        <w:t xml:space="preserve"> (ALPHV), Cl0p, and </w:t>
      </w:r>
      <w:proofErr w:type="spellStart"/>
      <w:r>
        <w:rPr>
          <w:rFonts w:ascii="Times New Roman" w:eastAsia="Arial" w:hAnsi="Times New Roman" w:cs="Times New Roman"/>
        </w:rPr>
        <w:t>BlackBasta</w:t>
      </w:r>
      <w:proofErr w:type="spellEnd"/>
      <w:r>
        <w:rPr>
          <w:rFonts w:ascii="Times New Roman" w:eastAsia="Arial" w:hAnsi="Times New Roman" w:cs="Times New Roman"/>
        </w:rPr>
        <w:t xml:space="preserve"> have refined this approach into an industrialized workflow. After gaining initial access, frequently through phishing, </w:t>
      </w:r>
      <w:proofErr w:type="gramStart"/>
      <w:r>
        <w:rPr>
          <w:rFonts w:ascii="Times New Roman" w:eastAsia="Arial" w:hAnsi="Times New Roman" w:cs="Times New Roman"/>
        </w:rPr>
        <w:t>exposed</w:t>
      </w:r>
      <w:proofErr w:type="gramEnd"/>
      <w:r>
        <w:rPr>
          <w:rFonts w:ascii="Times New Roman" w:eastAsia="Arial" w:hAnsi="Times New Roman" w:cs="Times New Roman"/>
        </w:rPr>
        <w:t xml:space="preserve"> RDP, or exploitation of vulnerabilities in internet-facing systems, they deploy tools such as Cobalt Strike, </w:t>
      </w:r>
      <w:proofErr w:type="spellStart"/>
      <w:r>
        <w:rPr>
          <w:rFonts w:ascii="Times New Roman" w:eastAsia="Arial" w:hAnsi="Times New Roman" w:cs="Times New Roman"/>
        </w:rPr>
        <w:t>Rclone</w:t>
      </w:r>
      <w:proofErr w:type="spellEnd"/>
      <w:r>
        <w:rPr>
          <w:rFonts w:ascii="Times New Roman" w:eastAsia="Arial" w:hAnsi="Times New Roman" w:cs="Times New Roman"/>
        </w:rPr>
        <w:t xml:space="preserve">, and </w:t>
      </w:r>
      <w:proofErr w:type="spellStart"/>
      <w:r>
        <w:rPr>
          <w:rFonts w:ascii="Times New Roman" w:eastAsia="Arial" w:hAnsi="Times New Roman" w:cs="Times New Roman"/>
        </w:rPr>
        <w:t>MEGAsync</w:t>
      </w:r>
      <w:proofErr w:type="spellEnd"/>
      <w:r>
        <w:rPr>
          <w:rFonts w:ascii="Times New Roman" w:eastAsia="Arial" w:hAnsi="Times New Roman" w:cs="Times New Roman"/>
        </w:rPr>
        <w:t xml:space="preserve"> to identify and quietly transfer terabytes of sensitive data to attacker-controlled cloud infrastructure over days or weeks. Only once data exfiltration is complete do they trigger the encryption payload, maximizing both disruption and extortion leverage.</w:t>
      </w:r>
    </w:p>
    <w:p w14:paraId="227BDCF6" w14:textId="77777777" w:rsidR="009F608F" w:rsidRPr="00A25DEE" w:rsidRDefault="009F608F" w:rsidP="009F608F">
      <w:pPr>
        <w:tabs>
          <w:tab w:val="left" w:pos="450"/>
          <w:tab w:val="left" w:pos="540"/>
        </w:tabs>
        <w:spacing w:after="0" w:line="480" w:lineRule="auto"/>
        <w:ind w:left="450"/>
        <w:rPr>
          <w:rFonts w:ascii="Times New Roman" w:hAnsi="Times New Roman" w:cs="Times New Roman"/>
        </w:rPr>
      </w:pPr>
    </w:p>
    <w:p w14:paraId="04D890ED" w14:textId="77777777" w:rsidR="00A25DEE" w:rsidRPr="00C35046" w:rsidRDefault="00C35046" w:rsidP="00C35046">
      <w:pPr>
        <w:pStyle w:val="Heading3"/>
        <w:numPr>
          <w:ilvl w:val="0"/>
          <w:numId w:val="0"/>
        </w:numPr>
        <w:spacing w:after="0" w:line="480" w:lineRule="auto"/>
        <w:ind w:left="450"/>
        <w:rPr>
          <w:rFonts w:cs="Times New Roman"/>
          <w:szCs w:val="28"/>
        </w:rPr>
      </w:pPr>
      <w:bookmarkStart w:id="28" w:name="_Toc236431631"/>
      <w:r>
        <w:rPr>
          <w:rFonts w:cs="Times New Roman"/>
          <w:szCs w:val="28"/>
        </w:rPr>
        <w:t>2.3.7 Triple Extortion and Regulatory Weaponization</w:t>
      </w:r>
      <w:bookmarkEnd w:id="28"/>
    </w:p>
    <w:p w14:paraId="033C997C" w14:textId="77777777" w:rsidR="00A25DEE" w:rsidRPr="00741681"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More recently, threat actors have adopted triple extortion tactics that layer additional pressure on top of data theft and encryption. In this model, attackers simultaneously threaten to: (1) publish stolen data publicly on dedicated "leak sites" hosted on the dark web; (2) notify or directly contact the affected institution's customers, partners, or regulators about the breach; and (3) launch distributed denial-of-service (DDoS) attacks against the victim's public-facing infrastructure to compound operational disruption.</w:t>
      </w:r>
    </w:p>
    <w:p w14:paraId="46D8E52A" w14:textId="77777777" w:rsidR="00A25DEE"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 xml:space="preserve">For financial institutions, the regulatory repercussions of this threat can be very severe. A breach involving customer PII triggers mandatory notification requirements under frameworks such as the Gramm-Leach-Bliley Act (GLBA), the New York Department of Financial Services (NYDFS) Cybersecurity Regulation (23 NYCRR 500), and various state-level breach notification laws. Threat actors have begun explicitly threatening to </w:t>
      </w:r>
      <w:r>
        <w:rPr>
          <w:rFonts w:ascii="Times New Roman" w:eastAsia="Arial" w:hAnsi="Times New Roman" w:cs="Times New Roman"/>
        </w:rPr>
        <w:lastRenderedPageBreak/>
        <w:t xml:space="preserve">report victims to regulators if ransoms are not paid, recognizing that the prospect of regulatory fines, reputational damage, and class-action litigation amplifies pressure on victim organizations to comply. The Cl0p group's exploitation of the </w:t>
      </w:r>
      <w:proofErr w:type="spellStart"/>
      <w:r>
        <w:rPr>
          <w:rFonts w:ascii="Times New Roman" w:eastAsia="Arial" w:hAnsi="Times New Roman" w:cs="Times New Roman"/>
        </w:rPr>
        <w:t>MOVEit</w:t>
      </w:r>
      <w:proofErr w:type="spellEnd"/>
      <w:r>
        <w:rPr>
          <w:rFonts w:ascii="Times New Roman" w:eastAsia="Arial" w:hAnsi="Times New Roman" w:cs="Times New Roman"/>
        </w:rPr>
        <w:t xml:space="preserve"> Transfer vulnerability in 2023, which compromised PII held by hundreds of financial institutions, government agencies, and service providers globally, exemplified this approach at unprecedented scale.</w:t>
      </w:r>
    </w:p>
    <w:p w14:paraId="09DC622B" w14:textId="77777777" w:rsidR="009F608F" w:rsidRPr="00A25DEE" w:rsidRDefault="009F608F" w:rsidP="009F608F">
      <w:pPr>
        <w:spacing w:after="0" w:line="480" w:lineRule="auto"/>
        <w:ind w:left="446"/>
        <w:rPr>
          <w:rFonts w:ascii="Times New Roman" w:hAnsi="Times New Roman" w:cs="Times New Roman"/>
        </w:rPr>
      </w:pPr>
    </w:p>
    <w:p w14:paraId="66AEB0EF" w14:textId="77777777" w:rsidR="00A25DEE" w:rsidRPr="00C35046" w:rsidRDefault="00C35046" w:rsidP="00C35046">
      <w:pPr>
        <w:pStyle w:val="Heading3"/>
        <w:numPr>
          <w:ilvl w:val="0"/>
          <w:numId w:val="0"/>
        </w:numPr>
        <w:spacing w:after="0" w:line="480" w:lineRule="auto"/>
        <w:ind w:left="450"/>
        <w:rPr>
          <w:rFonts w:cs="Times New Roman"/>
          <w:szCs w:val="28"/>
        </w:rPr>
      </w:pPr>
      <w:bookmarkStart w:id="29" w:name="_Toc236431632"/>
      <w:r>
        <w:rPr>
          <w:rFonts w:cs="Times New Roman"/>
          <w:szCs w:val="28"/>
        </w:rPr>
        <w:t>2.3.8 Targeting Financial Institutions: Why PII is the Primary Objective</w:t>
      </w:r>
      <w:bookmarkEnd w:id="29"/>
    </w:p>
    <w:p w14:paraId="56C6AC32" w14:textId="77777777" w:rsidR="00A25DEE" w:rsidRPr="00741681" w:rsidRDefault="00BF2E57"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When examining literature that discusses major breaches, what stands out is that financial institutions hold a uniquely rich concentration of PII that makes them disproportionately attractive ransomware targets. For example, unlike retail or healthcare targets, banks and credit unions possess data that is simultaneously personally identifying, financially actionable, and legally regulated, a combination that maximizes both the operational disruption of encryption and the extortion value of exfiltrated records. A single stolen customer record from a financial institution may contain a full name, physical address, date of birth, Social Security number, account numbers, routing numbers, credit score, transaction history, and beneficiary information. This data would easily be sufficient to commit identity fraud across multiple financial products.</w:t>
      </w:r>
    </w:p>
    <w:p w14:paraId="1EC8DF2B" w14:textId="77777777" w:rsidR="00A25DEE" w:rsidRPr="00741681" w:rsidRDefault="00A25DEE" w:rsidP="00741681">
      <w:pPr>
        <w:spacing w:after="200" w:line="480" w:lineRule="auto"/>
        <w:ind w:left="540" w:firstLine="360"/>
        <w:rPr>
          <w:rFonts w:ascii="Times New Roman" w:eastAsia="Arial" w:hAnsi="Times New Roman" w:cs="Times New Roman"/>
        </w:rPr>
      </w:pPr>
      <w:r>
        <w:rPr>
          <w:rFonts w:ascii="Times New Roman" w:eastAsia="Arial" w:hAnsi="Times New Roman" w:cs="Times New Roman"/>
        </w:rPr>
        <w:t xml:space="preserve">The interconnected nature of the financial sector further amplifies risk. Core banking platforms, payment processors, and third-party service providers often share access to customer data across institutional boundaries. A successful ransomware intrusion at a managed service provider (MSP) or financial technology (fintech) vendor can provide lateral access to dozens of downstream financial institutions simultaneously, as </w:t>
      </w:r>
      <w:r>
        <w:rPr>
          <w:rFonts w:ascii="Times New Roman" w:eastAsia="Arial" w:hAnsi="Times New Roman" w:cs="Times New Roman"/>
        </w:rPr>
        <w:lastRenderedPageBreak/>
        <w:t>demonstrated by several high-profile supply chain attacks in recent years. This interconnectedness means that even smaller community banks and credit unions, which may have fewer dedicated cybersecurity resources, can become entry points for attacks targeting much larger financial ecosystems.</w:t>
      </w:r>
    </w:p>
    <w:p w14:paraId="1B2648C5" w14:textId="77777777" w:rsidR="005771C9" w:rsidRPr="00741681" w:rsidRDefault="00F941E8"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A consistent theme that emerges across both academic and industry literature is that detection research has not kept pace with this shift toward data theft. In a systematic review of 212 academic ransomware studies published between 2020 and 2023, McIntosh et al. (2024) found that the majority continued to focus on the file-encryption behavior of early crypto-ransomware, often using samples that predate the data extortion era, and that very few addressed exfiltration-led double extortion at all, leading the authors to call for a realignment of ransomware research with current industry threats. Empirical work supports the urgency of that call: in a forensic analysis of 124 ransomware attacks between 2019 and 2022, Meurs et al. (2022) found traces of data exfiltration in 43% of cases. If both academic detection research and SOC tooling remain oriented toward the encryption event rather than the theft of sensitive data that precedes it, then the exfiltration phase, which is the phase in which PII context would be most diagnostic, remains the least defended. With that gap in mind, the following sections examine the organizational and technological capabilities that financial institutions have developed in response to this threat landscape.</w:t>
      </w:r>
    </w:p>
    <w:p w14:paraId="26C2605F" w14:textId="77777777" w:rsidR="009F608F" w:rsidRPr="00A25DEE" w:rsidRDefault="009F608F" w:rsidP="00934230">
      <w:pPr>
        <w:tabs>
          <w:tab w:val="left" w:pos="720"/>
        </w:tabs>
        <w:spacing w:after="0" w:line="480" w:lineRule="auto"/>
        <w:ind w:left="720"/>
        <w:rPr>
          <w:rFonts w:ascii="Times New Roman" w:hAnsi="Times New Roman" w:cs="Times New Roman"/>
        </w:rPr>
      </w:pPr>
    </w:p>
    <w:p w14:paraId="09F7D5D6" w14:textId="77777777" w:rsidR="00FB0CD3" w:rsidRDefault="00985EA4" w:rsidP="00934230">
      <w:pPr>
        <w:pStyle w:val="Heading2"/>
        <w:spacing w:before="0" w:after="0" w:line="480" w:lineRule="auto"/>
      </w:pPr>
      <w:bookmarkStart w:id="30" w:name="_Toc236431633"/>
      <w:r>
        <w:rPr>
          <w:rFonts w:cs="Times New Roman"/>
        </w:rPr>
        <w:t xml:space="preserve">2.4 Major </w:t>
      </w:r>
      <w:r>
        <w:t>Breaches That Have Targeted PII in Financial Institutions</w:t>
      </w:r>
      <w:bookmarkEnd w:id="30"/>
    </w:p>
    <w:p w14:paraId="03D32480" w14:textId="77777777" w:rsidR="00B84842" w:rsidRPr="00741681" w:rsidRDefault="00896289"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 xml:space="preserve">Financial data breaches represent a significant failure in the "social contract" between institutions and consumers. When PII is compromised, there is certainly potential financial impact to the consumer, there are typically multi-year costs related to remediation, loss of </w:t>
      </w:r>
      <w:r w:rsidRPr="00741681">
        <w:rPr>
          <w:rFonts w:ascii="Times New Roman" w:eastAsia="Arial" w:hAnsi="Times New Roman" w:cs="Times New Roman"/>
        </w:rPr>
        <w:lastRenderedPageBreak/>
        <w:t xml:space="preserve">brand reputation, increased security spending, legal costs and/or government fines. However, there is also a deeper impact on the overall organization in terms of potential layoffs due to unplanned costs that can also be possible (Tran et al., 2024). </w:t>
      </w:r>
    </w:p>
    <w:p w14:paraId="562BE6FD" w14:textId="77777777" w:rsidR="00093EFD" w:rsidRPr="00741681" w:rsidRDefault="00000000"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The financial consequences of breaches have been studied empirically for more than two decades. Early event studies found that breach announcements produce negative abnormal stock returns, with the effect concentrated in incidents involving confidential information (Campbell et al., 2003), and that the magnitude of the market penalty varies with firm and breach characteristics (Cavusoglu et al., 2004). This literature established that breaches involving sensitive personal data are economically distinct from other security incidents, a finding that anticipates the central premise of this study: that data sensitivity should similarly distinguish how security events are prioritized before a breach completes, not only how its damage is measured afterward.</w:t>
      </w:r>
    </w:p>
    <w:p w14:paraId="6D49635B" w14:textId="77777777" w:rsidR="000B2462" w:rsidRPr="00741681" w:rsidRDefault="00C804D0"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I</w:t>
      </w:r>
      <w:r w:rsidR="000B2462" w:rsidRPr="00741681">
        <w:rPr>
          <w:rFonts w:ascii="Times New Roman" w:eastAsia="Arial" w:hAnsi="Times New Roman" w:cs="Times New Roman"/>
        </w:rPr>
        <w:t xml:space="preserve">ndustry benchmarks for the financial sector suggest an average cost of $6.08 million per incident for smaller breaches, but for multi-million record exposures, costs typically scale based on a $168 - $264 per-record cost in the U.S. For example, for just 5 million records, that is in the range of $840M all the way to $1.32B (IBM Security &amp; </w:t>
      </w:r>
      <w:proofErr w:type="spellStart"/>
      <w:r w:rsidR="000B2462" w:rsidRPr="00741681">
        <w:rPr>
          <w:rFonts w:ascii="Times New Roman" w:eastAsia="Arial" w:hAnsi="Times New Roman" w:cs="Times New Roman"/>
        </w:rPr>
        <w:t>Ponemon</w:t>
      </w:r>
      <w:proofErr w:type="spellEnd"/>
      <w:r w:rsidR="000B2462" w:rsidRPr="00741681">
        <w:rPr>
          <w:rFonts w:ascii="Times New Roman" w:eastAsia="Arial" w:hAnsi="Times New Roman" w:cs="Times New Roman"/>
        </w:rPr>
        <w:t xml:space="preserve"> Institute, 2025).</w:t>
      </w:r>
    </w:p>
    <w:p w14:paraId="33758608" w14:textId="6DC25278" w:rsidR="00BA6B17" w:rsidRPr="00741681" w:rsidRDefault="00BA6B17"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 xml:space="preserve">In preparation for focusing on specific attacks that were used, this section reviews some high-profile attacks that successfully targeted financial institutions and, in most cases, had major financial impact that was quantifiable to a degree. </w:t>
      </w:r>
    </w:p>
    <w:p w14:paraId="3EA3B101" w14:textId="77777777" w:rsidR="00050076" w:rsidRPr="00741681" w:rsidRDefault="00050076"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Below is a breakdown of the documented and estimated financial impacts for these major breaches.</w:t>
      </w:r>
    </w:p>
    <w:p w14:paraId="28CA53DF" w14:textId="77777777" w:rsidR="00CD23E5" w:rsidRPr="00050076" w:rsidRDefault="00CD23E5" w:rsidP="00934230">
      <w:pPr>
        <w:spacing w:after="0" w:line="480" w:lineRule="auto"/>
        <w:ind w:left="720"/>
        <w:rPr>
          <w:rFonts w:ascii="Times New Roman" w:hAnsi="Times New Roman" w:cs="Times New Roman"/>
        </w:rPr>
      </w:pPr>
    </w:p>
    <w:p w14:paraId="75006A0D" w14:textId="77777777" w:rsidR="00896289" w:rsidRPr="002F1343" w:rsidRDefault="00F71814" w:rsidP="00233385">
      <w:pPr>
        <w:pStyle w:val="Heading3"/>
        <w:numPr>
          <w:ilvl w:val="0"/>
          <w:numId w:val="0"/>
        </w:numPr>
        <w:tabs>
          <w:tab w:val="left" w:pos="450"/>
          <w:tab w:val="left" w:pos="630"/>
          <w:tab w:val="left" w:pos="1080"/>
        </w:tabs>
        <w:spacing w:after="0" w:line="480" w:lineRule="auto"/>
        <w:ind w:left="450"/>
        <w:rPr>
          <w:rFonts w:eastAsia="Arial" w:cs="Times New Roman"/>
          <w:sz w:val="26"/>
          <w:szCs w:val="26"/>
        </w:rPr>
      </w:pPr>
      <w:bookmarkStart w:id="31" w:name="_Toc236431634"/>
      <w:r>
        <w:rPr>
          <w:rFonts w:eastAsia="Arial" w:cs="Times New Roman"/>
          <w:sz w:val="26"/>
          <w:szCs w:val="26"/>
        </w:rPr>
        <w:t>2.4.1 First American Financial Corp</w:t>
      </w:r>
      <w:bookmarkEnd w:id="31"/>
      <w:r>
        <w:rPr>
          <w:rFonts w:eastAsia="Arial" w:cs="Times New Roman"/>
          <w:sz w:val="26"/>
          <w:szCs w:val="26"/>
        </w:rPr>
        <w:t xml:space="preserve"> </w:t>
      </w:r>
    </w:p>
    <w:p w14:paraId="2BF15EF9" w14:textId="77777777" w:rsidR="00896289" w:rsidRPr="00741681" w:rsidRDefault="00F71814"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The massive data exposure at First American Financial, first reported by Brian Krebs (2019), occurred through simple URL harvesting, where approximately 885 million sensitive records, including Social Security numbers, bank account details, and wire transfer instructions became accessible to anyone without requiring a password or further authentication (Institute of Data, 2024).</w:t>
      </w:r>
    </w:p>
    <w:p w14:paraId="65D53FCF" w14:textId="77777777" w:rsidR="008614BE" w:rsidRPr="008614BE" w:rsidRDefault="008614BE" w:rsidP="001F4F23">
      <w:pPr>
        <w:tabs>
          <w:tab w:val="left" w:pos="540"/>
        </w:tabs>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40FDE1BC" w14:textId="692049BB" w:rsidR="007415FE" w:rsidRPr="00741681" w:rsidRDefault="007415FE"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 xml:space="preserve">This data breach shares common themes with the TransUnion breach of 2025, in which attackers accessed a third-party consumer-support application and exposed the PII of approximately 4.5 million individuals (Ben-Ari, 2025). Both were the result of "context failure". In both cases, the Data Security teams took appropriate steps to set up </w:t>
      </w:r>
      <w:r w:rsidR="001B40D6">
        <w:rPr>
          <w:rFonts w:ascii="Times New Roman" w:eastAsia="Arial" w:hAnsi="Times New Roman" w:cs="Times New Roman"/>
        </w:rPr>
        <w:t>(Application Programming Interfaces (</w:t>
      </w:r>
      <w:r w:rsidRPr="00741681">
        <w:rPr>
          <w:rFonts w:ascii="Times New Roman" w:eastAsia="Arial" w:hAnsi="Times New Roman" w:cs="Times New Roman"/>
        </w:rPr>
        <w:t>APIs</w:t>
      </w:r>
      <w:r w:rsidR="001B40D6">
        <w:rPr>
          <w:rFonts w:ascii="Times New Roman" w:eastAsia="Arial" w:hAnsi="Times New Roman" w:cs="Times New Roman"/>
        </w:rPr>
        <w:t>)</w:t>
      </w:r>
      <w:r w:rsidRPr="00741681">
        <w:rPr>
          <w:rFonts w:ascii="Times New Roman" w:eastAsia="Arial" w:hAnsi="Times New Roman" w:cs="Times New Roman"/>
        </w:rPr>
        <w:t xml:space="preserve"> to share data with the SOC, but they never explained the logic or relevance of the data sent. So, when an attacker started "scraping" millions of records by changing ID numbers in the URL, a technique formally classified as broken object level authorization (OWASP, 2023), the SOC's tools likely saw a high volume of traffic. Certainly, as a behavioral event, this may have seemed a red flag, but relatively minor with no additional context. Without a "baseline" from the Data team explaining what normal user behavior looks like, the SOC dismissed the traffic as "standard heavy load" or "system testing." However, the SOC also lacked important context like whether data being targeted was sensitive data or where it was stored. Both elements communicated and combined with a SOC framework for PII could have increased the </w:t>
      </w:r>
      <w:r w:rsidRPr="00741681">
        <w:rPr>
          <w:rFonts w:ascii="Times New Roman" w:eastAsia="Arial" w:hAnsi="Times New Roman" w:cs="Times New Roman"/>
        </w:rPr>
        <w:lastRenderedPageBreak/>
        <w:t xml:space="preserve">severity of the event without the need for the Data Security to keep and communicate an updated list of logic rules. </w:t>
      </w:r>
    </w:p>
    <w:p w14:paraId="66C9B499" w14:textId="77777777" w:rsidR="007415FE" w:rsidRPr="00741681" w:rsidRDefault="00BF523D"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Unfortunately, the result was a massive exfiltration that occurred in plain sight because the SOC lacked the "Data Context" to recognize a logic abuse (BOLA) as a theft in progress.</w:t>
      </w:r>
    </w:p>
    <w:p w14:paraId="63224079" w14:textId="77777777" w:rsidR="00934230" w:rsidRPr="00BF523D" w:rsidRDefault="00934230" w:rsidP="00934230">
      <w:pPr>
        <w:spacing w:after="0" w:line="480" w:lineRule="auto"/>
        <w:ind w:left="450"/>
        <w:rPr>
          <w:rFonts w:ascii="Times New Roman" w:hAnsi="Times New Roman" w:cs="Times New Roman"/>
        </w:rPr>
      </w:pPr>
    </w:p>
    <w:p w14:paraId="34105B91" w14:textId="77777777" w:rsidR="00846648" w:rsidRPr="001C7C4B" w:rsidRDefault="001C7C4B" w:rsidP="001F4F23">
      <w:pPr>
        <w:pStyle w:val="Heading3"/>
        <w:numPr>
          <w:ilvl w:val="0"/>
          <w:numId w:val="0"/>
        </w:numPr>
        <w:ind w:left="450"/>
      </w:pPr>
      <w:bookmarkStart w:id="32" w:name="_Toc236431635"/>
      <w:r>
        <w:t>2.4.2 Equifax Breach</w:t>
      </w:r>
      <w:bookmarkEnd w:id="32"/>
    </w:p>
    <w:p w14:paraId="72959BF2" w14:textId="77777777" w:rsidR="00896289" w:rsidRPr="00741681" w:rsidRDefault="00846648"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Although a fix had been available for months, Equifax's dispute portal remained unpatched, allowing attackers to exploit a Remote Code Execution (RCE) bug where specially formatted web requests were misinterpreted as executable commands (Fernandez, 2025; Thiyagarajan et al., 2025). This kind of security lapse left the sensitive data of 147 million individuals, including names, Social Security numbers, and birth dates, exposed to unauthorized access. The financial and legal repercussions were unprecedented, involving a $700 million settlement and total costs exceeding $1.4 billion, which included a decade-long commitment to provide free credit monitoring for all affected consumers (U.S. Federal Trade Commission, 2024).</w:t>
      </w:r>
    </w:p>
    <w:p w14:paraId="708C7DAF" w14:textId="77777777" w:rsidR="008614BE" w:rsidRPr="008614BE" w:rsidRDefault="008614BE" w:rsidP="001F4F23">
      <w:pPr>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58BE9CA2" w14:textId="77777777" w:rsidR="00800EC3" w:rsidRPr="00741681" w:rsidRDefault="00F237B8"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 xml:space="preserve">The data security team knew about the Apache Struts vulnerability, CVE-2017-5638 (Common Vulnerabilities and Exposures Database, 2024). However, there was a breakdown in communicating the "criticality" to the teams responsible for the servers to put that patch at the top of the list. The SOC, meanwhile, wasn't told to prioritize monitoring for "Struts-based" exploit attempts while the patch was pending. As a result, a known hole </w:t>
      </w:r>
      <w:r w:rsidRPr="00741681">
        <w:rPr>
          <w:rFonts w:ascii="Times New Roman" w:eastAsia="Arial" w:hAnsi="Times New Roman" w:cs="Times New Roman"/>
        </w:rPr>
        <w:lastRenderedPageBreak/>
        <w:t xml:space="preserve">remained open. Once again, an unusual activity paired with PII </w:t>
      </w:r>
      <w:proofErr w:type="gramStart"/>
      <w:r w:rsidRPr="00741681">
        <w:rPr>
          <w:rFonts w:ascii="Times New Roman" w:eastAsia="Arial" w:hAnsi="Times New Roman" w:cs="Times New Roman"/>
        </w:rPr>
        <w:t>context,</w:t>
      </w:r>
      <w:proofErr w:type="gramEnd"/>
      <w:r w:rsidRPr="00741681">
        <w:rPr>
          <w:rFonts w:ascii="Times New Roman" w:eastAsia="Arial" w:hAnsi="Times New Roman" w:cs="Times New Roman"/>
        </w:rPr>
        <w:t xml:space="preserve"> could have indicated to the SOC team that "business was NOT going on as usual", regardless of being un-informed of the severity of this specific exploit. As the goal here is to show that the SOC can use a PII framework to classify and identify sensitive data upfront, and correlate that to seemingly low-criticality events, it can elevate the risk to a more accurate priority as a potential attack. </w:t>
      </w:r>
    </w:p>
    <w:p w14:paraId="238BC8A6" w14:textId="77777777" w:rsidR="00050076" w:rsidRPr="00896289" w:rsidRDefault="00050076" w:rsidP="00934230">
      <w:pPr>
        <w:spacing w:after="0" w:line="480" w:lineRule="auto"/>
        <w:ind w:left="720"/>
        <w:rPr>
          <w:rFonts w:ascii="Times New Roman" w:hAnsi="Times New Roman" w:cs="Times New Roman"/>
        </w:rPr>
      </w:pPr>
    </w:p>
    <w:p w14:paraId="449D3AF5" w14:textId="77777777" w:rsidR="00896289" w:rsidRDefault="00094CF8" w:rsidP="001F4F23">
      <w:pPr>
        <w:pStyle w:val="Heading3"/>
        <w:numPr>
          <w:ilvl w:val="0"/>
          <w:numId w:val="0"/>
        </w:numPr>
        <w:spacing w:after="0" w:line="480" w:lineRule="auto"/>
        <w:ind w:left="450"/>
        <w:rPr>
          <w:rFonts w:cs="Times New Roman"/>
        </w:rPr>
      </w:pPr>
      <w:bookmarkStart w:id="33" w:name="_Toc236431636"/>
      <w:r>
        <w:t xml:space="preserve">2.4.3 </w:t>
      </w:r>
      <w:r>
        <w:rPr>
          <w:rFonts w:cs="Times New Roman"/>
        </w:rPr>
        <w:t>Heartland Payment Systems</w:t>
      </w:r>
      <w:bookmarkEnd w:id="33"/>
    </w:p>
    <w:p w14:paraId="5EEB9AC0" w14:textId="77777777" w:rsidR="00050076" w:rsidRPr="00741681" w:rsidRDefault="00094CF8"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The Heartland Payment Systems breach stands as one of the most significant instances of a SQL injection attack, where hackers exploited un-sanitized input fields to bypass standard security and issue direct commands to the company's databases (Cingolani &amp; Zamparini, 2019). This massive exposure resulted in monumental financial consequences for Heartland, particularly in the form of reimbursements to major credit card brands like Visa, MasterCard, and American Express. The company ultimately paid approximately $110 million to these providers to cover the costs of fraudulent transactions and the widespread re-issuance of compromised cards, highlighting the extreme risks inherent in payment processing vulnerabilities (McGlasson, 2010).</w:t>
      </w:r>
    </w:p>
    <w:p w14:paraId="0F9C981C" w14:textId="77777777" w:rsidR="008614BE" w:rsidRPr="008614BE" w:rsidRDefault="008614BE" w:rsidP="001F4F23">
      <w:pPr>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05843448" w14:textId="77777777" w:rsidR="00CD23E5" w:rsidRPr="00741681" w:rsidRDefault="00F844EE"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 xml:space="preserve">In this attack, the data security team failed in its fundamental responsibility to enforce secure coding practices and input validation, leaving the "front door" vulnerable to an SQL injection that allowed attackers to bypass authentication and gain direct database access. Because the input was not sanitized, the database executed malicious commands that </w:t>
      </w:r>
      <w:r w:rsidRPr="00741681">
        <w:rPr>
          <w:rFonts w:ascii="Times New Roman" w:eastAsia="Arial" w:hAnsi="Times New Roman" w:cs="Times New Roman"/>
        </w:rPr>
        <w:lastRenderedPageBreak/>
        <w:t>authorized the installation of "sniffing" malware across the payment processing environment. This created an impossible situation for the SOC, as the initial breach occurred through a standard web port (Port 80/443) that appeared as legitimate traffic. However, despite using a standard and legitimate web port to communicate, what would have helped the SOC would have been identifying where databases were being targeted that happened to contain sensitive data. Any unusual activity logged by the database software, such as a large transfer of sensitive data, would have been correlated to this information and potentially escalated the severity of the communications and subsequent attempts at exfiltration of PII.</w:t>
      </w:r>
    </w:p>
    <w:p w14:paraId="3BD653EC" w14:textId="77777777" w:rsidR="007E1537" w:rsidRPr="00E937F2" w:rsidRDefault="007E1537" w:rsidP="00934230">
      <w:pPr>
        <w:spacing w:after="0" w:line="480" w:lineRule="auto"/>
        <w:ind w:left="1440"/>
        <w:rPr>
          <w:rFonts w:ascii="Times New Roman" w:hAnsi="Times New Roman" w:cs="Times New Roman"/>
        </w:rPr>
      </w:pPr>
    </w:p>
    <w:p w14:paraId="285E4D31" w14:textId="77777777" w:rsidR="00896289" w:rsidRPr="00CD23E5" w:rsidRDefault="00CD23E5" w:rsidP="001F4F23">
      <w:pPr>
        <w:pStyle w:val="Heading3"/>
        <w:numPr>
          <w:ilvl w:val="0"/>
          <w:numId w:val="0"/>
        </w:numPr>
        <w:tabs>
          <w:tab w:val="left" w:pos="450"/>
        </w:tabs>
        <w:spacing w:after="0" w:line="480" w:lineRule="auto"/>
        <w:ind w:left="450"/>
        <w:rPr>
          <w:rFonts w:cs="Times New Roman"/>
        </w:rPr>
      </w:pPr>
      <w:bookmarkStart w:id="34" w:name="_Toc236431637"/>
      <w:r>
        <w:t xml:space="preserve">2.4.4 </w:t>
      </w:r>
      <w:r>
        <w:rPr>
          <w:rFonts w:cs="Times New Roman"/>
        </w:rPr>
        <w:t>Capital One</w:t>
      </w:r>
      <w:bookmarkEnd w:id="34"/>
      <w:r>
        <w:rPr>
          <w:rFonts w:cs="Times New Roman"/>
        </w:rPr>
        <w:t xml:space="preserve"> </w:t>
      </w:r>
    </w:p>
    <w:p w14:paraId="44C41D14" w14:textId="77777777" w:rsidR="00050076" w:rsidRPr="00741681" w:rsidRDefault="00966666"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The 2019 Capital One breach was an example of a targeted cloud attack. It was executed through a sophisticated Server-Side Request Forgery (SSRF) attack, where a former Amazon Web Services (AWS) employee exploited a misconfigured WAF to infiltrate the bank's cloud infrastructure. This was one of the high-profile attacks that led to data security concerns in the cloud, especially when it came to tracking and misconfiguration of dynamic storage (Skelton, 2021). The fallout from this incident was significant, resulting in an $80 million fine from the OCC for inadequate cloud risk assessment and a subsequent $190 million class-action settlement to compensate affected individuals for their losses. (Ennis, 2023).</w:t>
      </w:r>
    </w:p>
    <w:p w14:paraId="329C5EA9" w14:textId="77777777" w:rsidR="008614BE" w:rsidRPr="008614BE" w:rsidRDefault="008614BE" w:rsidP="001F4F23">
      <w:pPr>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33E83D6E" w14:textId="77777777" w:rsidR="00373364" w:rsidRPr="00741681" w:rsidRDefault="00373364"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lastRenderedPageBreak/>
        <w:t>In this attack, the Data teams (engineering and security) spun up new cloud environments (S3 buckets, RDS databases) for testing or scaling without informing the SOC. The SOC was unable to identify the cloud storage by itself, leaving these assets and corresponding data blind to them. This problem is often referred to as "shadow data" (Rodriguez, 2025). Essentially, SOC cannot monitor what they don't know exists. Even if the SOC received an event of some sort suggesting a resource was "private" and flipped to "public", which is often an indicator of a new vulnerability or active attack, the lack of asset inventory knowledge of the SOC or that data exists on that asset would potentially not make this alert a high enough priority despite the risk.  The result is that the PII sits on the open web for months because the people whose job it is to watch the critical assets didn't know they existed or possibly moved.</w:t>
      </w:r>
    </w:p>
    <w:p w14:paraId="6F897C1A" w14:textId="77777777" w:rsidR="00934230" w:rsidRDefault="00934230" w:rsidP="00934230">
      <w:pPr>
        <w:spacing w:after="0" w:line="480" w:lineRule="auto"/>
        <w:ind w:left="630"/>
        <w:rPr>
          <w:rFonts w:ascii="Times New Roman" w:hAnsi="Times New Roman" w:cs="Times New Roman"/>
        </w:rPr>
      </w:pPr>
    </w:p>
    <w:p w14:paraId="086AD4CE" w14:textId="77777777" w:rsidR="00CD23E5" w:rsidRPr="00CD23E5" w:rsidRDefault="00CD23E5" w:rsidP="001F4F23">
      <w:pPr>
        <w:pStyle w:val="Heading3"/>
        <w:numPr>
          <w:ilvl w:val="0"/>
          <w:numId w:val="0"/>
        </w:numPr>
        <w:spacing w:after="0" w:line="480" w:lineRule="auto"/>
        <w:ind w:left="450"/>
        <w:rPr>
          <w:rFonts w:cs="Times New Roman"/>
        </w:rPr>
      </w:pPr>
      <w:bookmarkStart w:id="35" w:name="_Toc236431638"/>
      <w:r>
        <w:rPr>
          <w:rFonts w:cs="Times New Roman"/>
        </w:rPr>
        <w:t>2.4.5 Desjardins Group</w:t>
      </w:r>
      <w:bookmarkEnd w:id="35"/>
      <w:r>
        <w:rPr>
          <w:rFonts w:cs="Times New Roman"/>
        </w:rPr>
        <w:t xml:space="preserve"> </w:t>
      </w:r>
    </w:p>
    <w:p w14:paraId="057290EC" w14:textId="77777777" w:rsidR="00896289" w:rsidRPr="00741681" w:rsidRDefault="00CD23E5"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 xml:space="preserve">The Desjardins breach represents a severe instance of a currently emerging threat that has grown significantly in the last several years, insider threats (Akinsola et al., 2025; Cybersecurity and Infrastructure Security Agency, 2017). This internal theft led to the systematic scraping of records, ultimately compromising the personal information of 9.7 million members—the company's entire individual membership base at the time (Office of the Privacy Commissioner of Canada, 2020). The fallout for the Canadian cooperative was immense, resulting in a $201 million (CAD) class-action settlement and a mandate to provide permanent security and credit monitoring for affected members, given that highly sensitive identifiers like Social Insurance Numbers were permanently compromised (The Canadian Press, 2021). </w:t>
      </w:r>
    </w:p>
    <w:p w14:paraId="172E560C" w14:textId="77777777" w:rsidR="008614BE" w:rsidRPr="008614BE" w:rsidRDefault="008614BE" w:rsidP="00AB0164">
      <w:pPr>
        <w:spacing w:line="480" w:lineRule="auto"/>
        <w:ind w:left="630"/>
        <w:rPr>
          <w:rFonts w:ascii="Times New Roman" w:hAnsi="Times New Roman" w:cs="Times New Roman"/>
          <w:b/>
          <w:bCs/>
        </w:rPr>
      </w:pPr>
      <w:r>
        <w:rPr>
          <w:rFonts w:ascii="Times New Roman" w:hAnsi="Times New Roman" w:cs="Times New Roman"/>
          <w:b/>
          <w:bCs/>
        </w:rPr>
        <w:lastRenderedPageBreak/>
        <w:t>Relevance to Data Security and SOC Operations</w:t>
      </w:r>
    </w:p>
    <w:p w14:paraId="67A7D98E" w14:textId="77777777" w:rsidR="00183504" w:rsidRPr="00741681" w:rsidRDefault="0090345A"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The Desjardins breach serves to illustrate the risks associated with malicious insider threats and the failure of data security teams to enforce the principle of least privilege. This failure resulted from a lack of robust internal monitoring and role-based access controls. From the SOC perspective, because the employee was using legitimate, though over-privileged with administrative credentials, the SOC's monitoring tools likely viewed the data access as "authorized" rather than suspicious. This lack of integrated defense meant that while the data security team left the "internal doors" unlocked, the SOC was not equipped with the context to know that someone was accessing critical PII, which would have been a severity alert, even as the entire company's database was being exfiltrated.</w:t>
      </w:r>
    </w:p>
    <w:p w14:paraId="2D521C91" w14:textId="77777777" w:rsidR="00285C25" w:rsidRDefault="00285C25" w:rsidP="00285C25">
      <w:pPr>
        <w:pStyle w:val="NormalWeb"/>
        <w:spacing w:after="0" w:line="480" w:lineRule="auto"/>
        <w:ind w:left="630"/>
      </w:pPr>
    </w:p>
    <w:p w14:paraId="421EA371" w14:textId="77777777" w:rsidR="00896289" w:rsidRPr="00183504" w:rsidRDefault="000B34CB" w:rsidP="001F4F23">
      <w:pPr>
        <w:pStyle w:val="Heading3"/>
        <w:numPr>
          <w:ilvl w:val="0"/>
          <w:numId w:val="0"/>
        </w:numPr>
        <w:spacing w:after="0" w:line="480" w:lineRule="auto"/>
        <w:ind w:left="450"/>
        <w:rPr>
          <w:rFonts w:cs="Times New Roman"/>
        </w:rPr>
      </w:pPr>
      <w:bookmarkStart w:id="36" w:name="_Toc236431639"/>
      <w:r>
        <w:rPr>
          <w:rFonts w:cs="Times New Roman"/>
        </w:rPr>
        <w:t>2.4.6 JPMorgan Chase</w:t>
      </w:r>
      <w:bookmarkEnd w:id="36"/>
      <w:r>
        <w:rPr>
          <w:rFonts w:cs="Times New Roman"/>
        </w:rPr>
        <w:t xml:space="preserve"> </w:t>
      </w:r>
    </w:p>
    <w:p w14:paraId="2C710BCE" w14:textId="77777777" w:rsidR="000B34CB" w:rsidRPr="00741681" w:rsidRDefault="000B34CB"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 xml:space="preserve">The 2014 JPMorgan Chase data breach bypassed the bank's standard security layers and led to an exposure comparable to cloud misconfigurations where private data is accidentally left public. In this instance, the breach compromised the names, addresses, phone numbers, and emails of 76 million households (Jeng, 2015). The bank incurred tens of millions of dollars in legal fees defending against various class-action lawsuits (Raghu, 2020). </w:t>
      </w:r>
    </w:p>
    <w:p w14:paraId="07DEAAF1" w14:textId="77777777" w:rsidR="008614BE" w:rsidRPr="008614BE" w:rsidRDefault="008614BE" w:rsidP="00B44FAF">
      <w:pPr>
        <w:spacing w:line="480" w:lineRule="auto"/>
        <w:ind w:left="630"/>
        <w:rPr>
          <w:rFonts w:ascii="Times New Roman" w:hAnsi="Times New Roman" w:cs="Times New Roman"/>
          <w:b/>
          <w:bCs/>
        </w:rPr>
      </w:pPr>
      <w:r>
        <w:rPr>
          <w:rFonts w:ascii="Times New Roman" w:hAnsi="Times New Roman" w:cs="Times New Roman"/>
          <w:b/>
          <w:bCs/>
        </w:rPr>
        <w:t>Relevance to Data Security and SOC Operations</w:t>
      </w:r>
    </w:p>
    <w:p w14:paraId="04508F82" w14:textId="0C24D707" w:rsidR="007E0D46" w:rsidRPr="00741681" w:rsidRDefault="00DD378B"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 xml:space="preserve">In the case of JPMorgan Chase, the Data teams logged everything and sent it to the SOC (the SIEM). However, as typical of many SOC teams, they are overwhelmed by the number of alerts being received and chasing down False Positives (Tariq et al., 2025). In </w:t>
      </w:r>
      <w:r w:rsidRPr="00741681">
        <w:rPr>
          <w:rFonts w:ascii="Times New Roman" w:eastAsia="Arial" w:hAnsi="Times New Roman" w:cs="Times New Roman"/>
        </w:rPr>
        <w:lastRenderedPageBreak/>
        <w:t xml:space="preserve">this case, the logs would have exposed the fact that a lack of Multi-Factor Authentication (MFA) was configured properly on one server. The log likely showed a weird login from an unrecognized IP. This is a perfect example of not knowing that highly sensitive PII was </w:t>
      </w:r>
      <w:r>
        <w:rPr>
          <w:rFonts w:ascii="Times New Roman" w:eastAsia="Arial" w:hAnsi="Times New Roman" w:cs="Times New Roman"/>
        </w:rPr>
        <w:t>contained on that particular asset because the SOC and the Data Architects had no way to establish that the event posed a greater risk, and that the specific login event was buried under 100,000 other meaningless alerts. Effectively, The SOC "saw" the breach in the logs but didn't realize it because they didn't know which specific servers held the critical PII, which was both a location stored and classification failure.</w:t>
      </w:r>
    </w:p>
    <w:p w14:paraId="219E2B4C" w14:textId="50875D45" w:rsidR="00093EFD" w:rsidRPr="00741681" w:rsidRDefault="00000000" w:rsidP="00741681">
      <w:pPr>
        <w:spacing w:after="200" w:line="480" w:lineRule="auto"/>
        <w:ind w:left="540" w:firstLine="360"/>
        <w:rPr>
          <w:rFonts w:ascii="Times New Roman" w:eastAsia="Arial" w:hAnsi="Times New Roman" w:cs="Times New Roman"/>
        </w:rPr>
      </w:pPr>
      <w:r w:rsidRPr="00741681">
        <w:rPr>
          <w:rFonts w:ascii="Times New Roman" w:eastAsia="Arial" w:hAnsi="Times New Roman" w:cs="Times New Roman"/>
        </w:rPr>
        <w:t xml:space="preserve">Viewed collectively, these six cases align closely with the broader empirical literature on detection failure. Government post-mortems of the Equifax breach concluded that the incident was preventable and attributed it to identifiable failures in patch management, certificate management, and internal communication between data owners and security operations (U.S. Government Accountability Office [GAO], 2018; U.S. Senate Permanent Subcommittee on Investigations, 2019), failures that recur in some form across each case reviewed here. The pattern is also consistent with industry-wide measurements: Mandiant (2025) reported that 57% of compromises were first discovered by external parties rather than internal security teams, and IBM Security and </w:t>
      </w:r>
      <w:proofErr w:type="spellStart"/>
      <w:r w:rsidRPr="00741681">
        <w:rPr>
          <w:rFonts w:ascii="Times New Roman" w:eastAsia="Arial" w:hAnsi="Times New Roman" w:cs="Times New Roman"/>
        </w:rPr>
        <w:t>Ponemon</w:t>
      </w:r>
      <w:proofErr w:type="spellEnd"/>
      <w:r w:rsidRPr="00741681">
        <w:rPr>
          <w:rFonts w:ascii="Times New Roman" w:eastAsia="Arial" w:hAnsi="Times New Roman" w:cs="Times New Roman"/>
        </w:rPr>
        <w:t xml:space="preserve"> Institute (2025) found that the average breach lifecycle still spans 241 days. What the case-study and post-incident literature has not produced, however, is an operational framework that translates knowledge of where sensitive PII resides into the SOC's alert triage workflow</w:t>
      </w:r>
      <w:r w:rsidR="002105AD">
        <w:rPr>
          <w:rFonts w:ascii="Times New Roman" w:eastAsia="Arial" w:hAnsi="Times New Roman" w:cs="Times New Roman"/>
        </w:rPr>
        <w:t>. E</w:t>
      </w:r>
      <w:r w:rsidRPr="00741681">
        <w:rPr>
          <w:rFonts w:ascii="Times New Roman" w:eastAsia="Arial" w:hAnsi="Times New Roman" w:cs="Times New Roman"/>
        </w:rPr>
        <w:t xml:space="preserve">ach </w:t>
      </w:r>
      <w:r w:rsidR="002105AD">
        <w:rPr>
          <w:rFonts w:ascii="Times New Roman" w:eastAsia="Arial" w:hAnsi="Times New Roman" w:cs="Times New Roman"/>
        </w:rPr>
        <w:t>set of research simply ends up</w:t>
      </w:r>
      <w:r w:rsidRPr="00741681">
        <w:rPr>
          <w:rFonts w:ascii="Times New Roman" w:eastAsia="Arial" w:hAnsi="Times New Roman" w:cs="Times New Roman"/>
        </w:rPr>
        <w:t xml:space="preserve"> recommend</w:t>
      </w:r>
      <w:r w:rsidR="002105AD">
        <w:rPr>
          <w:rFonts w:ascii="Times New Roman" w:eastAsia="Arial" w:hAnsi="Times New Roman" w:cs="Times New Roman"/>
        </w:rPr>
        <w:t>ing</w:t>
      </w:r>
      <w:r w:rsidRPr="00741681">
        <w:rPr>
          <w:rFonts w:ascii="Times New Roman" w:eastAsia="Arial" w:hAnsi="Times New Roman" w:cs="Times New Roman"/>
        </w:rPr>
        <w:t xml:space="preserve"> better communication between data and security teams but stops short of specifying </w:t>
      </w:r>
      <w:r w:rsidR="002105AD">
        <w:rPr>
          <w:rFonts w:ascii="Times New Roman" w:eastAsia="Arial" w:hAnsi="Times New Roman" w:cs="Times New Roman"/>
        </w:rPr>
        <w:t>how this can be effectively accomplished</w:t>
      </w:r>
      <w:r w:rsidRPr="00741681">
        <w:rPr>
          <w:rFonts w:ascii="Times New Roman" w:eastAsia="Arial" w:hAnsi="Times New Roman" w:cs="Times New Roman"/>
        </w:rPr>
        <w:t xml:space="preserve">. </w:t>
      </w:r>
      <w:r w:rsidR="002105AD">
        <w:rPr>
          <w:rFonts w:ascii="Times New Roman" w:eastAsia="Arial" w:hAnsi="Times New Roman" w:cs="Times New Roman"/>
        </w:rPr>
        <w:t>This is exactly what this</w:t>
      </w:r>
      <w:r w:rsidRPr="00741681">
        <w:rPr>
          <w:rFonts w:ascii="Times New Roman" w:eastAsia="Arial" w:hAnsi="Times New Roman" w:cs="Times New Roman"/>
        </w:rPr>
        <w:t xml:space="preserve"> praxis research targets, and the following sections review the two </w:t>
      </w:r>
      <w:r w:rsidRPr="00741681">
        <w:rPr>
          <w:rFonts w:ascii="Times New Roman" w:eastAsia="Arial" w:hAnsi="Times New Roman" w:cs="Times New Roman"/>
        </w:rPr>
        <w:lastRenderedPageBreak/>
        <w:t>disciplines, data security posture management and security operations, whose integration it requires.</w:t>
      </w:r>
    </w:p>
    <w:p w14:paraId="4BEFB782" w14:textId="77777777" w:rsidR="00FB0CD3" w:rsidRPr="00FB0CD3" w:rsidRDefault="00FB0CD3" w:rsidP="00FB0CD3"/>
    <w:p w14:paraId="465FD935" w14:textId="77777777" w:rsidR="00AF6FE0" w:rsidRPr="008B19C4" w:rsidRDefault="00CB152A" w:rsidP="008B19C4">
      <w:pPr>
        <w:pStyle w:val="Heading2"/>
        <w:rPr>
          <w:rFonts w:cs="Times New Roman"/>
          <w:szCs w:val="24"/>
        </w:rPr>
      </w:pPr>
      <w:bookmarkStart w:id="37" w:name="_Toc236431640"/>
      <w:r>
        <w:rPr>
          <w:rFonts w:cs="Times New Roman"/>
          <w:szCs w:val="24"/>
        </w:rPr>
        <w:t>2.5 Data Security Posture Management (DSPM)</w:t>
      </w:r>
      <w:bookmarkEnd w:id="37"/>
    </w:p>
    <w:p w14:paraId="661C9E11" w14:textId="77777777" w:rsidR="00AF5681" w:rsidRPr="00AF5681" w:rsidRDefault="00AF6FE0" w:rsidP="000264C3">
      <w:pPr>
        <w:spacing w:line="480" w:lineRule="auto"/>
        <w:ind w:firstLine="540"/>
        <w:rPr>
          <w:rFonts w:ascii="Times New Roman" w:hAnsi="Times New Roman" w:cs="Times New Roman"/>
        </w:rPr>
      </w:pPr>
      <w:r>
        <w:rPr>
          <w:rFonts w:ascii="Times New Roman" w:hAnsi="Times New Roman" w:cs="Times New Roman"/>
        </w:rPr>
        <w:t>In the early days of cloud migration, security teams started to recognize a large visibility gap in terms of where and how data was stored. Cloud migration introduced several layers of complexity that made tracking data at rest significantly more difficult than in traditional on-premises environments (Komal &amp; Madan, 2023). </w:t>
      </w:r>
    </w:p>
    <w:p w14:paraId="72E8EDE1" w14:textId="77777777" w:rsidR="00AF5681" w:rsidRPr="00AF5681" w:rsidRDefault="00AF5681" w:rsidP="000264C3">
      <w:pPr>
        <w:spacing w:line="480" w:lineRule="auto"/>
        <w:ind w:firstLine="540"/>
        <w:rPr>
          <w:rFonts w:ascii="Times New Roman" w:hAnsi="Times New Roman" w:cs="Times New Roman"/>
        </w:rPr>
      </w:pPr>
      <w:r>
        <w:rPr>
          <w:rFonts w:ascii="Times New Roman" w:hAnsi="Times New Roman" w:cs="Times New Roman"/>
        </w:rPr>
        <w:t xml:space="preserve">For one, in the cloud data is constantly in motion and often scattered across multiple cloud platforms or vendors and on premise (typically a mix is called hybrid cloud). This is typically done for performance and reliability (Swanzy et al., 2024). </w:t>
      </w:r>
    </w:p>
    <w:p w14:paraId="6CFACCAB" w14:textId="77777777" w:rsidR="00832E39" w:rsidRDefault="00832E39" w:rsidP="000264C3">
      <w:pPr>
        <w:spacing w:line="480" w:lineRule="auto"/>
        <w:ind w:firstLine="540"/>
        <w:rPr>
          <w:rFonts w:ascii="Times New Roman" w:hAnsi="Times New Roman" w:cs="Times New Roman"/>
        </w:rPr>
      </w:pPr>
      <w:r>
        <w:rPr>
          <w:rFonts w:ascii="Times New Roman" w:hAnsi="Times New Roman" w:cs="Times New Roman"/>
        </w:rPr>
        <w:t>In addition, the advent of cloud computing and the efficiencies it brings in terms of resource allocation and usage means they can spin up and down microservices, containers, and serverless functions, making it harder to track where data is being temporarily or permanently stored.</w:t>
      </w:r>
    </w:p>
    <w:p w14:paraId="6C8AA6BE" w14:textId="77777777" w:rsidR="00832E39" w:rsidRDefault="00832E39" w:rsidP="000264C3">
      <w:pPr>
        <w:spacing w:line="480" w:lineRule="auto"/>
        <w:ind w:firstLine="540"/>
        <w:rPr>
          <w:rFonts w:ascii="Times New Roman" w:hAnsi="Times New Roman" w:cs="Times New Roman"/>
        </w:rPr>
      </w:pPr>
      <w:r>
        <w:rPr>
          <w:rFonts w:ascii="Times New Roman" w:hAnsi="Times New Roman" w:cs="Times New Roman"/>
        </w:rPr>
        <w:t>The simplicity of spinning up resources, that can often be temporary, has also led to Shadow IT. Shadow IT, as it refers to the cloud, means unauthorized cloud subscriptions and undocumented software purchases by different business units or individuals can result in sensitive data being stored without the IT department's knowledge (Kirin, 2017).</w:t>
      </w:r>
    </w:p>
    <w:p w14:paraId="1E2BB326" w14:textId="77777777" w:rsidR="00AF5681" w:rsidRPr="00AF5681" w:rsidRDefault="00832E39" w:rsidP="000264C3">
      <w:pPr>
        <w:spacing w:line="480" w:lineRule="auto"/>
        <w:ind w:firstLine="540"/>
        <w:rPr>
          <w:rFonts w:ascii="Times New Roman" w:hAnsi="Times New Roman" w:cs="Times New Roman"/>
        </w:rPr>
      </w:pPr>
      <w:r>
        <w:rPr>
          <w:rFonts w:ascii="Times New Roman" w:hAnsi="Times New Roman" w:cs="Times New Roman"/>
        </w:rPr>
        <w:t>However, misconfigurations are considered the primary cause of data breaches in cloud (</w:t>
      </w:r>
      <w:proofErr w:type="spellStart"/>
      <w:r>
        <w:rPr>
          <w:rFonts w:ascii="Times New Roman" w:hAnsi="Times New Roman" w:cs="Times New Roman"/>
        </w:rPr>
        <w:t>InstaTunnel</w:t>
      </w:r>
      <w:proofErr w:type="spellEnd"/>
      <w:r>
        <w:rPr>
          <w:rFonts w:ascii="Times New Roman" w:hAnsi="Times New Roman" w:cs="Times New Roman"/>
        </w:rPr>
        <w:t xml:space="preserve"> Engineering, 2025). The ease of provisioning new resources often leads to human errors, such as leaving storage buckets (like Amazon S3) publicly accessible, without a potential </w:t>
      </w:r>
      <w:r>
        <w:rPr>
          <w:rFonts w:ascii="Times New Roman" w:hAnsi="Times New Roman" w:cs="Times New Roman"/>
        </w:rPr>
        <w:lastRenderedPageBreak/>
        <w:t xml:space="preserve">owner and untracked. In many cases, misconfigurations were also associated with poor tagging of data for classification </w:t>
      </w:r>
      <w:proofErr w:type="gramStart"/>
      <w:r>
        <w:rPr>
          <w:rFonts w:ascii="Times New Roman" w:hAnsi="Times New Roman" w:cs="Times New Roman"/>
        </w:rPr>
        <w:t>in order to</w:t>
      </w:r>
      <w:proofErr w:type="gramEnd"/>
      <w:r>
        <w:rPr>
          <w:rFonts w:ascii="Times New Roman" w:hAnsi="Times New Roman" w:cs="Times New Roman"/>
        </w:rPr>
        <w:t xml:space="preserve"> distinguish between different tiers of data based on sensitivity or criticality to the business. In financial services, this applies to PII specifically. </w:t>
      </w:r>
    </w:p>
    <w:p w14:paraId="0D84707B" w14:textId="77777777" w:rsidR="00AF6FE0" w:rsidRDefault="00AF6FE0" w:rsidP="000264C3">
      <w:pPr>
        <w:spacing w:line="480" w:lineRule="auto"/>
        <w:ind w:firstLine="540"/>
        <w:rPr>
          <w:rFonts w:ascii="Times New Roman" w:hAnsi="Times New Roman" w:cs="Times New Roman"/>
        </w:rPr>
      </w:pPr>
      <w:r>
        <w:rPr>
          <w:rFonts w:ascii="Times New Roman" w:hAnsi="Times New Roman" w:cs="Times New Roman"/>
        </w:rPr>
        <w:t>DSPM emerged to solve this "data blindness" by shifting the focus from infrastructure to the data itself. The term was formally introduced by Gartner in its 2022 Hype Cycle for Data Security, which defined DSPM as providing visibility into where sensitive data is, who has access to it, how it has been used, and what the security posture of the underlying data store or application is (Gartner, 2022). In practice, this meant understanding how to better protect data stored across cloud and hybrid architectures, even as that data remained in constant motion.</w:t>
      </w:r>
    </w:p>
    <w:p w14:paraId="2CDBD096" w14:textId="77777777" w:rsidR="00BE37AD" w:rsidRPr="00AF6FE0" w:rsidRDefault="00BE37AD" w:rsidP="000264C3">
      <w:pPr>
        <w:spacing w:line="480" w:lineRule="auto"/>
        <w:ind w:firstLine="540"/>
        <w:rPr>
          <w:rFonts w:ascii="Times New Roman" w:hAnsi="Times New Roman" w:cs="Times New Roman"/>
        </w:rPr>
      </w:pPr>
      <w:proofErr w:type="gramStart"/>
      <w:r>
        <w:rPr>
          <w:rFonts w:ascii="Times New Roman" w:hAnsi="Times New Roman" w:cs="Times New Roman"/>
        </w:rPr>
        <w:t>Similar to</w:t>
      </w:r>
      <w:proofErr w:type="gramEnd"/>
      <w:r>
        <w:rPr>
          <w:rFonts w:ascii="Times New Roman" w:hAnsi="Times New Roman" w:cs="Times New Roman"/>
        </w:rPr>
        <w:t xml:space="preserve"> Shadow IT, the challenge for these teams got its own term known as "Shadow Data" (</w:t>
      </w:r>
      <w:proofErr w:type="spellStart"/>
      <w:r>
        <w:rPr>
          <w:rFonts w:ascii="Times New Roman" w:hAnsi="Times New Roman" w:cs="Times New Roman"/>
        </w:rPr>
        <w:t>Yaacovi</w:t>
      </w:r>
      <w:proofErr w:type="spellEnd"/>
      <w:r>
        <w:rPr>
          <w:rFonts w:ascii="Times New Roman" w:hAnsi="Times New Roman" w:cs="Times New Roman"/>
        </w:rPr>
        <w:t>, 2022). Shadow data refers to data that is collected, processed, and stored without the knowledge or control of an organization's IT department</w:t>
      </w:r>
      <w:r w:rsidRPr="000264C3">
        <w:rPr>
          <w:rFonts w:ascii="Times New Roman" w:hAnsi="Times New Roman" w:cs="Times New Roman"/>
        </w:rPr>
        <w:t>.</w:t>
      </w:r>
      <w:r>
        <w:rPr>
          <w:rFonts w:ascii="Times New Roman" w:hAnsi="Times New Roman" w:cs="Times New Roman"/>
        </w:rPr>
        <w:t> This data often resides in cloud services, personal devices, or third-party applications. While shadow data has become increasingly common with the rise of remote work and the proliferation of cloud-based tools, identifying where PII is stored and securing it has become a much greater challenge.</w:t>
      </w:r>
    </w:p>
    <w:p w14:paraId="07DDE349" w14:textId="77777777" w:rsidR="00AF6FE0" w:rsidRPr="00AF6FE0" w:rsidRDefault="00AF6FE0" w:rsidP="000264C3">
      <w:pPr>
        <w:spacing w:line="480" w:lineRule="auto"/>
        <w:ind w:firstLine="540"/>
        <w:rPr>
          <w:rFonts w:ascii="Times New Roman" w:hAnsi="Times New Roman" w:cs="Times New Roman"/>
        </w:rPr>
      </w:pPr>
      <w:r>
        <w:rPr>
          <w:rFonts w:ascii="Times New Roman" w:hAnsi="Times New Roman" w:cs="Times New Roman"/>
        </w:rPr>
        <w:t>DSPM functions, as shown in Figure 2.4, as a high-tech librarian for the cloud. It is designed to scan massive, disparate data stores (S3 buckets, Snowflake, SQL databases) to answer three critical questions: Where is the data? What is it? Who can see it? (Strange, 2024).</w:t>
      </w:r>
    </w:p>
    <w:p w14:paraId="6665245C" w14:textId="77777777" w:rsidR="00AF6FE0" w:rsidRPr="00AF6FE0" w:rsidRDefault="00AF6FE0" w:rsidP="000264C3">
      <w:pPr>
        <w:numPr>
          <w:ilvl w:val="0"/>
          <w:numId w:val="5"/>
        </w:numPr>
        <w:tabs>
          <w:tab w:val="clear" w:pos="720"/>
          <w:tab w:val="left" w:pos="900"/>
        </w:tabs>
        <w:spacing w:line="480" w:lineRule="auto"/>
        <w:ind w:hanging="180"/>
        <w:rPr>
          <w:rFonts w:ascii="Times New Roman" w:hAnsi="Times New Roman" w:cs="Times New Roman"/>
        </w:rPr>
      </w:pPr>
      <w:r>
        <w:rPr>
          <w:rFonts w:ascii="Times New Roman" w:hAnsi="Times New Roman" w:cs="Times New Roman"/>
          <w:b/>
          <w:bCs/>
        </w:rPr>
        <w:t>Discovery and Classification:</w:t>
      </w:r>
      <w:r>
        <w:rPr>
          <w:rFonts w:ascii="Times New Roman" w:hAnsi="Times New Roman" w:cs="Times New Roman"/>
        </w:rPr>
        <w:t xml:space="preserve"> It uses AI and pattern matching to identify PII.</w:t>
      </w:r>
    </w:p>
    <w:p w14:paraId="5130CA24" w14:textId="77777777" w:rsidR="00AF6FE0" w:rsidRPr="00AF6FE0" w:rsidRDefault="00AF6FE0" w:rsidP="000264C3">
      <w:pPr>
        <w:numPr>
          <w:ilvl w:val="0"/>
          <w:numId w:val="5"/>
        </w:numPr>
        <w:tabs>
          <w:tab w:val="clear" w:pos="720"/>
          <w:tab w:val="left" w:pos="900"/>
        </w:tabs>
        <w:spacing w:line="480" w:lineRule="auto"/>
        <w:ind w:hanging="180"/>
        <w:rPr>
          <w:rFonts w:ascii="Times New Roman" w:hAnsi="Times New Roman" w:cs="Times New Roman"/>
        </w:rPr>
      </w:pPr>
      <w:r>
        <w:rPr>
          <w:rFonts w:ascii="Times New Roman" w:hAnsi="Times New Roman" w:cs="Times New Roman"/>
          <w:b/>
          <w:bCs/>
        </w:rPr>
        <w:t>Vulnerability Mapping:</w:t>
      </w:r>
      <w:r>
        <w:rPr>
          <w:rFonts w:ascii="Times New Roman" w:hAnsi="Times New Roman" w:cs="Times New Roman"/>
        </w:rPr>
        <w:t xml:space="preserve"> It identifies "shadow data". This is in the context of users or systems creating backups or copies of databases that aren't monitored often with no limitations on or improperly set permissions and access controls. </w:t>
      </w:r>
    </w:p>
    <w:p w14:paraId="57C7B66C" w14:textId="77777777" w:rsidR="00AF6FE0" w:rsidRDefault="00AF6FE0" w:rsidP="000264C3">
      <w:pPr>
        <w:numPr>
          <w:ilvl w:val="0"/>
          <w:numId w:val="5"/>
        </w:numPr>
        <w:tabs>
          <w:tab w:val="clear" w:pos="720"/>
          <w:tab w:val="left" w:pos="900"/>
        </w:tabs>
        <w:spacing w:line="480" w:lineRule="auto"/>
        <w:ind w:hanging="180"/>
        <w:rPr>
          <w:rFonts w:ascii="Times New Roman" w:hAnsi="Times New Roman" w:cs="Times New Roman"/>
        </w:rPr>
      </w:pPr>
      <w:r>
        <w:rPr>
          <w:rFonts w:ascii="Times New Roman" w:hAnsi="Times New Roman" w:cs="Times New Roman"/>
          <w:b/>
          <w:bCs/>
        </w:rPr>
        <w:lastRenderedPageBreak/>
        <w:t>Risk Prioritization:</w:t>
      </w:r>
      <w:r>
        <w:rPr>
          <w:rFonts w:ascii="Times New Roman" w:hAnsi="Times New Roman" w:cs="Times New Roman"/>
        </w:rPr>
        <w:t xml:space="preserve"> By knowing a database containing 10,000 credit card numbers, it helps teams prioritize fixing a misconfiguration there over a database containing public marketing assets.</w:t>
      </w:r>
    </w:p>
    <w:p w14:paraId="23AE23EE" w14:textId="77777777" w:rsidR="009B5DE5" w:rsidRDefault="009B5DE5" w:rsidP="00404EEC">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142D58A3" wp14:editId="09319C1C">
            <wp:extent cx="5681980" cy="3933825"/>
            <wp:effectExtent l="0" t="0" r="0" b="9525"/>
            <wp:docPr id="88603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31527" name=""/>
                    <pic:cNvPicPr/>
                  </pic:nvPicPr>
                  <pic:blipFill>
                    <a:blip r:embed="rId18"/>
                    <a:stretch>
                      <a:fillRect/>
                    </a:stretch>
                  </pic:blipFill>
                  <pic:spPr>
                    <a:xfrm>
                      <a:off x="0" y="0"/>
                      <a:ext cx="5692622" cy="3941193"/>
                    </a:xfrm>
                    <a:prstGeom prst="rect">
                      <a:avLst/>
                    </a:prstGeom>
                  </pic:spPr>
                </pic:pic>
              </a:graphicData>
            </a:graphic>
          </wp:inline>
        </w:drawing>
      </w:r>
    </w:p>
    <w:p w14:paraId="6AA51B01" w14:textId="77777777" w:rsidR="00C745B7" w:rsidRDefault="00C745B7" w:rsidP="00404EEC">
      <w:pPr>
        <w:spacing w:after="0" w:line="240" w:lineRule="auto"/>
        <w:jc w:val="center"/>
        <w:rPr>
          <w:rFonts w:ascii="Times New Roman" w:hAnsi="Times New Roman" w:cs="Times New Roman"/>
        </w:rPr>
      </w:pPr>
    </w:p>
    <w:p w14:paraId="5B09E262" w14:textId="77777777" w:rsidR="005771C9" w:rsidRPr="001341B1" w:rsidRDefault="00DF0BA8" w:rsidP="0031504B">
      <w:pPr>
        <w:pStyle w:val="Caption"/>
        <w:spacing w:after="0"/>
        <w:ind w:firstLine="720"/>
        <w:rPr>
          <w:rFonts w:cs="Times New Roman"/>
          <w:sz w:val="16"/>
          <w:szCs w:val="16"/>
        </w:rPr>
      </w:pPr>
      <w:r>
        <w:rPr>
          <w:rFonts w:cs="Times New Roman"/>
          <w:b/>
          <w:bCs/>
          <w:sz w:val="18"/>
          <w:szCs w:val="18"/>
        </w:rPr>
        <w:t>Figure 2.4</w:t>
      </w:r>
      <w:r>
        <w:rPr>
          <w:rFonts w:cs="Times New Roman"/>
          <w:sz w:val="18"/>
          <w:szCs w:val="18"/>
        </w:rPr>
        <w:t xml:space="preserve"> </w:t>
      </w:r>
      <w:r>
        <w:rPr>
          <w:rFonts w:cs="Times New Roman"/>
          <w:sz w:val="16"/>
          <w:szCs w:val="16"/>
        </w:rPr>
        <w:t>What Is Data Security Posture Management (DSPM)? Retrieved from aquasec.com. Cited in Strange (2024).</w:t>
      </w:r>
    </w:p>
    <w:p w14:paraId="253EAE75" w14:textId="77777777" w:rsidR="009B5DE5" w:rsidRDefault="009B5DE5" w:rsidP="009B5DE5">
      <w:pPr>
        <w:spacing w:line="480" w:lineRule="auto"/>
        <w:rPr>
          <w:rFonts w:ascii="Times New Roman" w:hAnsi="Times New Roman" w:cs="Times New Roman"/>
        </w:rPr>
      </w:pPr>
    </w:p>
    <w:p w14:paraId="70B784B6" w14:textId="77777777" w:rsidR="00AF6FE0" w:rsidRPr="00AF6FE0" w:rsidRDefault="00AF6FE0" w:rsidP="000264C3">
      <w:pPr>
        <w:spacing w:line="480" w:lineRule="auto"/>
        <w:ind w:firstLine="540"/>
        <w:rPr>
          <w:rFonts w:ascii="Times New Roman" w:hAnsi="Times New Roman" w:cs="Times New Roman"/>
        </w:rPr>
      </w:pPr>
      <w:r>
        <w:rPr>
          <w:rFonts w:ascii="Times New Roman" w:hAnsi="Times New Roman" w:cs="Times New Roman"/>
        </w:rPr>
        <w:t xml:space="preserve">While DSPM is a powerful tool when it comes to improving data protection and governance, it rarely operates in real-time and the way it does scanning simply determines the state (location, access rights, encrypted, classification, criticality) of the data. In some cases, it can take steps to improve the security posture of the data automatically, but neither the data security and governance teams that use DSPM are focused on active threats or inappropriate access of that data. </w:t>
      </w:r>
    </w:p>
    <w:p w14:paraId="4B6B1B86" w14:textId="77777777" w:rsidR="00AF6FE0" w:rsidRDefault="00AF6FE0" w:rsidP="000264C3">
      <w:pPr>
        <w:spacing w:line="480" w:lineRule="auto"/>
        <w:ind w:firstLine="540"/>
        <w:rPr>
          <w:rFonts w:ascii="Times New Roman" w:hAnsi="Times New Roman" w:cs="Times New Roman"/>
        </w:rPr>
      </w:pPr>
      <w:r>
        <w:rPr>
          <w:rFonts w:ascii="Times New Roman" w:hAnsi="Times New Roman" w:cs="Times New Roman"/>
        </w:rPr>
        <w:lastRenderedPageBreak/>
        <w:t>DSPM tells the data security team that the data is sensitive, but it often lacks the runtime context. If a developer suddenly accesses a production database, the DSPM tool knows the database is sensitive, but it doesn't necessarily know that the developer's credentials were just compromised on a separate endpoint. However, this is where the SOC comes into play, as it can correlate disparate events to stop a breach in progress.</w:t>
      </w:r>
    </w:p>
    <w:p w14:paraId="670BC29D" w14:textId="7D9DB2A3" w:rsidR="00093EFD" w:rsidRDefault="00000000" w:rsidP="000264C3">
      <w:pPr>
        <w:spacing w:line="480" w:lineRule="auto"/>
        <w:ind w:firstLine="540"/>
        <w:rPr>
          <w:rFonts w:ascii="Times New Roman" w:hAnsi="Times New Roman" w:cs="Times New Roman"/>
        </w:rPr>
      </w:pPr>
      <w:r>
        <w:rPr>
          <w:rFonts w:ascii="Times New Roman" w:hAnsi="Times New Roman" w:cs="Times New Roman"/>
        </w:rPr>
        <w:t xml:space="preserve">It is also notable that the DSPM literature remains predominantly practitioner-driven, consisting largely of analyst research and vendor publications (e.g., Gartner, 2022; Strange, 2024), while peer-reviewed treatments of cloud data security (Komal &amp; Madan, 2023; Swanzy et al., 2024) address discovery, classification, and governance but generally treat posture management and threat detection as separate problems. Neither </w:t>
      </w:r>
      <w:r w:rsidR="001B40D6">
        <w:rPr>
          <w:rFonts w:ascii="Times New Roman" w:hAnsi="Times New Roman" w:cs="Times New Roman"/>
        </w:rPr>
        <w:t>set</w:t>
      </w:r>
      <w:r>
        <w:rPr>
          <w:rFonts w:ascii="Times New Roman" w:hAnsi="Times New Roman" w:cs="Times New Roman"/>
        </w:rPr>
        <w:t xml:space="preserve"> of literature proposes a mechanism for feeding DSPM-derived data classifications into the SIEM's correlation and triage logic in real time, which is precisely the integration this study investigates. The next section turns to the literature on the SOC, the organizational function on the other side of that divide.</w:t>
      </w:r>
    </w:p>
    <w:p w14:paraId="4935E032" w14:textId="77777777" w:rsidR="008B19C4" w:rsidRDefault="008B19C4" w:rsidP="00285C25">
      <w:pPr>
        <w:spacing w:after="0" w:line="480" w:lineRule="auto"/>
        <w:rPr>
          <w:rFonts w:ascii="Times New Roman" w:hAnsi="Times New Roman" w:cs="Times New Roman"/>
        </w:rPr>
      </w:pPr>
    </w:p>
    <w:p w14:paraId="32E6ABDE" w14:textId="77777777" w:rsidR="00CB152A" w:rsidRPr="008B19C4" w:rsidRDefault="00CB152A" w:rsidP="00285C25">
      <w:pPr>
        <w:pStyle w:val="Heading2"/>
        <w:spacing w:before="0" w:after="0" w:line="480" w:lineRule="auto"/>
        <w:rPr>
          <w:rFonts w:cs="Times New Roman"/>
          <w:szCs w:val="24"/>
        </w:rPr>
      </w:pPr>
      <w:bookmarkStart w:id="38" w:name="_Toc236431641"/>
      <w:r>
        <w:rPr>
          <w:rFonts w:cs="Times New Roman"/>
          <w:szCs w:val="24"/>
        </w:rPr>
        <w:t>2.6 The Role of the SOC</w:t>
      </w:r>
      <w:bookmarkEnd w:id="38"/>
    </w:p>
    <w:p w14:paraId="565C24FC" w14:textId="77777777" w:rsidR="00B23794" w:rsidRPr="0072665C" w:rsidRDefault="00B23794" w:rsidP="000264C3">
      <w:pPr>
        <w:tabs>
          <w:tab w:val="left" w:pos="0"/>
        </w:tabs>
        <w:spacing w:line="480" w:lineRule="auto"/>
        <w:ind w:firstLine="540"/>
      </w:pPr>
      <w:r>
        <w:rPr>
          <w:rFonts w:ascii="Times New Roman" w:hAnsi="Times New Roman" w:cs="Times New Roman"/>
        </w:rPr>
        <w:t>The Security Operations Center (SOC) has evolved from its origins as a network traffic monitoring function into the organizational hub for enterprise-wide threat detection, investigation, and response. The SOC operates as a continuous 24/7 function, integrating people, processes, and technology to monitor security posture and respond to incidents across the full infrastructure environment (McDonald, 2025). Its defining characteristic is centralization: by aggregating telemetry from across an organization's environment, the SOC provides the unified visibility necessary to identify and act on threats that would otherwise remain hidden within siloed systems.</w:t>
      </w:r>
    </w:p>
    <w:p w14:paraId="2803C060" w14:textId="77777777" w:rsidR="0072665C" w:rsidRPr="0072665C" w:rsidRDefault="00EC62EC" w:rsidP="000264C3">
      <w:pPr>
        <w:tabs>
          <w:tab w:val="left" w:pos="0"/>
        </w:tabs>
        <w:spacing w:line="480" w:lineRule="auto"/>
        <w:ind w:firstLine="540"/>
        <w:rPr>
          <w:rFonts w:ascii="Times New Roman" w:hAnsi="Times New Roman" w:cs="Times New Roman"/>
        </w:rPr>
      </w:pPr>
      <w:r>
        <w:rPr>
          <w:rFonts w:ascii="Times New Roman" w:hAnsi="Times New Roman" w:cs="Times New Roman"/>
        </w:rPr>
        <w:lastRenderedPageBreak/>
        <w:t xml:space="preserve">The SOC is typically implemented in more mature organizations that can support an organization-wide security monitoring program with security analysts and incident responders when a cyber security threat to the organization is determined. It acts as centralized monitoring hub for security analysts that first and foremost collects log events from across an organization's IT infrastructure, including networks, devices, appliances, and information stores and monitors interest events for signs of a threat. Traditionally, as specific events are identified of interest, the security analyst will further investigate these events using additional tools or connecting directly to other security systems (Microsoft Corporation, n.d.). </w:t>
      </w:r>
    </w:p>
    <w:p w14:paraId="32F7DAC6" w14:textId="77777777" w:rsidR="008841C6" w:rsidRDefault="008841C6" w:rsidP="000264C3">
      <w:pPr>
        <w:tabs>
          <w:tab w:val="left" w:pos="0"/>
        </w:tabs>
        <w:spacing w:line="480" w:lineRule="auto"/>
        <w:ind w:firstLine="540"/>
        <w:rPr>
          <w:rFonts w:ascii="Times New Roman" w:hAnsi="Times New Roman" w:cs="Times New Roman"/>
        </w:rPr>
      </w:pPr>
      <w:r>
        <w:rPr>
          <w:rFonts w:ascii="Times New Roman" w:hAnsi="Times New Roman" w:cs="Times New Roman"/>
        </w:rPr>
        <w:t xml:space="preserve">As the SOC is the central hub for monitoring, detecting and responding to threats, the SIEM has become the central technology within the SOC itself. The SIEM is responsible for aggregating, normalizing, and analyzing log data from across an organization's IT infrastructure, allowing SOC analysts to identify and respond to threats </w:t>
      </w:r>
      <w:proofErr w:type="gramStart"/>
      <w:r>
        <w:rPr>
          <w:rFonts w:ascii="Times New Roman" w:hAnsi="Times New Roman" w:cs="Times New Roman"/>
        </w:rPr>
        <w:t>based on the fact that</w:t>
      </w:r>
      <w:proofErr w:type="gramEnd"/>
      <w:r>
        <w:rPr>
          <w:rFonts w:ascii="Times New Roman" w:hAnsi="Times New Roman" w:cs="Times New Roman"/>
        </w:rPr>
        <w:t xml:space="preserve"> logs can typically be collected from every system to paint a picture of its state (</w:t>
      </w:r>
      <w:proofErr w:type="spellStart"/>
      <w:r>
        <w:rPr>
          <w:rFonts w:ascii="Times New Roman" w:hAnsi="Times New Roman" w:cs="Times New Roman"/>
        </w:rPr>
        <w:t>Miloslavskaya</w:t>
      </w:r>
      <w:proofErr w:type="spellEnd"/>
      <w:r>
        <w:rPr>
          <w:rFonts w:ascii="Times New Roman" w:hAnsi="Times New Roman" w:cs="Times New Roman"/>
        </w:rPr>
        <w:t xml:space="preserve">, 2018). </w:t>
      </w:r>
    </w:p>
    <w:p w14:paraId="6990A4BC" w14:textId="77777777" w:rsidR="00040F82" w:rsidRPr="008841C6" w:rsidRDefault="00040F82" w:rsidP="000264C3">
      <w:pPr>
        <w:tabs>
          <w:tab w:val="left" w:pos="0"/>
        </w:tabs>
        <w:spacing w:line="480" w:lineRule="auto"/>
        <w:ind w:firstLine="540"/>
        <w:rPr>
          <w:rFonts w:ascii="Times New Roman" w:hAnsi="Times New Roman" w:cs="Times New Roman"/>
        </w:rPr>
      </w:pPr>
      <w:r>
        <w:rPr>
          <w:rFonts w:ascii="Times New Roman" w:hAnsi="Times New Roman" w:cs="Times New Roman"/>
        </w:rPr>
        <w:t>The following is a breakdown of the key components of the SIEM in supporting the SOC as the central tool for threat detection, investigation and response (</w:t>
      </w:r>
      <w:proofErr w:type="spellStart"/>
      <w:r>
        <w:rPr>
          <w:rFonts w:ascii="Times New Roman" w:hAnsi="Times New Roman" w:cs="Times New Roman"/>
        </w:rPr>
        <w:t>AmpcusCyber</w:t>
      </w:r>
      <w:proofErr w:type="spellEnd"/>
      <w:r>
        <w:rPr>
          <w:rFonts w:ascii="Times New Roman" w:hAnsi="Times New Roman" w:cs="Times New Roman"/>
        </w:rPr>
        <w:t xml:space="preserve">, 2026). </w:t>
      </w:r>
    </w:p>
    <w:p w14:paraId="6D0CB316" w14:textId="77777777" w:rsidR="008841C6" w:rsidRPr="008841C6" w:rsidRDefault="008841C6" w:rsidP="000264C3">
      <w:pPr>
        <w:numPr>
          <w:ilvl w:val="0"/>
          <w:numId w:val="6"/>
        </w:numPr>
        <w:spacing w:line="480" w:lineRule="auto"/>
        <w:ind w:hanging="180"/>
        <w:rPr>
          <w:rFonts w:ascii="Times New Roman" w:hAnsi="Times New Roman" w:cs="Times New Roman"/>
        </w:rPr>
      </w:pPr>
      <w:r>
        <w:rPr>
          <w:rFonts w:ascii="Times New Roman" w:hAnsi="Times New Roman" w:cs="Times New Roman"/>
          <w:b/>
          <w:bCs/>
        </w:rPr>
        <w:t>Central Data Hub &amp; Visibility:</w:t>
      </w:r>
      <w:r>
        <w:rPr>
          <w:rFonts w:ascii="Times New Roman" w:hAnsi="Times New Roman" w:cs="Times New Roman"/>
        </w:rPr>
        <w:t> The SIEM is the primary repository for log data from diverse sources, including firewalls, endpoints, cloud services, and identity providers. It converts massive, noisy data sets into a unified, actionable view.</w:t>
      </w:r>
    </w:p>
    <w:p w14:paraId="1B3F3753" w14:textId="77777777" w:rsidR="008841C6" w:rsidRPr="008841C6" w:rsidRDefault="008841C6" w:rsidP="000264C3">
      <w:pPr>
        <w:numPr>
          <w:ilvl w:val="0"/>
          <w:numId w:val="6"/>
        </w:numPr>
        <w:spacing w:line="480" w:lineRule="auto"/>
        <w:ind w:hanging="180"/>
        <w:rPr>
          <w:rFonts w:ascii="Times New Roman" w:hAnsi="Times New Roman" w:cs="Times New Roman"/>
        </w:rPr>
      </w:pPr>
      <w:r>
        <w:rPr>
          <w:rFonts w:ascii="Times New Roman" w:hAnsi="Times New Roman" w:cs="Times New Roman"/>
          <w:b/>
          <w:bCs/>
        </w:rPr>
        <w:t>Correlation and Alerting:</w:t>
      </w:r>
      <w:r>
        <w:rPr>
          <w:rFonts w:ascii="Times New Roman" w:hAnsi="Times New Roman" w:cs="Times New Roman"/>
        </w:rPr>
        <w:t xml:space="preserve"> The first set and core set of analytics provided by the SIEM links disparate, isolated data points to detect complex or stealthy cyberattacks in real-time. The primary source of data that is correlated is log data. Sometimes the SIEM's primary set of analytics are referred to as log analytics for this reason, and typically that </w:t>
      </w:r>
      <w:r>
        <w:rPr>
          <w:rFonts w:ascii="Times New Roman" w:hAnsi="Times New Roman" w:cs="Times New Roman"/>
        </w:rPr>
        <w:lastRenderedPageBreak/>
        <w:t xml:space="preserve">means log correlation. It is the most rudimentary form of analytics and is often just referred to as correlation. From this correlation, alerts can be raised once simple patterns are recognized. </w:t>
      </w:r>
    </w:p>
    <w:p w14:paraId="633A2705" w14:textId="77777777" w:rsidR="008841C6" w:rsidRPr="008841C6" w:rsidRDefault="008841C6" w:rsidP="000264C3">
      <w:pPr>
        <w:numPr>
          <w:ilvl w:val="0"/>
          <w:numId w:val="6"/>
        </w:numPr>
        <w:spacing w:line="480" w:lineRule="auto"/>
        <w:ind w:hanging="180"/>
        <w:rPr>
          <w:rFonts w:ascii="Times New Roman" w:hAnsi="Times New Roman" w:cs="Times New Roman"/>
        </w:rPr>
      </w:pPr>
      <w:r>
        <w:rPr>
          <w:rFonts w:ascii="Times New Roman" w:hAnsi="Times New Roman" w:cs="Times New Roman"/>
          <w:b/>
          <w:bCs/>
        </w:rPr>
        <w:t>Compliance &amp; Reporting:</w:t>
      </w:r>
      <w:r>
        <w:rPr>
          <w:rFonts w:ascii="Times New Roman" w:hAnsi="Times New Roman" w:cs="Times New Roman"/>
        </w:rPr>
        <w:t xml:space="preserve"> The original reason why many organizations purchased a SIEM before leveraging for security purposes despite the acronym including "Security", was for meeting regulatory requirements (e.g., GDPR, HIPAA, PCI DSS) through log retention and the ability to generate reports from these logs. Many regulations maintaining activity or state of systems and log collection and retention are clearly the primary strength of the SIEM. </w:t>
      </w:r>
    </w:p>
    <w:p w14:paraId="48F7C9AD" w14:textId="77777777" w:rsidR="00503BEB" w:rsidRDefault="00503BEB" w:rsidP="000264C3">
      <w:pPr>
        <w:numPr>
          <w:ilvl w:val="0"/>
          <w:numId w:val="6"/>
        </w:numPr>
        <w:tabs>
          <w:tab w:val="clear" w:pos="720"/>
          <w:tab w:val="num" w:pos="630"/>
        </w:tabs>
        <w:spacing w:after="0" w:line="480" w:lineRule="auto"/>
        <w:ind w:hanging="180"/>
        <w:rPr>
          <w:rFonts w:ascii="Times New Roman" w:hAnsi="Times New Roman" w:cs="Times New Roman"/>
        </w:rPr>
      </w:pPr>
      <w:r>
        <w:rPr>
          <w:rFonts w:ascii="Times New Roman" w:hAnsi="Times New Roman" w:cs="Times New Roman"/>
          <w:b/>
          <w:bCs/>
        </w:rPr>
        <w:t>Accelerating the job of the security analyst:</w:t>
      </w:r>
      <w:r>
        <w:rPr>
          <w:rFonts w:ascii="Times New Roman" w:hAnsi="Times New Roman" w:cs="Times New Roman"/>
        </w:rPr>
        <w:t> While the SOC provides human expertise, the SIEM reduces the cognitive overload ("alert fatigue") for analysts by prioritizing true threats over false positives. Truth be told, this capability evolved over time from simple collection to log correlation. Since then, many SIEMs have added analytical engines side-by-side with the core log analytics capability (e.g. UEBA) and even newer generations of SIEMs have tried to re-architect the SIEM to move away from just logs and incorporate other types of telemetry beyond just log data. Certainly, the addition of machine learning (ML) and Artificial Intelligence (AI) has also accelerated the way SIEM's process alerts, helps with threat detection, accelerate investigations and prioritize response (Bhatia, 2025). Figure 2.5 describes a SOC workflow with the SIEM being the primary tool used for the listed states.</w:t>
      </w:r>
    </w:p>
    <w:p w14:paraId="6500CA09" w14:textId="77777777" w:rsidR="00B3760A" w:rsidRDefault="00B3760A" w:rsidP="00B3760A">
      <w:pPr>
        <w:spacing w:after="0" w:line="480" w:lineRule="auto"/>
        <w:ind w:left="360"/>
        <w:rPr>
          <w:rFonts w:ascii="Times New Roman" w:hAnsi="Times New Roman" w:cs="Times New Roman"/>
        </w:rPr>
      </w:pPr>
    </w:p>
    <w:p w14:paraId="6A53B374" w14:textId="77777777" w:rsidR="00B3760A" w:rsidRDefault="00B3760A" w:rsidP="00B3760A">
      <w:pPr>
        <w:spacing w:after="0" w:line="480" w:lineRule="auto"/>
        <w:ind w:left="360"/>
        <w:rPr>
          <w:rFonts w:ascii="Times New Roman" w:hAnsi="Times New Roman" w:cs="Times New Roman"/>
        </w:rPr>
      </w:pPr>
      <w:r>
        <w:rPr>
          <w:rFonts w:ascii="Times New Roman" w:hAnsi="Times New Roman" w:cs="Times New Roman"/>
          <w:noProof/>
        </w:rPr>
        <w:lastRenderedPageBreak/>
        <w:drawing>
          <wp:inline distT="0" distB="0" distL="0" distR="0" wp14:anchorId="4EB0E7F8" wp14:editId="2DAE2689">
            <wp:extent cx="5943600" cy="1846217"/>
            <wp:effectExtent l="0" t="0" r="0" b="1905"/>
            <wp:docPr id="1054142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42324" name="Picture 10541423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7005" cy="1853487"/>
                    </a:xfrm>
                    <a:prstGeom prst="rect">
                      <a:avLst/>
                    </a:prstGeom>
                  </pic:spPr>
                </pic:pic>
              </a:graphicData>
            </a:graphic>
          </wp:inline>
        </w:drawing>
      </w:r>
    </w:p>
    <w:p w14:paraId="28185078" w14:textId="77777777" w:rsidR="00B3760A" w:rsidRPr="00B3760A" w:rsidRDefault="00B3760A" w:rsidP="0031504B">
      <w:pPr>
        <w:pStyle w:val="Caption"/>
        <w:spacing w:after="0" w:line="480" w:lineRule="auto"/>
        <w:ind w:left="720"/>
        <w:jc w:val="center"/>
        <w:rPr>
          <w:rFonts w:cs="Times New Roman"/>
          <w:iCs/>
          <w:sz w:val="18"/>
          <w:szCs w:val="18"/>
        </w:rPr>
      </w:pPr>
      <w:r>
        <w:rPr>
          <w:rFonts w:cs="Times New Roman"/>
          <w:b/>
          <w:iCs/>
          <w:sz w:val="18"/>
          <w:szCs w:val="18"/>
        </w:rPr>
        <w:t>Figure 2.5</w:t>
      </w:r>
      <w:r>
        <w:rPr>
          <w:rFonts w:cs="Times New Roman"/>
          <w:iCs/>
          <w:sz w:val="18"/>
          <w:szCs w:val="18"/>
        </w:rPr>
        <w:t xml:space="preserve"> The SOC workflow enabled by the SIEM.</w:t>
      </w:r>
    </w:p>
    <w:p w14:paraId="47D3D194" w14:textId="77777777" w:rsidR="00B3760A" w:rsidRDefault="00B3760A" w:rsidP="00B3760A">
      <w:pPr>
        <w:spacing w:after="0" w:line="480" w:lineRule="auto"/>
        <w:ind w:left="360"/>
        <w:rPr>
          <w:rFonts w:ascii="Times New Roman" w:hAnsi="Times New Roman" w:cs="Times New Roman"/>
        </w:rPr>
      </w:pPr>
    </w:p>
    <w:p w14:paraId="241BE745" w14:textId="77777777" w:rsidR="00B3760A" w:rsidRPr="008841C6" w:rsidRDefault="00B3760A" w:rsidP="00285C25">
      <w:pPr>
        <w:spacing w:after="0" w:line="480" w:lineRule="auto"/>
        <w:ind w:left="720"/>
        <w:rPr>
          <w:rFonts w:ascii="Times New Roman" w:hAnsi="Times New Roman" w:cs="Times New Roman"/>
        </w:rPr>
      </w:pPr>
    </w:p>
    <w:p w14:paraId="5D840700" w14:textId="77777777" w:rsidR="007550A7" w:rsidRPr="0049776C" w:rsidRDefault="0084610C" w:rsidP="00285C25">
      <w:pPr>
        <w:pStyle w:val="Heading2"/>
        <w:spacing w:before="0" w:after="0" w:line="480" w:lineRule="auto"/>
        <w:rPr>
          <w:rFonts w:cs="Times New Roman"/>
          <w:sz w:val="22"/>
          <w:szCs w:val="24"/>
        </w:rPr>
      </w:pPr>
      <w:bookmarkStart w:id="39" w:name="_Toc236431642"/>
      <w:r>
        <w:rPr>
          <w:rFonts w:cs="Times New Roman"/>
          <w:sz w:val="22"/>
          <w:szCs w:val="24"/>
        </w:rPr>
        <w:t>2.7 The SOC Flow: From Signal to Action</w:t>
      </w:r>
      <w:bookmarkEnd w:id="39"/>
    </w:p>
    <w:p w14:paraId="2D0D6909" w14:textId="77777777" w:rsidR="00750066" w:rsidRPr="00750066" w:rsidRDefault="00740EDC" w:rsidP="000264C3">
      <w:pPr>
        <w:spacing w:line="480" w:lineRule="auto"/>
        <w:ind w:firstLine="540"/>
        <w:rPr>
          <w:rFonts w:ascii="Times New Roman" w:hAnsi="Times New Roman" w:cs="Times New Roman"/>
        </w:rPr>
      </w:pPr>
      <w:r>
        <w:rPr>
          <w:rFonts w:ascii="Times New Roman" w:hAnsi="Times New Roman" w:cs="Times New Roman"/>
        </w:rPr>
        <w:t xml:space="preserve">Effective security operations </w:t>
      </w:r>
      <w:proofErr w:type="gramStart"/>
      <w:r>
        <w:rPr>
          <w:rFonts w:ascii="Times New Roman" w:hAnsi="Times New Roman" w:cs="Times New Roman"/>
        </w:rPr>
        <w:t>is</w:t>
      </w:r>
      <w:proofErr w:type="gramEnd"/>
      <w:r>
        <w:rPr>
          <w:rFonts w:ascii="Times New Roman" w:hAnsi="Times New Roman" w:cs="Times New Roman"/>
        </w:rPr>
        <w:t xml:space="preserve"> best understood as a pipeline that begins with collecting and making sense of massive volumes of raw telemetry and ends with decisive action to contain and eradicate threats before they cause serious harm.</w:t>
      </w:r>
    </w:p>
    <w:p w14:paraId="76835688" w14:textId="77777777" w:rsidR="00750066" w:rsidRDefault="003978F7" w:rsidP="000264C3">
      <w:pPr>
        <w:spacing w:line="480" w:lineRule="auto"/>
        <w:ind w:firstLine="450"/>
        <w:rPr>
          <w:rFonts w:ascii="Times New Roman" w:hAnsi="Times New Roman" w:cs="Times New Roman"/>
        </w:rPr>
      </w:pPr>
      <w:r>
        <w:rPr>
          <w:rFonts w:ascii="Times New Roman" w:hAnsi="Times New Roman" w:cs="Times New Roman"/>
        </w:rPr>
        <w:t>Based on various research that discusses the inner workings of the SOC, the following sections walk through each phase of the SOC operational flow with the SIEM being at the core. This flow spans data ingestion and normalization, through detection, triage, prioritization, and investigation, to containment, eradication, and the post-incident review cycle that closes the loop and drives continuous improvement (Akula, 2024). Figure 2.6 elaborates further from Figure 2.5 to illustrate SOC operations powered by the SIEM. The role of event data and the context provided to the SOC is worth emphasizing, because it remains the primary source of truth despite the evolution of other technologies that provide context and analytics to the SOC beyond the function of the SIEM.</w:t>
      </w:r>
    </w:p>
    <w:p w14:paraId="279B9E90" w14:textId="77777777" w:rsidR="0049776C" w:rsidRDefault="00740EDC" w:rsidP="0049776C">
      <w:pPr>
        <w:spacing w:line="480" w:lineRule="auto"/>
        <w:ind w:left="720"/>
        <w:rPr>
          <w:rFonts w:ascii="Times New Roman" w:hAnsi="Times New Roman" w:cs="Times New Roman"/>
        </w:rPr>
      </w:pPr>
      <w:r>
        <w:rPr>
          <w:rFonts w:ascii="Times New Roman" w:hAnsi="Times New Roman" w:cs="Times New Roman"/>
          <w:noProof/>
        </w:rPr>
        <w:lastRenderedPageBreak/>
        <w:drawing>
          <wp:inline distT="0" distB="0" distL="0" distR="0" wp14:anchorId="07EC8843" wp14:editId="51276679">
            <wp:extent cx="5943600" cy="3244850"/>
            <wp:effectExtent l="0" t="0" r="0" b="0"/>
            <wp:docPr id="55902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22081" name=""/>
                    <pic:cNvPicPr/>
                  </pic:nvPicPr>
                  <pic:blipFill>
                    <a:blip r:embed="rId20"/>
                    <a:stretch>
                      <a:fillRect/>
                    </a:stretch>
                  </pic:blipFill>
                  <pic:spPr>
                    <a:xfrm>
                      <a:off x="0" y="0"/>
                      <a:ext cx="5943600" cy="3244850"/>
                    </a:xfrm>
                    <a:prstGeom prst="rect">
                      <a:avLst/>
                    </a:prstGeom>
                  </pic:spPr>
                </pic:pic>
              </a:graphicData>
            </a:graphic>
          </wp:inline>
        </w:drawing>
      </w:r>
    </w:p>
    <w:p w14:paraId="181EB73B" w14:textId="77777777" w:rsidR="00285C25" w:rsidRPr="00B3760A" w:rsidRDefault="00DF0BA8" w:rsidP="0031504B">
      <w:pPr>
        <w:pStyle w:val="Caption"/>
        <w:spacing w:after="0" w:line="480" w:lineRule="auto"/>
        <w:ind w:left="720"/>
        <w:jc w:val="center"/>
        <w:rPr>
          <w:rFonts w:cs="Times New Roman"/>
          <w:iCs/>
          <w:sz w:val="18"/>
          <w:szCs w:val="18"/>
        </w:rPr>
      </w:pPr>
      <w:r>
        <w:rPr>
          <w:rFonts w:cs="Times New Roman"/>
          <w:b/>
          <w:iCs/>
          <w:sz w:val="18"/>
          <w:szCs w:val="18"/>
        </w:rPr>
        <w:t>Figure 2.6</w:t>
      </w:r>
      <w:r>
        <w:rPr>
          <w:rFonts w:cs="Times New Roman"/>
          <w:iCs/>
          <w:sz w:val="18"/>
          <w:szCs w:val="18"/>
        </w:rPr>
        <w:t xml:space="preserve"> The Role of the SIEM in a SOC. From "</w:t>
      </w:r>
      <w:proofErr w:type="spellStart"/>
      <w:r>
        <w:rPr>
          <w:rFonts w:cs="Times New Roman"/>
          <w:iCs/>
          <w:sz w:val="18"/>
          <w:szCs w:val="18"/>
        </w:rPr>
        <w:t>CloudifyOps</w:t>
      </w:r>
      <w:proofErr w:type="spellEnd"/>
      <w:r>
        <w:rPr>
          <w:rFonts w:cs="Times New Roman"/>
          <w:iCs/>
          <w:sz w:val="18"/>
          <w:szCs w:val="18"/>
        </w:rPr>
        <w:t xml:space="preserve">: Security Operations Center," by Akula, V. (2024), Medium. </w:t>
      </w:r>
      <w:hyperlink r:id="rId21" w:history="1">
        <w:r>
          <w:rPr>
            <w:rStyle w:val="Hyperlink"/>
            <w:rFonts w:cs="Times New Roman"/>
            <w:iCs/>
            <w:sz w:val="18"/>
            <w:szCs w:val="18"/>
          </w:rPr>
          <w:t>https://medium.com/@cloudifyops</w:t>
        </w:r>
      </w:hyperlink>
    </w:p>
    <w:p w14:paraId="6D681FC2" w14:textId="77777777" w:rsidR="00DF0BA8" w:rsidRDefault="00DF0BA8" w:rsidP="00285C25">
      <w:pPr>
        <w:spacing w:after="0" w:line="480" w:lineRule="auto"/>
        <w:ind w:left="720"/>
        <w:rPr>
          <w:rFonts w:ascii="Times New Roman" w:hAnsi="Times New Roman" w:cs="Times New Roman"/>
          <w:sz w:val="18"/>
          <w:szCs w:val="18"/>
        </w:rPr>
      </w:pPr>
    </w:p>
    <w:p w14:paraId="4E9740B3" w14:textId="77777777" w:rsidR="00750066" w:rsidRPr="009A164C" w:rsidRDefault="009A164C" w:rsidP="001F4F23">
      <w:pPr>
        <w:pStyle w:val="Heading3"/>
        <w:numPr>
          <w:ilvl w:val="0"/>
          <w:numId w:val="0"/>
        </w:numPr>
        <w:spacing w:after="0" w:line="480" w:lineRule="auto"/>
        <w:ind w:left="450"/>
        <w:rPr>
          <w:szCs w:val="28"/>
        </w:rPr>
      </w:pPr>
      <w:bookmarkStart w:id="40" w:name="_Toc236431643"/>
      <w:r>
        <w:rPr>
          <w:szCs w:val="28"/>
        </w:rPr>
        <w:t>2.7.1 Data Ingestion &amp; Normalization</w:t>
      </w:r>
      <w:bookmarkEnd w:id="40"/>
    </w:p>
    <w:p w14:paraId="1B99EA2C" w14:textId="37E4D397" w:rsidR="00750066" w:rsidRPr="00620F67" w:rsidRDefault="00750066" w:rsidP="00620F67">
      <w:pPr>
        <w:spacing w:after="200" w:line="480" w:lineRule="auto"/>
        <w:ind w:left="540" w:firstLine="360"/>
        <w:rPr>
          <w:rFonts w:ascii="Times New Roman" w:eastAsia="Arial" w:hAnsi="Times New Roman" w:cs="Times New Roman"/>
        </w:rPr>
      </w:pPr>
      <w:r w:rsidRPr="00620F67">
        <w:rPr>
          <w:rFonts w:ascii="Times New Roman" w:eastAsia="Arial" w:hAnsi="Times New Roman" w:cs="Times New Roman"/>
        </w:rPr>
        <w:t xml:space="preserve">A SOC's effectiveness begins with the breadth and quality of its data collection. Telemetry is ingested from virtually every corner of the environment. A good description of the types of telemetry comes from a glossary available from </w:t>
      </w:r>
      <w:proofErr w:type="spellStart"/>
      <w:r w:rsidRPr="00620F67">
        <w:rPr>
          <w:rFonts w:ascii="Times New Roman" w:eastAsia="Arial" w:hAnsi="Times New Roman" w:cs="Times New Roman"/>
        </w:rPr>
        <w:t>Deepwatch</w:t>
      </w:r>
      <w:proofErr w:type="spellEnd"/>
      <w:r w:rsidRPr="00620F67">
        <w:rPr>
          <w:rFonts w:ascii="Times New Roman" w:eastAsia="Arial" w:hAnsi="Times New Roman" w:cs="Times New Roman"/>
        </w:rPr>
        <w:t>: "telemetry encompasses</w:t>
      </w:r>
      <w:hyperlink r:id="rId22" w:anchor=":~:text=Security%20telemetry%20is%20the%20continuous,and%20resilience%20against%20evolving%20threats." w:history="1"/>
      <w:r>
        <w:rPr>
          <w:rFonts w:ascii="Times New Roman" w:eastAsia="Arial" w:hAnsi="Times New Roman" w:cs="Times New Roman"/>
        </w:rPr>
        <w:t xml:space="preserve"> multiple data types, including system logs (e.g., Windows Event Logs), application logs (e.g., API access logs), network telemetry (e.g., NetFlow, </w:t>
      </w:r>
      <w:r w:rsidR="00223409">
        <w:rPr>
          <w:rFonts w:ascii="Times New Roman" w:eastAsia="Arial" w:hAnsi="Times New Roman" w:cs="Times New Roman"/>
        </w:rPr>
        <w:t>Domain Name Services (</w:t>
      </w:r>
      <w:r>
        <w:rPr>
          <w:rFonts w:ascii="Times New Roman" w:eastAsia="Arial" w:hAnsi="Times New Roman" w:cs="Times New Roman"/>
        </w:rPr>
        <w:t>DNS</w:t>
      </w:r>
      <w:r w:rsidR="00223409">
        <w:rPr>
          <w:rFonts w:ascii="Times New Roman" w:eastAsia="Arial" w:hAnsi="Times New Roman" w:cs="Times New Roman"/>
        </w:rPr>
        <w:t>)</w:t>
      </w:r>
      <w:r>
        <w:rPr>
          <w:rFonts w:ascii="Times New Roman" w:eastAsia="Arial" w:hAnsi="Times New Roman" w:cs="Times New Roman"/>
        </w:rPr>
        <w:t xml:space="preserve">), and identity telemetry (e.g., </w:t>
      </w:r>
      <w:r w:rsidR="00223409">
        <w:rPr>
          <w:rFonts w:ascii="Times New Roman" w:eastAsia="Arial" w:hAnsi="Times New Roman" w:cs="Times New Roman"/>
        </w:rPr>
        <w:t>Single-Sign-On (</w:t>
      </w:r>
      <w:r>
        <w:rPr>
          <w:rFonts w:ascii="Times New Roman" w:eastAsia="Arial" w:hAnsi="Times New Roman" w:cs="Times New Roman"/>
        </w:rPr>
        <w:t>SSO</w:t>
      </w:r>
      <w:r w:rsidR="00223409">
        <w:rPr>
          <w:rFonts w:ascii="Times New Roman" w:eastAsia="Arial" w:hAnsi="Times New Roman" w:cs="Times New Roman"/>
        </w:rPr>
        <w:t>)</w:t>
      </w:r>
      <w:r>
        <w:rPr>
          <w:rFonts w:ascii="Times New Roman" w:eastAsia="Arial" w:hAnsi="Times New Roman" w:cs="Times New Roman"/>
        </w:rPr>
        <w:t xml:space="preserve"> events, </w:t>
      </w:r>
      <w:r w:rsidR="00223409">
        <w:rPr>
          <w:rFonts w:ascii="Times New Roman" w:eastAsia="Arial" w:hAnsi="Times New Roman" w:cs="Times New Roman"/>
        </w:rPr>
        <w:t>Multifactor Authentication (</w:t>
      </w:r>
      <w:r>
        <w:rPr>
          <w:rFonts w:ascii="Times New Roman" w:eastAsia="Arial" w:hAnsi="Times New Roman" w:cs="Times New Roman"/>
        </w:rPr>
        <w:t>MFA</w:t>
      </w:r>
      <w:r w:rsidR="00223409">
        <w:rPr>
          <w:rFonts w:ascii="Times New Roman" w:eastAsia="Arial" w:hAnsi="Times New Roman" w:cs="Times New Roman"/>
        </w:rPr>
        <w:t>)</w:t>
      </w:r>
      <w:r>
        <w:rPr>
          <w:rFonts w:ascii="Times New Roman" w:eastAsia="Arial" w:hAnsi="Times New Roman" w:cs="Times New Roman"/>
        </w:rPr>
        <w:t xml:space="preserve"> logs)" (</w:t>
      </w:r>
      <w:proofErr w:type="spellStart"/>
      <w:r>
        <w:rPr>
          <w:rFonts w:ascii="Times New Roman" w:eastAsia="Arial" w:hAnsi="Times New Roman" w:cs="Times New Roman"/>
        </w:rPr>
        <w:t>Deepwatch</w:t>
      </w:r>
      <w:proofErr w:type="spellEnd"/>
      <w:r>
        <w:rPr>
          <w:rFonts w:ascii="Times New Roman" w:eastAsia="Arial" w:hAnsi="Times New Roman" w:cs="Times New Roman"/>
        </w:rPr>
        <w:t xml:space="preserve"> Inc., 2026). Common sources include </w:t>
      </w:r>
      <w:r w:rsidR="00223409">
        <w:rPr>
          <w:rFonts w:ascii="Times New Roman" w:eastAsia="Arial" w:hAnsi="Times New Roman" w:cs="Times New Roman"/>
        </w:rPr>
        <w:t>Endpoint Detection and Response (</w:t>
      </w:r>
      <w:r>
        <w:rPr>
          <w:rFonts w:ascii="Times New Roman" w:eastAsia="Arial" w:hAnsi="Times New Roman" w:cs="Times New Roman"/>
        </w:rPr>
        <w:t>EDR</w:t>
      </w:r>
      <w:r w:rsidR="00223409">
        <w:rPr>
          <w:rFonts w:ascii="Times New Roman" w:eastAsia="Arial" w:hAnsi="Times New Roman" w:cs="Times New Roman"/>
        </w:rPr>
        <w:t>)</w:t>
      </w:r>
      <w:r>
        <w:rPr>
          <w:rFonts w:ascii="Times New Roman" w:eastAsia="Arial" w:hAnsi="Times New Roman" w:cs="Times New Roman"/>
        </w:rPr>
        <w:t xml:space="preserve"> agents, firewalls, load balancers, cloud APIs, and SaaS platforms. All of this raw, heterogeneous data is shipped, typically using syslog, vendor APIs, often using the Representational State Transfer API, commonly referred to as REST </w:t>
      </w:r>
      <w:r>
        <w:rPr>
          <w:rFonts w:ascii="Times New Roman" w:eastAsia="Arial" w:hAnsi="Times New Roman" w:cs="Times New Roman"/>
        </w:rPr>
        <w:lastRenderedPageBreak/>
        <w:t xml:space="preserve">API, or lightweight forwarders into a centralized SIEM or data lake, where it is parsed, normalized into a </w:t>
      </w:r>
      <w:r w:rsidRPr="00620F67">
        <w:rPr>
          <w:rFonts w:ascii="Times New Roman" w:eastAsia="Arial" w:hAnsi="Times New Roman" w:cs="Times New Roman"/>
        </w:rPr>
        <w:t>common schema, such as the Elastic Common Schema (ECS) (</w:t>
      </w:r>
      <w:proofErr w:type="spellStart"/>
      <w:r w:rsidRPr="00620F67">
        <w:rPr>
          <w:rFonts w:ascii="Times New Roman" w:eastAsia="Arial" w:hAnsi="Times New Roman" w:cs="Times New Roman"/>
        </w:rPr>
        <w:t>Brahmam</w:t>
      </w:r>
      <w:proofErr w:type="spellEnd"/>
      <w:r w:rsidRPr="00620F67">
        <w:rPr>
          <w:rFonts w:ascii="Times New Roman" w:eastAsia="Arial" w:hAnsi="Times New Roman" w:cs="Times New Roman"/>
        </w:rPr>
        <w:t xml:space="preserve">, 2023; Elastic N.V., 2026d), timestamped, and indexed for search. This is typically where many SIEM solutions have custom rules or filters, often referred to as a data pipeline. </w:t>
      </w:r>
    </w:p>
    <w:p w14:paraId="334A891E" w14:textId="77777777" w:rsidR="00233385" w:rsidRPr="00750066" w:rsidRDefault="00233385" w:rsidP="00285C25">
      <w:pPr>
        <w:spacing w:after="0" w:line="480" w:lineRule="auto"/>
        <w:rPr>
          <w:rFonts w:ascii="Times New Roman" w:hAnsi="Times New Roman" w:cs="Times New Roman"/>
        </w:rPr>
      </w:pPr>
    </w:p>
    <w:p w14:paraId="4D7B04B6" w14:textId="77777777" w:rsidR="00750066" w:rsidRPr="009A164C" w:rsidRDefault="009A164C" w:rsidP="001F4F23">
      <w:pPr>
        <w:pStyle w:val="Heading3"/>
        <w:numPr>
          <w:ilvl w:val="0"/>
          <w:numId w:val="0"/>
        </w:numPr>
        <w:tabs>
          <w:tab w:val="left" w:pos="450"/>
        </w:tabs>
        <w:spacing w:after="0" w:line="480" w:lineRule="auto"/>
        <w:ind w:left="450"/>
        <w:rPr>
          <w:szCs w:val="28"/>
        </w:rPr>
      </w:pPr>
      <w:bookmarkStart w:id="41" w:name="_Toc236431644"/>
      <w:r>
        <w:rPr>
          <w:szCs w:val="28"/>
        </w:rPr>
        <w:t>2.7.2 Detection &amp; Alerting</w:t>
      </w:r>
      <w:bookmarkEnd w:id="41"/>
    </w:p>
    <w:p w14:paraId="03709888" w14:textId="77777777" w:rsidR="00750066" w:rsidRPr="00620F67" w:rsidRDefault="00750066" w:rsidP="00620F67">
      <w:pPr>
        <w:spacing w:after="200" w:line="480" w:lineRule="auto"/>
        <w:ind w:left="540" w:firstLine="360"/>
        <w:rPr>
          <w:rFonts w:ascii="Times New Roman" w:eastAsia="Arial" w:hAnsi="Times New Roman" w:cs="Times New Roman"/>
        </w:rPr>
      </w:pPr>
      <w:r w:rsidRPr="00620F67">
        <w:rPr>
          <w:rFonts w:ascii="Times New Roman" w:eastAsia="Arial" w:hAnsi="Times New Roman" w:cs="Times New Roman"/>
        </w:rPr>
        <w:t>Once data is flowing and normalized, the SIEM applies detection logic continuously across the incoming stream. This includes signature-based correlation rules (e.g., "alert if a user authenticates from two geographically impossible locations within 10 minutes"), threshold-based rules (e.g., "alert on more than 50 failed logins in 5 minutes from a single host"), and increasingly, ML-driven behavioral baselines that flag deviations from a user or entity's normal pattern, which commonly referred to as UEBA (User and Entity Behavior Analytics) (Nagaraj, 2023). On top of SIEM-native detections, dedicated tools like an NDR (Network Detection and Response) platform analyze east-west traffic for command-and-control beaconing or lateral movement, while EDR platforms surface on-endpoint detections such as credential dumping, process injection, or living-off-the-land techniques (Yusuf, 2022). Each fired detection generates an alert, tagged with metadata including the triggering rule, affected assets, timestamps, and where possible, a preliminary MITRE ATT&amp;CK tactic and technique mapping (MITRE Corporation, 2026). The output of this layer is a queue of alerts, which ranges from tens to thousands per day depending on environment size and tuning maturity, all of which flows into the triage queue.</w:t>
      </w:r>
    </w:p>
    <w:p w14:paraId="119847CA" w14:textId="77777777" w:rsidR="00233385" w:rsidRDefault="00233385" w:rsidP="001F4F23">
      <w:pPr>
        <w:spacing w:line="480" w:lineRule="auto"/>
        <w:ind w:left="630"/>
        <w:rPr>
          <w:rFonts w:ascii="Times New Roman" w:hAnsi="Times New Roman" w:cs="Times New Roman"/>
        </w:rPr>
      </w:pPr>
    </w:p>
    <w:p w14:paraId="1A06D492" w14:textId="77777777" w:rsidR="00750066" w:rsidRPr="009A164C" w:rsidRDefault="009A164C" w:rsidP="001F4F23">
      <w:pPr>
        <w:pStyle w:val="Heading3"/>
        <w:numPr>
          <w:ilvl w:val="0"/>
          <w:numId w:val="0"/>
        </w:numPr>
        <w:ind w:left="450"/>
        <w:rPr>
          <w:szCs w:val="28"/>
        </w:rPr>
      </w:pPr>
      <w:bookmarkStart w:id="42" w:name="_Toc236431645"/>
      <w:r>
        <w:rPr>
          <w:szCs w:val="28"/>
        </w:rPr>
        <w:lastRenderedPageBreak/>
        <w:t>2.7.3 Triage &amp; Prioritization</w:t>
      </w:r>
      <w:bookmarkEnd w:id="42"/>
    </w:p>
    <w:p w14:paraId="1315A3C2" w14:textId="13B86859" w:rsidR="00750066" w:rsidRPr="00620F67" w:rsidRDefault="00750066" w:rsidP="00620F67">
      <w:pPr>
        <w:spacing w:after="200" w:line="480" w:lineRule="auto"/>
        <w:ind w:left="540" w:firstLine="360"/>
        <w:rPr>
          <w:rFonts w:ascii="Times New Roman" w:eastAsia="Arial" w:hAnsi="Times New Roman" w:cs="Times New Roman"/>
        </w:rPr>
      </w:pPr>
      <w:r w:rsidRPr="00620F67">
        <w:rPr>
          <w:rFonts w:ascii="Times New Roman" w:eastAsia="Arial" w:hAnsi="Times New Roman" w:cs="Times New Roman"/>
        </w:rPr>
        <w:t xml:space="preserve">The triage stage is where Tier 1 analysts serve as the first human checkpoint, working through the alert queue to rapidly determine what warrants further attention (Zhong et al., 2017). The core task is separating true positives from false positives and noise but doing so efficiently under volume pressure. Analysts assess each alert against a set of contextual signals: Is the affected asset a crown jewel system (domain controller, payment server) or a low-value workstation? Is the user a privileged account or a standard employee? Has this exact indicator fired before and been closed as a false positive? Does the behavior align with a known business process (e.g., a scheduled vulnerability scan triggering a port sweep alert)? </w:t>
      </w:r>
      <w:r w:rsidR="00AD39C1">
        <w:rPr>
          <w:rFonts w:ascii="Times New Roman" w:eastAsia="Arial" w:hAnsi="Times New Roman" w:cs="Times New Roman"/>
        </w:rPr>
        <w:t>Security Operations, Automation and Response (</w:t>
      </w:r>
      <w:r w:rsidRPr="00620F67">
        <w:rPr>
          <w:rFonts w:ascii="Times New Roman" w:eastAsia="Arial" w:hAnsi="Times New Roman" w:cs="Times New Roman"/>
        </w:rPr>
        <w:t>SOAR</w:t>
      </w:r>
      <w:r w:rsidR="00AD39C1">
        <w:rPr>
          <w:rFonts w:ascii="Times New Roman" w:eastAsia="Arial" w:hAnsi="Times New Roman" w:cs="Times New Roman"/>
        </w:rPr>
        <w:t>)</w:t>
      </w:r>
      <w:r w:rsidRPr="00620F67">
        <w:rPr>
          <w:rFonts w:ascii="Times New Roman" w:eastAsia="Arial" w:hAnsi="Times New Roman" w:cs="Times New Roman"/>
        </w:rPr>
        <w:t xml:space="preserve"> platforms play a significant role here by automatically enriching alerts the moment they are created. This is done by querying threat intelligence feeds for IP and domain reputation, pulling asset inventory data, checking whether a file </w:t>
      </w:r>
      <w:proofErr w:type="gramStart"/>
      <w:r w:rsidRPr="00620F67">
        <w:rPr>
          <w:rFonts w:ascii="Times New Roman" w:eastAsia="Arial" w:hAnsi="Times New Roman" w:cs="Times New Roman"/>
        </w:rPr>
        <w:t>hash</w:t>
      </w:r>
      <w:proofErr w:type="gramEnd"/>
      <w:r w:rsidRPr="00620F67">
        <w:rPr>
          <w:rFonts w:ascii="Times New Roman" w:eastAsia="Arial" w:hAnsi="Times New Roman" w:cs="Times New Roman"/>
        </w:rPr>
        <w:t xml:space="preserve"> is known-malicious via </w:t>
      </w:r>
      <w:proofErr w:type="spellStart"/>
      <w:r w:rsidRPr="00620F67">
        <w:rPr>
          <w:rFonts w:ascii="Times New Roman" w:eastAsia="Arial" w:hAnsi="Times New Roman" w:cs="Times New Roman"/>
        </w:rPr>
        <w:t>VirusTotal</w:t>
      </w:r>
      <w:proofErr w:type="spellEnd"/>
      <w:r w:rsidRPr="00620F67">
        <w:rPr>
          <w:rFonts w:ascii="Times New Roman" w:eastAsia="Arial" w:hAnsi="Times New Roman" w:cs="Times New Roman"/>
        </w:rPr>
        <w:t xml:space="preserve"> or an internal sandbox, and correlating the alert against any open incidents involving the same entities (</w:t>
      </w:r>
      <w:proofErr w:type="spellStart"/>
      <w:r w:rsidRPr="00620F67">
        <w:rPr>
          <w:rFonts w:ascii="Times New Roman" w:eastAsia="Arial" w:hAnsi="Times New Roman" w:cs="Times New Roman"/>
        </w:rPr>
        <w:t>Jangampet</w:t>
      </w:r>
      <w:proofErr w:type="spellEnd"/>
      <w:r w:rsidRPr="00620F67">
        <w:rPr>
          <w:rFonts w:ascii="Times New Roman" w:eastAsia="Arial" w:hAnsi="Times New Roman" w:cs="Times New Roman"/>
        </w:rPr>
        <w:t xml:space="preserve"> et al., 2024). Prioritization is then applied, often using a risk-scoring model that weighs asset criticality, threat confidence, and potential business impact, ensuring that a suspected ransomware precursor on a finance server jumps ahead of a low-confidence alert on an isolated dev box (</w:t>
      </w:r>
      <w:proofErr w:type="spellStart"/>
      <w:r w:rsidRPr="00620F67">
        <w:rPr>
          <w:rFonts w:ascii="Times New Roman" w:eastAsia="Arial" w:hAnsi="Times New Roman" w:cs="Times New Roman"/>
        </w:rPr>
        <w:t>Jangampet</w:t>
      </w:r>
      <w:proofErr w:type="spellEnd"/>
      <w:r w:rsidRPr="00620F67">
        <w:rPr>
          <w:rFonts w:ascii="Times New Roman" w:eastAsia="Arial" w:hAnsi="Times New Roman" w:cs="Times New Roman"/>
        </w:rPr>
        <w:t xml:space="preserve"> et al., 2024). Anything confirmed as noise is closed with documentation, feeding tuning efforts to reduce recurrence.</w:t>
      </w:r>
    </w:p>
    <w:p w14:paraId="4037FE3A" w14:textId="77777777" w:rsidR="00233385" w:rsidRPr="00233385" w:rsidRDefault="00233385" w:rsidP="00233385"/>
    <w:p w14:paraId="3F20CC1D" w14:textId="77777777" w:rsidR="00750066" w:rsidRPr="009A164C" w:rsidRDefault="009A164C" w:rsidP="001F4F23">
      <w:pPr>
        <w:pStyle w:val="Heading3"/>
        <w:numPr>
          <w:ilvl w:val="0"/>
          <w:numId w:val="0"/>
        </w:numPr>
        <w:spacing w:after="0" w:line="480" w:lineRule="auto"/>
        <w:ind w:left="450"/>
        <w:rPr>
          <w:szCs w:val="28"/>
        </w:rPr>
      </w:pPr>
      <w:bookmarkStart w:id="43" w:name="_Toc236431646"/>
      <w:r>
        <w:rPr>
          <w:szCs w:val="28"/>
        </w:rPr>
        <w:t>2.7.4 Investigation &amp; Context Gathering</w:t>
      </w:r>
      <w:bookmarkEnd w:id="43"/>
    </w:p>
    <w:p w14:paraId="68435497" w14:textId="77777777" w:rsidR="00750066" w:rsidRPr="00620F67" w:rsidRDefault="00750066" w:rsidP="00620F67">
      <w:pPr>
        <w:spacing w:after="200" w:line="480" w:lineRule="auto"/>
        <w:ind w:left="540" w:firstLine="360"/>
        <w:rPr>
          <w:rFonts w:ascii="Times New Roman" w:eastAsia="Arial" w:hAnsi="Times New Roman" w:cs="Times New Roman"/>
        </w:rPr>
      </w:pPr>
      <w:r w:rsidRPr="00620F67">
        <w:rPr>
          <w:rFonts w:ascii="Times New Roman" w:eastAsia="Arial" w:hAnsi="Times New Roman" w:cs="Times New Roman"/>
        </w:rPr>
        <w:t xml:space="preserve">Alerts that survive triage are escalated into formal incidents and handed to Tier 2 or Tier 3 analysts for deep investigation (Akula, 2024). The investigator's goal is to answer a </w:t>
      </w:r>
      <w:r w:rsidRPr="00620F67">
        <w:rPr>
          <w:rFonts w:ascii="Times New Roman" w:eastAsia="Arial" w:hAnsi="Times New Roman" w:cs="Times New Roman"/>
        </w:rPr>
        <w:lastRenderedPageBreak/>
        <w:t>core set of questions: What exactly happened? When did it start, and how far back does the activity go? What systems, accounts, and data were involved? Is this an isolated event or evidence of a broader intrusion? Analysts pivot aggressively across data sources, starting from the initial alert and fanning out through SIEM queries, EDR telemetry, and network logs, to reconstruct a full attack timeline. A suspicious PowerShell execution on an endpoint, for example, might prompt the analyst to examine the parent process that spawned it, the network connections the host made around the same time, whether any lateral movement occurred via SMB or RDP, what credentials were in use, and whether those credentials authenticated anywhere else in the environment. Threat intelligence is layered in throughout where it maps observed TTPs to MITRE ATT&amp;CK, cross-references IOCs against intel feeds, and checks whether the activity pattern resembles a known threat actor or campaign. The output of this stage is a clear understanding of scope: a list of confirmed compromised hosts and accounts, the likely initial access vector, the attacker's apparent objectives, and an assessment of whether the threat is still active.</w:t>
      </w:r>
    </w:p>
    <w:p w14:paraId="7DFE4B2C" w14:textId="77777777" w:rsidR="00233385" w:rsidRPr="00750066" w:rsidRDefault="00233385" w:rsidP="00285C25">
      <w:pPr>
        <w:spacing w:after="0" w:line="480" w:lineRule="auto"/>
        <w:rPr>
          <w:rFonts w:ascii="Times New Roman" w:hAnsi="Times New Roman" w:cs="Times New Roman"/>
        </w:rPr>
      </w:pPr>
    </w:p>
    <w:p w14:paraId="1F96C44F" w14:textId="77777777" w:rsidR="00750066" w:rsidRPr="00996703" w:rsidRDefault="009A164C" w:rsidP="00233385">
      <w:pPr>
        <w:pStyle w:val="Heading3"/>
        <w:numPr>
          <w:ilvl w:val="0"/>
          <w:numId w:val="0"/>
        </w:numPr>
        <w:spacing w:after="0" w:line="480" w:lineRule="auto"/>
        <w:ind w:left="450"/>
        <w:rPr>
          <w:rFonts w:cs="Times New Roman"/>
          <w:szCs w:val="28"/>
        </w:rPr>
      </w:pPr>
      <w:bookmarkStart w:id="44" w:name="_Toc236431647"/>
      <w:r>
        <w:rPr>
          <w:rFonts w:cs="Times New Roman"/>
          <w:szCs w:val="28"/>
        </w:rPr>
        <w:t>2.7.5 Response &amp; Containment</w:t>
      </w:r>
      <w:bookmarkEnd w:id="44"/>
    </w:p>
    <w:p w14:paraId="75F5BEC5" w14:textId="60A9A0CE" w:rsidR="00750066" w:rsidRPr="00620F67" w:rsidRDefault="00750066" w:rsidP="00620F67">
      <w:pPr>
        <w:spacing w:after="200" w:line="480" w:lineRule="auto"/>
        <w:ind w:left="540" w:firstLine="360"/>
        <w:rPr>
          <w:rFonts w:ascii="Times New Roman" w:eastAsia="Arial" w:hAnsi="Times New Roman" w:cs="Times New Roman"/>
        </w:rPr>
      </w:pPr>
      <w:r w:rsidRPr="00620F67">
        <w:rPr>
          <w:rFonts w:ascii="Times New Roman" w:eastAsia="Arial" w:hAnsi="Times New Roman" w:cs="Times New Roman"/>
        </w:rPr>
        <w:t>With scope established, the team shifts to active response. Immediate containment actions are taken to stop the spread and limit damage: compromised endpoints are isolated from the network (a single click in most modern EDR platforms), affected user accounts are suspended or have their credentials rotated, malicious processes are killed, and identified Command and Control (C2) domains or IP addresses are blocked at the firewall and DNS layer. If cloud infrastructure is involved, misconfigured resources are remediated, exposed API keys are revoked, and suspicious</w:t>
      </w:r>
      <w:r w:rsidR="001B40D6">
        <w:rPr>
          <w:rFonts w:ascii="Times New Roman" w:eastAsia="Arial" w:hAnsi="Times New Roman" w:cs="Times New Roman"/>
        </w:rPr>
        <w:t xml:space="preserve"> Identity and Access Management</w:t>
      </w:r>
      <w:r w:rsidRPr="00620F67">
        <w:rPr>
          <w:rFonts w:ascii="Times New Roman" w:eastAsia="Arial" w:hAnsi="Times New Roman" w:cs="Times New Roman"/>
        </w:rPr>
        <w:t xml:space="preserve"> </w:t>
      </w:r>
      <w:r w:rsidR="001B40D6">
        <w:rPr>
          <w:rFonts w:ascii="Times New Roman" w:eastAsia="Arial" w:hAnsi="Times New Roman" w:cs="Times New Roman"/>
        </w:rPr>
        <w:t>(</w:t>
      </w:r>
      <w:r w:rsidRPr="00620F67">
        <w:rPr>
          <w:rFonts w:ascii="Times New Roman" w:eastAsia="Arial" w:hAnsi="Times New Roman" w:cs="Times New Roman"/>
        </w:rPr>
        <w:t>IAM</w:t>
      </w:r>
      <w:r w:rsidR="001B40D6">
        <w:rPr>
          <w:rFonts w:ascii="Times New Roman" w:eastAsia="Arial" w:hAnsi="Times New Roman" w:cs="Times New Roman"/>
        </w:rPr>
        <w:t>)</w:t>
      </w:r>
      <w:r w:rsidRPr="00620F67">
        <w:rPr>
          <w:rFonts w:ascii="Times New Roman" w:eastAsia="Arial" w:hAnsi="Times New Roman" w:cs="Times New Roman"/>
        </w:rPr>
        <w:t xml:space="preserve"> </w:t>
      </w:r>
      <w:r w:rsidRPr="00620F67">
        <w:rPr>
          <w:rFonts w:ascii="Times New Roman" w:eastAsia="Arial" w:hAnsi="Times New Roman" w:cs="Times New Roman"/>
        </w:rPr>
        <w:lastRenderedPageBreak/>
        <w:t>sessions are terminated. SOAR playbooks automate many of these containment steps, enabling consistent, fast execution without relying solely on analyst memory under pressure. Beyond immediate containment, eradication follows, which typically involves removing malware persistence mechanisms (scheduled tasks, registry run keys, malicious services), reimaging heavily compromised hosts, and patching the vulnerability or closing the misconfiguration that enabled initial access. Throughout response, forensic preservation is just as important. This includes preserving memory dumps, disk images, and relevant log exports that are captured before they are overwritten, preserving the evidentiary record for any potential legal or regulatory inquiries.</w:t>
      </w:r>
    </w:p>
    <w:p w14:paraId="6FA494FB" w14:textId="77777777" w:rsidR="00750066" w:rsidRPr="00620F67" w:rsidRDefault="00750066" w:rsidP="00620F67">
      <w:pPr>
        <w:spacing w:after="200" w:line="480" w:lineRule="auto"/>
        <w:ind w:left="540" w:firstLine="360"/>
        <w:rPr>
          <w:rFonts w:ascii="Times New Roman" w:eastAsia="Arial" w:hAnsi="Times New Roman" w:cs="Times New Roman"/>
        </w:rPr>
      </w:pPr>
      <w:r w:rsidRPr="00620F67">
        <w:rPr>
          <w:rFonts w:ascii="Times New Roman" w:eastAsia="Arial" w:hAnsi="Times New Roman" w:cs="Times New Roman"/>
        </w:rPr>
        <w:t xml:space="preserve">A post-incident report is written capturing the full timeline, root cause, scope of impact, actions taken, and any gaps in detection or response that were exposed. </w:t>
      </w:r>
    </w:p>
    <w:p w14:paraId="17F4667C" w14:textId="77777777" w:rsidR="007550A7" w:rsidRDefault="007550A7" w:rsidP="008B75AF">
      <w:pPr>
        <w:spacing w:after="0" w:line="480" w:lineRule="auto"/>
        <w:rPr>
          <w:rFonts w:ascii="Times New Roman" w:hAnsi="Times New Roman" w:cs="Times New Roman"/>
        </w:rPr>
      </w:pPr>
    </w:p>
    <w:p w14:paraId="732F1B0A" w14:textId="77777777" w:rsidR="00B82A90" w:rsidRDefault="009A164C" w:rsidP="008B75AF">
      <w:pPr>
        <w:pStyle w:val="Heading2"/>
        <w:spacing w:before="0" w:after="0" w:line="480" w:lineRule="auto"/>
        <w:rPr>
          <w:rFonts w:cs="Times New Roman"/>
          <w:szCs w:val="28"/>
        </w:rPr>
      </w:pPr>
      <w:bookmarkStart w:id="45" w:name="_Toc236431648"/>
      <w:r>
        <w:rPr>
          <w:rFonts w:cs="Times New Roman"/>
          <w:szCs w:val="28"/>
        </w:rPr>
        <w:t>2.8 Main Challenges for the SOC</w:t>
      </w:r>
      <w:bookmarkEnd w:id="45"/>
    </w:p>
    <w:p w14:paraId="712D3236" w14:textId="09EB94C7" w:rsidR="000319E4" w:rsidRPr="000319E4" w:rsidRDefault="00B23794" w:rsidP="00620F67">
      <w:pPr>
        <w:spacing w:line="480" w:lineRule="auto"/>
        <w:ind w:firstLine="540"/>
        <w:rPr>
          <w:rFonts w:ascii="Times New Roman" w:hAnsi="Times New Roman" w:cs="Times New Roman"/>
        </w:rPr>
      </w:pPr>
      <w:r>
        <w:rPr>
          <w:rFonts w:ascii="Times New Roman" w:hAnsi="Times New Roman" w:cs="Times New Roman"/>
        </w:rPr>
        <w:t xml:space="preserve">Even well-structured SOC pipelines of the type described in Section 2.7 are not immune to systemic failure. The literature identifies three categories of challenge that consistently undermine SOC effectiveness regardless of organizational maturity: excessive alert volume leading to analyst fatigue, insufficient asset and data context causing misaligned prioritization, and the structural inability to detect slow and deliberate threat actors who operate beneath detection thresholds (Bradley, 2026). Each of these challenges is directly relevant to the problem of PII-targeted attacks, and each is examined in the subsections below. The following sections walk through each phase of the SOC operational flow in detail and examine how these problems can limit the ability for the SOC team to properly identify the risk associated with an attack. Because the focus here is on the risk to PII, this section refers specifically to the effect these </w:t>
      </w:r>
      <w:r>
        <w:rPr>
          <w:rFonts w:ascii="Times New Roman" w:hAnsi="Times New Roman" w:cs="Times New Roman"/>
        </w:rPr>
        <w:lastRenderedPageBreak/>
        <w:t xml:space="preserve">challenges have on the SOC team's ability to identify risks to PII, subsequently prioritize these risks and investigate them effectively all of which lead to longer response times. </w:t>
      </w:r>
    </w:p>
    <w:p w14:paraId="6DEC2AE4" w14:textId="2DB74713" w:rsidR="000319E4" w:rsidRDefault="00121FFE" w:rsidP="00620F67">
      <w:pPr>
        <w:spacing w:after="0" w:line="480" w:lineRule="auto"/>
        <w:ind w:firstLine="540"/>
        <w:rPr>
          <w:rFonts w:ascii="Times New Roman" w:hAnsi="Times New Roman" w:cs="Times New Roman"/>
        </w:rPr>
      </w:pPr>
      <w:r>
        <w:rPr>
          <w:rFonts w:ascii="Times New Roman" w:hAnsi="Times New Roman" w:cs="Times New Roman"/>
        </w:rPr>
        <w:t xml:space="preserve">While many of these SOC challenges were touched upon within each high-profile financial data breach in section 2.4, this section examines each challenge in greater depth and specifically how a PII framework can help improve SOC efficacy.  </w:t>
      </w:r>
    </w:p>
    <w:p w14:paraId="18364E9D" w14:textId="77777777" w:rsidR="001F4F23" w:rsidRPr="000319E4" w:rsidRDefault="001F4F23" w:rsidP="00285C25">
      <w:pPr>
        <w:spacing w:after="0" w:line="480" w:lineRule="auto"/>
        <w:ind w:left="720"/>
        <w:rPr>
          <w:rFonts w:ascii="Times New Roman" w:hAnsi="Times New Roman" w:cs="Times New Roman"/>
        </w:rPr>
      </w:pPr>
    </w:p>
    <w:p w14:paraId="76729228" w14:textId="77777777" w:rsidR="000319E4" w:rsidRDefault="009850D1" w:rsidP="001F4F23">
      <w:pPr>
        <w:pStyle w:val="Heading3"/>
        <w:numPr>
          <w:ilvl w:val="0"/>
          <w:numId w:val="0"/>
        </w:numPr>
        <w:spacing w:after="0" w:line="480" w:lineRule="auto"/>
        <w:ind w:firstLine="450"/>
      </w:pPr>
      <w:bookmarkStart w:id="46" w:name="_Toc236431649"/>
      <w:r>
        <w:t>2.8.1 Too Much Noise and Alert Fatigue</w:t>
      </w:r>
      <w:bookmarkEnd w:id="46"/>
    </w:p>
    <w:p w14:paraId="245E006B" w14:textId="77777777" w:rsidR="00ED2008" w:rsidRPr="00427BF1" w:rsidRDefault="001F641A" w:rsidP="00427BF1">
      <w:pPr>
        <w:spacing w:after="200" w:line="480" w:lineRule="auto"/>
        <w:ind w:left="540" w:firstLine="360"/>
        <w:rPr>
          <w:rFonts w:ascii="Times New Roman" w:eastAsia="Arial" w:hAnsi="Times New Roman" w:cs="Times New Roman"/>
        </w:rPr>
      </w:pPr>
      <w:r w:rsidRPr="00427BF1">
        <w:rPr>
          <w:rFonts w:ascii="Times New Roman" w:eastAsia="Arial" w:hAnsi="Times New Roman" w:cs="Times New Roman"/>
        </w:rPr>
        <w:t>When referring to Figure 2.5 and section 2.7.1, collecting data from various sources and correlating that data is one of the first stages in the SOC workflow. However, SOC teams today are frequently overwhelmed by a relentless deluge of events and security notifications, a phenomenon widely known as alert fatigue. As organizations expand their digital footprints, SIEM systems ingest massive volumes of data, often triggering thousands of alerts per day, many of which are false positives or low-priority "noise." When analysts are forced to sift through an endless queue of repetitive or insignificant warnings, their cognitive load increases, leading to burnout and decreased morale (</w:t>
      </w:r>
      <w:proofErr w:type="spellStart"/>
      <w:r w:rsidRPr="00427BF1">
        <w:rPr>
          <w:rFonts w:ascii="Times New Roman" w:eastAsia="Arial" w:hAnsi="Times New Roman" w:cs="Times New Roman"/>
        </w:rPr>
        <w:t>Osholake</w:t>
      </w:r>
      <w:proofErr w:type="spellEnd"/>
      <w:r w:rsidRPr="00427BF1">
        <w:rPr>
          <w:rFonts w:ascii="Times New Roman" w:eastAsia="Arial" w:hAnsi="Times New Roman" w:cs="Times New Roman"/>
        </w:rPr>
        <w:t xml:space="preserve"> et al., 2024). More dangerously, this saturation creates a "crying wolf" effect where critical indicators of a sophisticated breach can easily be missed or ignored amidst the clutter, significantly increasing the mean-time-to-detect (MTTD) a genuine threat.</w:t>
      </w:r>
    </w:p>
    <w:p w14:paraId="4542D453" w14:textId="77777777" w:rsidR="00ED2008" w:rsidRPr="00427BF1" w:rsidRDefault="00ED2008" w:rsidP="00427BF1">
      <w:pPr>
        <w:spacing w:after="200" w:line="480" w:lineRule="auto"/>
        <w:ind w:left="540" w:firstLine="360"/>
        <w:rPr>
          <w:rFonts w:ascii="Times New Roman" w:eastAsia="Arial" w:hAnsi="Times New Roman" w:cs="Times New Roman"/>
        </w:rPr>
      </w:pPr>
      <w:r w:rsidRPr="00427BF1">
        <w:rPr>
          <w:rFonts w:ascii="Times New Roman" w:eastAsia="Arial" w:hAnsi="Times New Roman" w:cs="Times New Roman"/>
        </w:rPr>
        <w:t xml:space="preserve">To combat this exhaustion and prioritize effectively, SOC teams must transition from volume-based monitoring to risk-based analysis by integrating deep data context into their SIEM workflows. By automatically gathering context regarding the classification, sensitivity, and physical location of PII, analysts can instantly distinguish between a commodity malware infection on a guest workstation and a targeted exfiltration attempt on </w:t>
      </w:r>
      <w:r w:rsidRPr="00427BF1">
        <w:rPr>
          <w:rFonts w:ascii="Times New Roman" w:eastAsia="Arial" w:hAnsi="Times New Roman" w:cs="Times New Roman"/>
        </w:rPr>
        <w:lastRenderedPageBreak/>
        <w:t>a server containing regulated customer data. Understanding exactly what data is at risk and whether it falls under strict compliance mandates like GDPR or CCPA, allows the SOC to apply a "value-at-risk" lens to every incident. This contextual intelligence transforms a generic alert into a prioritized business risk, ensuring that the team's limited time and energy are focused on the threats that pose the greatest potential for financial or reputational damage.</w:t>
      </w:r>
    </w:p>
    <w:p w14:paraId="7EE0FDCF" w14:textId="77777777" w:rsidR="007443DD" w:rsidRPr="00ED2008" w:rsidRDefault="007443DD" w:rsidP="001F4F23">
      <w:pPr>
        <w:tabs>
          <w:tab w:val="left" w:pos="630"/>
        </w:tabs>
        <w:spacing w:after="0" w:line="480" w:lineRule="auto"/>
        <w:ind w:left="630"/>
        <w:rPr>
          <w:rFonts w:ascii="Times New Roman" w:hAnsi="Times New Roman" w:cs="Times New Roman"/>
        </w:rPr>
      </w:pPr>
    </w:p>
    <w:p w14:paraId="2FD84A9F" w14:textId="77777777" w:rsidR="000319E4" w:rsidRPr="000319E4" w:rsidRDefault="009850D1" w:rsidP="001F4F23">
      <w:pPr>
        <w:pStyle w:val="Heading3"/>
        <w:numPr>
          <w:ilvl w:val="0"/>
          <w:numId w:val="0"/>
        </w:numPr>
        <w:spacing w:after="0" w:line="480" w:lineRule="auto"/>
        <w:ind w:left="450"/>
      </w:pPr>
      <w:bookmarkStart w:id="47" w:name="_Toc236431650"/>
      <w:r>
        <w:t>2.8.2 Prioritization Inhibits Threat Detection and Response</w:t>
      </w:r>
      <w:bookmarkEnd w:id="47"/>
    </w:p>
    <w:p w14:paraId="17B380C5" w14:textId="77777777" w:rsidR="00ED2008" w:rsidRPr="00427BF1" w:rsidRDefault="00ED2008" w:rsidP="00427BF1">
      <w:pPr>
        <w:spacing w:after="200" w:line="480" w:lineRule="auto"/>
        <w:ind w:left="540" w:firstLine="360"/>
        <w:rPr>
          <w:rFonts w:ascii="Times New Roman" w:eastAsia="Arial" w:hAnsi="Times New Roman" w:cs="Times New Roman"/>
        </w:rPr>
      </w:pPr>
      <w:r w:rsidRPr="00427BF1">
        <w:rPr>
          <w:rFonts w:ascii="Times New Roman" w:eastAsia="Arial" w:hAnsi="Times New Roman" w:cs="Times New Roman"/>
        </w:rPr>
        <w:t xml:space="preserve">Without a baseline of data context, SOC analysts are often forced to treat all security events with equal urgency, leading to a "first-in, first-out" approach that is fundamentally disconnected from business risk. When an anomaly, for example, an unusual outbound connection or a spike in database queries, is detected, the lack of metadata regarding the target asset makes it impossible to determine if the activity is a routine administrative task or an attacker attempting to exfiltrate sensitive data (i.e. PII). This "context vacuum" forces security analysts to spend an excessive amount of time manually pivoting between disparate tools to understand what activity is </w:t>
      </w:r>
      <w:proofErr w:type="gramStart"/>
      <w:r w:rsidRPr="00427BF1">
        <w:rPr>
          <w:rFonts w:ascii="Times New Roman" w:eastAsia="Arial" w:hAnsi="Times New Roman" w:cs="Times New Roman"/>
        </w:rPr>
        <w:t>actually occurring</w:t>
      </w:r>
      <w:proofErr w:type="gramEnd"/>
      <w:r w:rsidRPr="00427BF1">
        <w:rPr>
          <w:rFonts w:ascii="Times New Roman" w:eastAsia="Arial" w:hAnsi="Times New Roman" w:cs="Times New Roman"/>
        </w:rPr>
        <w:t xml:space="preserve"> and what is being potentially targeted, often losing the race against an attacker who is moving laterally through the network (</w:t>
      </w:r>
      <w:proofErr w:type="spellStart"/>
      <w:r w:rsidRPr="00427BF1">
        <w:rPr>
          <w:rFonts w:ascii="Times New Roman" w:eastAsia="Arial" w:hAnsi="Times New Roman" w:cs="Times New Roman"/>
        </w:rPr>
        <w:t>Zeitlow</w:t>
      </w:r>
      <w:proofErr w:type="spellEnd"/>
      <w:r w:rsidRPr="00427BF1">
        <w:rPr>
          <w:rFonts w:ascii="Times New Roman" w:eastAsia="Arial" w:hAnsi="Times New Roman" w:cs="Times New Roman"/>
        </w:rPr>
        <w:t>, 2026).</w:t>
      </w:r>
    </w:p>
    <w:p w14:paraId="5C5FB239" w14:textId="77777777" w:rsidR="00ED2008" w:rsidRPr="00427BF1" w:rsidRDefault="00ED2008" w:rsidP="00427BF1">
      <w:pPr>
        <w:spacing w:after="200" w:line="480" w:lineRule="auto"/>
        <w:ind w:left="540" w:firstLine="360"/>
        <w:rPr>
          <w:rFonts w:ascii="Times New Roman" w:eastAsia="Arial" w:hAnsi="Times New Roman" w:cs="Times New Roman"/>
        </w:rPr>
      </w:pPr>
      <w:r w:rsidRPr="00427BF1">
        <w:rPr>
          <w:rFonts w:ascii="Times New Roman" w:eastAsia="Arial" w:hAnsi="Times New Roman" w:cs="Times New Roman"/>
        </w:rPr>
        <w:t>When PII classification and sensitivity are integrated into a contextual framework, the SOC can move toward automated, high-fidelity prioritization. By correlating anomalies against the specific attributes of the data at risk, the SIEM can dynamically adjust the risk score of an event. For example, a suspicious login attempt on a generic workstation might trigger a low-priority alert, whereas the same behavior on a server tagged with "High-</w:t>
      </w:r>
      <w:r w:rsidRPr="00427BF1">
        <w:rPr>
          <w:rFonts w:ascii="Times New Roman" w:eastAsia="Arial" w:hAnsi="Times New Roman" w:cs="Times New Roman"/>
        </w:rPr>
        <w:lastRenderedPageBreak/>
        <w:t>Sensitivity PII" or "Regulatory Target" would immediately escalate to a critical incident. This allows the system to distinguish between a technical anomaly and a potential data catastrophe by factoring in the "weight" of the target.</w:t>
      </w:r>
    </w:p>
    <w:p w14:paraId="5E45186F" w14:textId="77777777" w:rsidR="00ED2008" w:rsidRPr="00427BF1" w:rsidRDefault="00ED2008" w:rsidP="00427BF1">
      <w:pPr>
        <w:spacing w:after="200" w:line="480" w:lineRule="auto"/>
        <w:ind w:left="540" w:firstLine="360"/>
        <w:rPr>
          <w:rFonts w:ascii="Times New Roman" w:eastAsia="Arial" w:hAnsi="Times New Roman" w:cs="Times New Roman"/>
        </w:rPr>
      </w:pPr>
      <w:r w:rsidRPr="00427BF1">
        <w:rPr>
          <w:rFonts w:ascii="Times New Roman" w:eastAsia="Arial" w:hAnsi="Times New Roman" w:cs="Times New Roman"/>
        </w:rPr>
        <w:t>Ultimately, this framework enables a more surgical response by aligning security operations with data governance. By identifying the targets that hold the most sensitive PII, the SOC can prioritize investigations based on a calculated risk score that accounts for both the severity of the threat and the value of the asset. This approach ensures that limited investigative resources are always directed toward events where the potential for a data breach is highest, effectively turning the SOC from a reactive monitoring unit into a risk-aligned defense team.</w:t>
      </w:r>
    </w:p>
    <w:p w14:paraId="1BC75176" w14:textId="77777777" w:rsidR="000319E4" w:rsidRPr="000319E4" w:rsidRDefault="000319E4" w:rsidP="00285C25">
      <w:pPr>
        <w:spacing w:after="0" w:line="480" w:lineRule="auto"/>
        <w:rPr>
          <w:rFonts w:ascii="Times New Roman" w:hAnsi="Times New Roman" w:cs="Times New Roman"/>
        </w:rPr>
      </w:pPr>
    </w:p>
    <w:p w14:paraId="488CEE5D" w14:textId="77777777" w:rsidR="000319E4" w:rsidRPr="000319E4" w:rsidRDefault="009850D1" w:rsidP="001F4F23">
      <w:pPr>
        <w:pStyle w:val="Heading3"/>
        <w:numPr>
          <w:ilvl w:val="0"/>
          <w:numId w:val="0"/>
        </w:numPr>
        <w:spacing w:after="0" w:line="480" w:lineRule="auto"/>
        <w:ind w:left="450"/>
      </w:pPr>
      <w:bookmarkStart w:id="48" w:name="_Toc236431651"/>
      <w:r>
        <w:t>2.8.3 The Slow and Silent Attacker Is The Most Dangerous</w:t>
      </w:r>
      <w:bookmarkEnd w:id="48"/>
    </w:p>
    <w:p w14:paraId="61A13F19" w14:textId="77777777" w:rsidR="00326F87" w:rsidRPr="000903C3" w:rsidRDefault="00326F87" w:rsidP="000903C3">
      <w:pPr>
        <w:spacing w:after="200" w:line="480" w:lineRule="auto"/>
        <w:ind w:left="540" w:firstLine="360"/>
        <w:rPr>
          <w:rFonts w:ascii="Times New Roman" w:eastAsia="Arial" w:hAnsi="Times New Roman" w:cs="Times New Roman"/>
        </w:rPr>
      </w:pPr>
      <w:r w:rsidRPr="000903C3">
        <w:rPr>
          <w:rFonts w:ascii="Times New Roman" w:eastAsia="Arial" w:hAnsi="Times New Roman" w:cs="Times New Roman"/>
        </w:rPr>
        <w:t>When a SOC team lacks data context, they are forced to operate in a "reactive vacuum" where security events appear as a fragmented, flat list of technical anomalies. Without knowing which assets house sensitive PII, an analyst might see a series of failed logins or an unusual API call and dismiss them as routine network noise or a misconfigured service. This lack of prioritization means that the "signal" of an actual PII theft, such as a small but unauthorized data egress from a legacy database, is frequently buried under thousands of low-risk alerts. By the time the SOC can manually connect these dots, the attacker has often already identified the "crown jewels" and completed the exfiltration, leaving the team to investigate a disaster that has already occurred.</w:t>
      </w:r>
    </w:p>
    <w:p w14:paraId="01FE8FB5" w14:textId="77777777" w:rsidR="00326F87" w:rsidRPr="00427BF1" w:rsidRDefault="00326F87" w:rsidP="00427BF1">
      <w:pPr>
        <w:spacing w:after="200" w:line="480" w:lineRule="auto"/>
        <w:ind w:left="540" w:firstLine="360"/>
        <w:rPr>
          <w:rFonts w:ascii="Times New Roman" w:eastAsia="Arial" w:hAnsi="Times New Roman" w:cs="Times New Roman"/>
        </w:rPr>
      </w:pPr>
      <w:r w:rsidRPr="00427BF1">
        <w:rPr>
          <w:rFonts w:ascii="Times New Roman" w:eastAsia="Arial" w:hAnsi="Times New Roman" w:cs="Times New Roman"/>
        </w:rPr>
        <w:lastRenderedPageBreak/>
        <w:t xml:space="preserve">The danger of missing these critical events is that modern attackers do not need to trigger "loud" alarms to be successful; they simply need to find the gaps where context is missing. If a SOC cannot see that a specific user account has suddenly accessed a high-sensitivity PII bucket it has never touched before, the event may never reach the threshold for a manual investigation. This "context gap" essentially provides a cloaking device for intruders, allowing them to dwell within the environment for weeks or months, often referred to as attack dwell time (Sloan, 2025). Because the SOC is unable to prioritize based on the classification and location of data, they remain blind to the fact that a minor technical anomaly is </w:t>
      </w:r>
      <w:proofErr w:type="gramStart"/>
      <w:r w:rsidRPr="00427BF1">
        <w:rPr>
          <w:rFonts w:ascii="Times New Roman" w:eastAsia="Arial" w:hAnsi="Times New Roman" w:cs="Times New Roman"/>
        </w:rPr>
        <w:t>actually part</w:t>
      </w:r>
      <w:proofErr w:type="gramEnd"/>
      <w:r w:rsidRPr="00427BF1">
        <w:rPr>
          <w:rFonts w:ascii="Times New Roman" w:eastAsia="Arial" w:hAnsi="Times New Roman" w:cs="Times New Roman"/>
        </w:rPr>
        <w:t xml:space="preserve"> of a broader attack campaign against the organization's most regulated information.</w:t>
      </w:r>
    </w:p>
    <w:p w14:paraId="1DDBBC44" w14:textId="77777777" w:rsidR="00326F87" w:rsidRPr="00427BF1" w:rsidRDefault="00326F87" w:rsidP="00427BF1">
      <w:pPr>
        <w:spacing w:after="200" w:line="480" w:lineRule="auto"/>
        <w:ind w:left="540" w:firstLine="360"/>
        <w:rPr>
          <w:rFonts w:ascii="Times New Roman" w:eastAsia="Arial" w:hAnsi="Times New Roman" w:cs="Times New Roman"/>
        </w:rPr>
      </w:pPr>
      <w:r w:rsidRPr="00427BF1">
        <w:rPr>
          <w:rFonts w:ascii="Times New Roman" w:eastAsia="Arial" w:hAnsi="Times New Roman" w:cs="Times New Roman"/>
        </w:rPr>
        <w:t>This failure to bridge the gap between technical alerts and data sensitivity is precisely what led to one of the most significant PII breaches in the financial industry: the 2019 Capital One breach. Because the SOC lacked the integrated context to realize that a single IAM role had over-privileged access to more than 700 S3 buckets containing sensitive PII, the unauthorized access went undetected for months. This massive breach underscores that without a contextual framework to flag anomalies involving PII targets, even the most sophisticated financial institutions can allow a catastrophic attack to slip through their defenses.</w:t>
      </w:r>
    </w:p>
    <w:p w14:paraId="11D24850" w14:textId="77777777" w:rsidR="00285C25" w:rsidRDefault="00285C25" w:rsidP="00285C25">
      <w:pPr>
        <w:spacing w:after="0" w:line="480" w:lineRule="auto"/>
        <w:ind w:left="900"/>
        <w:rPr>
          <w:rFonts w:ascii="Times New Roman" w:hAnsi="Times New Roman" w:cs="Times New Roman"/>
        </w:rPr>
      </w:pPr>
    </w:p>
    <w:p w14:paraId="4B2CD3BE" w14:textId="77777777" w:rsidR="00CF4825" w:rsidRDefault="00CF4825" w:rsidP="00A61064">
      <w:pPr>
        <w:pStyle w:val="Heading2"/>
      </w:pPr>
      <w:bookmarkStart w:id="49" w:name="_Toc236431652"/>
      <w:r>
        <w:t>2.9 MITRE ATT&amp;CK Framework as a Cornerstone of Security Operations</w:t>
      </w:r>
      <w:bookmarkEnd w:id="49"/>
    </w:p>
    <w:p w14:paraId="11C40016" w14:textId="77777777" w:rsidR="00982B63" w:rsidRDefault="00CF4825" w:rsidP="00427BF1">
      <w:pPr>
        <w:tabs>
          <w:tab w:val="left" w:pos="450"/>
        </w:tabs>
        <w:spacing w:after="0" w:line="480" w:lineRule="auto"/>
        <w:ind w:firstLine="540"/>
        <w:rPr>
          <w:rFonts w:ascii="Times New Roman" w:hAnsi="Times New Roman" w:cs="Times New Roman"/>
        </w:rPr>
      </w:pPr>
      <w:r>
        <w:rPr>
          <w:rFonts w:ascii="Times New Roman" w:hAnsi="Times New Roman" w:cs="Times New Roman"/>
        </w:rPr>
        <w:t xml:space="preserve">The MITRE ATT&amp;CK (Adversarial Tactics, Techniques, and Common Knowledge) framework serves as a foundational catalog for the SOC in systematically categorizing, analyzing, and relating the specific security events that analysts encounter and showing them </w:t>
      </w:r>
      <w:r>
        <w:rPr>
          <w:rFonts w:ascii="Times New Roman" w:hAnsi="Times New Roman" w:cs="Times New Roman"/>
        </w:rPr>
        <w:lastRenderedPageBreak/>
        <w:t xml:space="preserve">how it relates to the overall attack campaign by a threat actor (MITRE Corporation, 2026). As Figure 2.7 illustrates, instead of treating each security alert as an isolated incident, the ATT&amp;CK framework enables analysts to map observed behaviors, such as a PowerShell execution, an anomalous outbound connection, or an unusual database query, to a documented set of adversary tactics and techniques. By providing this reference it can reveal to analysts the underlying intent and progression of an attack in progress. This is especially critical when analyzing threats targeting the exfiltration of credit card and banking transaction data from financial institutions, where threat actors routinely execute multi-stage campaigns that span weeks or months before a single high-confidence alert is generated. </w:t>
      </w:r>
    </w:p>
    <w:p w14:paraId="5A01D9CB" w14:textId="77777777" w:rsidR="00427BF1" w:rsidRDefault="00427BF1" w:rsidP="00427BF1">
      <w:pPr>
        <w:tabs>
          <w:tab w:val="left" w:pos="450"/>
        </w:tabs>
        <w:spacing w:after="0" w:line="480" w:lineRule="auto"/>
        <w:ind w:firstLine="540"/>
        <w:rPr>
          <w:rFonts w:ascii="Times New Roman" w:hAnsi="Times New Roman" w:cs="Times New Roman"/>
        </w:rPr>
      </w:pPr>
    </w:p>
    <w:p w14:paraId="2743FA3A" w14:textId="77777777" w:rsidR="00BA5066" w:rsidRDefault="00BA5066" w:rsidP="00CF4825">
      <w:pPr>
        <w:tabs>
          <w:tab w:val="left" w:pos="450"/>
        </w:tabs>
        <w:spacing w:after="0" w:line="480" w:lineRule="auto"/>
        <w:ind w:left="360"/>
        <w:rPr>
          <w:rFonts w:ascii="Times New Roman" w:hAnsi="Times New Roman" w:cs="Times New Roman"/>
        </w:rPr>
      </w:pPr>
      <w:r>
        <w:rPr>
          <w:rFonts w:ascii="Times New Roman" w:hAnsi="Times New Roman" w:cs="Times New Roman"/>
          <w:noProof/>
        </w:rPr>
        <w:drawing>
          <wp:inline distT="0" distB="0" distL="0" distR="0" wp14:anchorId="4378F2E9" wp14:editId="096E5DED">
            <wp:extent cx="5943600" cy="3978275"/>
            <wp:effectExtent l="0" t="0" r="0" b="3175"/>
            <wp:docPr id="1132115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5205" name="Picture 1132115205"/>
                    <pic:cNvPicPr/>
                  </pic:nvPicPr>
                  <pic:blipFill>
                    <a:blip r:embed="rId23">
                      <a:extLst>
                        <a:ext uri="{28A0092B-C50C-407E-A947-70E740481C1C}">
                          <a14:useLocalDpi xmlns:a14="http://schemas.microsoft.com/office/drawing/2010/main" val="0"/>
                        </a:ext>
                      </a:extLst>
                    </a:blip>
                    <a:stretch>
                      <a:fillRect/>
                    </a:stretch>
                  </pic:blipFill>
                  <pic:spPr>
                    <a:xfrm>
                      <a:off x="0" y="0"/>
                      <a:ext cx="5943600" cy="3978275"/>
                    </a:xfrm>
                    <a:prstGeom prst="rect">
                      <a:avLst/>
                    </a:prstGeom>
                  </pic:spPr>
                </pic:pic>
              </a:graphicData>
            </a:graphic>
          </wp:inline>
        </w:drawing>
      </w:r>
    </w:p>
    <w:p w14:paraId="75E33951" w14:textId="77777777" w:rsidR="00BA5066" w:rsidRPr="001341B1" w:rsidRDefault="00BA5066" w:rsidP="0031504B">
      <w:pPr>
        <w:pStyle w:val="Caption"/>
        <w:tabs>
          <w:tab w:val="left" w:pos="450"/>
        </w:tabs>
        <w:spacing w:after="0" w:line="480" w:lineRule="auto"/>
        <w:ind w:left="360"/>
        <w:jc w:val="center"/>
        <w:rPr>
          <w:rFonts w:cs="Times New Roman"/>
          <w:iCs/>
          <w:sz w:val="18"/>
          <w:szCs w:val="18"/>
        </w:rPr>
      </w:pPr>
      <w:r>
        <w:rPr>
          <w:rFonts w:cs="Times New Roman"/>
          <w:b/>
          <w:iCs/>
          <w:sz w:val="18"/>
          <w:szCs w:val="18"/>
        </w:rPr>
        <w:t>Figure 2.7</w:t>
      </w:r>
      <w:r>
        <w:rPr>
          <w:rFonts w:cs="Times New Roman"/>
          <w:iCs/>
          <w:sz w:val="18"/>
          <w:szCs w:val="18"/>
        </w:rPr>
        <w:t xml:space="preserve"> MITRE ATT&amp;CK Framework Navigator Tool example used by SOC to identify attacker tactics</w:t>
      </w:r>
    </w:p>
    <w:p w14:paraId="291AC5BF" w14:textId="77777777" w:rsidR="00BA5066" w:rsidRDefault="00BA5066" w:rsidP="00CF4825">
      <w:pPr>
        <w:tabs>
          <w:tab w:val="left" w:pos="450"/>
        </w:tabs>
        <w:spacing w:after="0" w:line="480" w:lineRule="auto"/>
        <w:ind w:left="360"/>
        <w:rPr>
          <w:rFonts w:ascii="Times New Roman" w:hAnsi="Times New Roman" w:cs="Times New Roman"/>
          <w:sz w:val="18"/>
          <w:szCs w:val="18"/>
        </w:rPr>
      </w:pPr>
    </w:p>
    <w:p w14:paraId="03210AD4" w14:textId="20F4A742" w:rsidR="00982B63" w:rsidRDefault="00BA5066" w:rsidP="00427BF1">
      <w:pPr>
        <w:tabs>
          <w:tab w:val="left" w:pos="450"/>
        </w:tabs>
        <w:spacing w:after="0" w:line="480" w:lineRule="auto"/>
        <w:ind w:firstLine="540"/>
        <w:rPr>
          <w:rFonts w:ascii="Times New Roman" w:hAnsi="Times New Roman" w:cs="Times New Roman"/>
        </w:rPr>
      </w:pPr>
      <w:r>
        <w:rPr>
          <w:rFonts w:ascii="Times New Roman" w:hAnsi="Times New Roman" w:cs="Times New Roman"/>
          <w:sz w:val="18"/>
          <w:szCs w:val="18"/>
        </w:rPr>
        <w:lastRenderedPageBreak/>
        <w:t xml:space="preserve"> </w:t>
      </w:r>
      <w:r>
        <w:rPr>
          <w:rFonts w:ascii="Times New Roman" w:hAnsi="Times New Roman" w:cs="Times New Roman"/>
        </w:rPr>
        <w:t xml:space="preserve">The five attack scenarios used to illustrate the basis of this research show how referencing the ATT&amp;CK framework can help reveal how isolated, low-context events by themselves can benefit the analyst. However, by bringing in PII context, this </w:t>
      </w:r>
      <w:r w:rsidR="00F276C6">
        <w:rPr>
          <w:rFonts w:ascii="Times New Roman" w:hAnsi="Times New Roman" w:cs="Times New Roman"/>
        </w:rPr>
        <w:t>can</w:t>
      </w:r>
      <w:r>
        <w:rPr>
          <w:rFonts w:ascii="Times New Roman" w:hAnsi="Times New Roman" w:cs="Times New Roman"/>
        </w:rPr>
        <w:t xml:space="preserve"> significantly augment the prioritization of these events sooner in the attack chain. </w:t>
      </w:r>
    </w:p>
    <w:p w14:paraId="25A923B6" w14:textId="77777777" w:rsidR="00982B63" w:rsidRDefault="00CF4825" w:rsidP="00427BF1">
      <w:pPr>
        <w:tabs>
          <w:tab w:val="left" w:pos="450"/>
        </w:tabs>
        <w:spacing w:after="0" w:line="480" w:lineRule="auto"/>
        <w:ind w:firstLine="540"/>
        <w:rPr>
          <w:rFonts w:ascii="Times New Roman" w:hAnsi="Times New Roman" w:cs="Times New Roman"/>
        </w:rPr>
      </w:pPr>
      <w:r>
        <w:rPr>
          <w:rFonts w:ascii="Times New Roman" w:hAnsi="Times New Roman" w:cs="Times New Roman"/>
        </w:rPr>
        <w:t xml:space="preserve">In Scenario 1, a Remote Access Trojan (RAT) campaign begins with a spear-phishing delivery (T1566.001) and progresses through persistence via registry Run key modification (T1547.001), PowerShell-based file system discovery targeting SSN and bank account files (T1083, T1005), and ultimately staged exfiltration over a Command-Control (C2) channel (T1074.001, T1041) — a sequence where each alert, viewed in isolation, may appear unremarkable, but when mapped through ATT&amp;CK reveals a complete APT-style campaign targeting Tier 1 PII. </w:t>
      </w:r>
    </w:p>
    <w:p w14:paraId="64CBB58A" w14:textId="77777777" w:rsidR="00982B63" w:rsidRPr="000903C3" w:rsidRDefault="00CF4825" w:rsidP="000903C3">
      <w:pPr>
        <w:tabs>
          <w:tab w:val="left" w:pos="450"/>
        </w:tabs>
        <w:spacing w:after="0" w:line="480" w:lineRule="auto"/>
        <w:ind w:firstLine="540"/>
        <w:rPr>
          <w:rFonts w:ascii="Times New Roman" w:hAnsi="Times New Roman" w:cs="Times New Roman"/>
        </w:rPr>
      </w:pPr>
      <w:r w:rsidRPr="000903C3">
        <w:rPr>
          <w:rFonts w:ascii="Times New Roman" w:hAnsi="Times New Roman" w:cs="Times New Roman"/>
        </w:rPr>
        <w:t xml:space="preserve">In Scenario 2, a credential harvesting and account takeover campaign exploits phishing to capture online banking credentials (T1566.002), followed by anomalous authentication from new geographic locations (T1078) and session token theft (T1539, T1185), techniques that, when correlated through the ATT&amp;CK lens, connect a seemingly routine failed login to an active financial account compromise. </w:t>
      </w:r>
    </w:p>
    <w:p w14:paraId="7600575B" w14:textId="77777777" w:rsidR="00982B63" w:rsidRDefault="00CF4825" w:rsidP="000903C3">
      <w:pPr>
        <w:tabs>
          <w:tab w:val="left" w:pos="450"/>
        </w:tabs>
        <w:spacing w:after="0" w:line="480" w:lineRule="auto"/>
        <w:ind w:firstLine="540"/>
        <w:rPr>
          <w:rFonts w:ascii="Times New Roman" w:hAnsi="Times New Roman" w:cs="Times New Roman"/>
        </w:rPr>
      </w:pPr>
      <w:r>
        <w:rPr>
          <w:rFonts w:ascii="Times New Roman" w:hAnsi="Times New Roman" w:cs="Times New Roman"/>
        </w:rPr>
        <w:t xml:space="preserve">Scenario 3 demonstrates that the ATT&amp;CK framework is equally essential for insider threats: a privileged user conducting bulk database exports of full customer records, including SSNs, account numbers, and credit histories, maps to legitimate credential abuse (T1078.002), unauthorized bulk data collection (T1530, adapted to an on-premises database context), and exfiltration via external services (T1048, T1567), behaviors that standard SIEM alerting would likely classify as authorized activity without the contextual pattern that ATT&amp;CK provides. </w:t>
      </w:r>
    </w:p>
    <w:p w14:paraId="0624314D" w14:textId="77777777" w:rsidR="00982B63" w:rsidRDefault="00CF4825" w:rsidP="000903C3">
      <w:pPr>
        <w:tabs>
          <w:tab w:val="left" w:pos="450"/>
        </w:tabs>
        <w:spacing w:after="0" w:line="480" w:lineRule="auto"/>
        <w:ind w:firstLine="540"/>
        <w:rPr>
          <w:rFonts w:ascii="Times New Roman" w:hAnsi="Times New Roman" w:cs="Times New Roman"/>
        </w:rPr>
      </w:pPr>
      <w:r>
        <w:rPr>
          <w:rFonts w:ascii="Times New Roman" w:hAnsi="Times New Roman" w:cs="Times New Roman"/>
        </w:rPr>
        <w:lastRenderedPageBreak/>
        <w:t xml:space="preserve">In Scenario 4, an external attacker exploiting a SQL injection vulnerability (T1190) to gain direct access to customer database tables containing credit card account numbers executes a technique chain through web shell deployment (T1505) and bulk data staging and exfiltration (T1074, T1041), where the ATT&amp;CK mapping connects what may appear to be an application-tier error log to an active database exfiltration event. </w:t>
      </w:r>
    </w:p>
    <w:p w14:paraId="35841889" w14:textId="313FE535" w:rsidR="00CF4825" w:rsidRPr="00CF4825" w:rsidRDefault="00CF4825" w:rsidP="000903C3">
      <w:pPr>
        <w:tabs>
          <w:tab w:val="left" w:pos="450"/>
        </w:tabs>
        <w:spacing w:after="0" w:line="480" w:lineRule="auto"/>
        <w:ind w:firstLine="540"/>
        <w:rPr>
          <w:rFonts w:ascii="Times New Roman" w:hAnsi="Times New Roman" w:cs="Times New Roman"/>
        </w:rPr>
      </w:pPr>
      <w:r>
        <w:rPr>
          <w:rFonts w:ascii="Times New Roman" w:hAnsi="Times New Roman" w:cs="Times New Roman"/>
        </w:rPr>
        <w:t xml:space="preserve">Finally, Scenario 5, a ransomware double-extortion campaign conducted by a Ransomware-as-a-Service (RaaS) "client", illustrates the most complex ATT&amp;CK coverage, spanning initial access via exposed VPN or RDP (T1133), lateral movement and tool deployment (T1570), bulk staging of mandatory government identification and documentation and HR files using </w:t>
      </w:r>
      <w:proofErr w:type="spellStart"/>
      <w:r>
        <w:rPr>
          <w:rFonts w:ascii="Times New Roman" w:hAnsi="Times New Roman" w:cs="Times New Roman"/>
        </w:rPr>
        <w:t>Rclone</w:t>
      </w:r>
      <w:proofErr w:type="spellEnd"/>
      <w:r>
        <w:rPr>
          <w:rFonts w:ascii="Times New Roman" w:hAnsi="Times New Roman" w:cs="Times New Roman"/>
        </w:rPr>
        <w:t xml:space="preserve"> and </w:t>
      </w:r>
      <w:proofErr w:type="spellStart"/>
      <w:r>
        <w:rPr>
          <w:rFonts w:ascii="Times New Roman" w:hAnsi="Times New Roman" w:cs="Times New Roman"/>
        </w:rPr>
        <w:t>MEGAsync</w:t>
      </w:r>
      <w:proofErr w:type="spellEnd"/>
      <w:r>
        <w:rPr>
          <w:rFonts w:ascii="Times New Roman" w:hAnsi="Times New Roman" w:cs="Times New Roman"/>
        </w:rPr>
        <w:t xml:space="preserve"> (T1560, T1537), and pre-encryption exfiltration before the ransomware payload is triggered (T1486). The challenge is that this is a sequence where the ATT&amp;CK framework is the only mechanism capable of linking early lateral movement events to the eventual PII exfiltration, hours or days before the encryption event makes the breach undeniable. Across all five scenarios, the ATT&amp;CK framework provides the SOC with a shared, vendor-neutral, standardized language that can provide a uniform reference. In this way, the ATT&amp;CK framework does not simply classify what an attacker did, it also provides the SOC with a much earlier warning about the potential risks. Combined with a PII framework, this increases the efficacy of the SOC to investigate and remediate a potential attack much sooner in the kill chain, preventing a breach.</w:t>
      </w:r>
    </w:p>
    <w:p w14:paraId="5CBA6B9C" w14:textId="77777777" w:rsidR="00B82A90" w:rsidRPr="00A61064" w:rsidRDefault="001C0A17" w:rsidP="00A61064">
      <w:pPr>
        <w:pStyle w:val="Heading2"/>
      </w:pPr>
      <w:bookmarkStart w:id="50" w:name="_Toc236431653"/>
      <w:r>
        <w:t>2.10 Establishing the Potential of a PII Context Framework to Improve SOC Efficacy</w:t>
      </w:r>
      <w:bookmarkEnd w:id="50"/>
    </w:p>
    <w:p w14:paraId="76BF2DF7" w14:textId="77777777" w:rsidR="00B23794" w:rsidRPr="008D552C" w:rsidRDefault="00B23794" w:rsidP="000903C3">
      <w:pPr>
        <w:tabs>
          <w:tab w:val="left" w:pos="450"/>
        </w:tabs>
        <w:spacing w:after="0" w:line="480" w:lineRule="auto"/>
        <w:ind w:firstLine="540"/>
        <w:rPr>
          <w:rFonts w:ascii="Times New Roman" w:hAnsi="Times New Roman" w:cs="Times New Roman"/>
        </w:rPr>
      </w:pPr>
      <w:r>
        <w:rPr>
          <w:rFonts w:ascii="Times New Roman" w:hAnsi="Times New Roman" w:cs="Times New Roman"/>
        </w:rPr>
        <w:t xml:space="preserve">The compounding effects of alert fatigue, insufficient asset context, and the inability to prioritize threats create a structural visibility gap that the literature consistently identifies as a primary driver of modern data breaches (Bradley, 2026; Crowley, 2024). When a SOC team is </w:t>
      </w:r>
      <w:r>
        <w:rPr>
          <w:rFonts w:ascii="Times New Roman" w:hAnsi="Times New Roman" w:cs="Times New Roman"/>
        </w:rPr>
        <w:lastRenderedPageBreak/>
        <w:t>inundated with thousands of generic alerts, the natural operational response is to focus on the loudest or most recent events rather than those posing the greatest risk to the organization's most sensitive assets. Without embedded knowledge of where PII resides and how it is classified, threat actors who mimic legitimate administrative behavior can move undetected through the environment until the damage is irreversible.</w:t>
      </w:r>
    </w:p>
    <w:p w14:paraId="1F5344F5" w14:textId="77777777" w:rsidR="008D552C" w:rsidRPr="008D552C" w:rsidRDefault="008D552C" w:rsidP="000903C3">
      <w:pPr>
        <w:tabs>
          <w:tab w:val="left" w:pos="450"/>
        </w:tabs>
        <w:spacing w:after="0" w:line="480" w:lineRule="auto"/>
        <w:ind w:firstLine="540"/>
        <w:rPr>
          <w:rFonts w:ascii="Times New Roman" w:hAnsi="Times New Roman" w:cs="Times New Roman"/>
        </w:rPr>
      </w:pPr>
      <w:r>
        <w:rPr>
          <w:rFonts w:ascii="Times New Roman" w:hAnsi="Times New Roman" w:cs="Times New Roman"/>
        </w:rPr>
        <w:t>To break this cycle, it is critical to build a PII framework that treats data classification and location as fundamental metadata within the SIEM. By enriching every security event with context regarding the sensitivity of the target data, organizations can transform their defense strategy from a reactive posture to a risk-aligned one. When a SIEM can automatically correlate a suspicious login with a database containing high-sensitivity PII, the resulting alert is no longer just another "anomaly"; it is a high-priority business risk. This depth of correlation allows the SOC to see the network through the eyes of the attacker, recognizing that the true goal is not just to gain access, but to reach the regulated data.</w:t>
      </w:r>
    </w:p>
    <w:p w14:paraId="588937F4" w14:textId="3C0E4BC5" w:rsidR="008D552C" w:rsidRPr="008D552C" w:rsidRDefault="00FA57A1" w:rsidP="000903C3">
      <w:pPr>
        <w:tabs>
          <w:tab w:val="left" w:pos="450"/>
        </w:tabs>
        <w:spacing w:after="0" w:line="480" w:lineRule="auto"/>
        <w:ind w:firstLine="540"/>
        <w:rPr>
          <w:rFonts w:ascii="Times New Roman" w:hAnsi="Times New Roman" w:cs="Times New Roman"/>
        </w:rPr>
      </w:pPr>
      <w:r>
        <w:rPr>
          <w:rFonts w:ascii="Times New Roman" w:hAnsi="Times New Roman" w:cs="Times New Roman"/>
        </w:rPr>
        <w:t>A framework is the essential bridge between technical monitoring and strategic risk management. By integrating PII classification, such as distinguishing between public information and highly regulated Social Security numbers, the SOC can implement dynamic risk scoring that reflects the actual potential for harm. This intelligence enables analysts to ignore the noise and focus on the specific sequence of events that indicate an attacker is probing for or moving toward a data "crown jewel." Knowing exactly where sensitive data resides allows for the creation of "</w:t>
      </w:r>
      <w:r w:rsidR="00267332">
        <w:rPr>
          <w:rFonts w:ascii="Times New Roman" w:hAnsi="Times New Roman" w:cs="Times New Roman"/>
        </w:rPr>
        <w:t>honeypots</w:t>
      </w:r>
      <w:r>
        <w:rPr>
          <w:rFonts w:ascii="Times New Roman" w:hAnsi="Times New Roman" w:cs="Times New Roman"/>
        </w:rPr>
        <w:t>" or specialized watchlists, ensuring that any interaction with those specific targets is met with immediate and surgical investigation.</w:t>
      </w:r>
    </w:p>
    <w:p w14:paraId="23347A63" w14:textId="7F074D38" w:rsidR="008D552C" w:rsidRDefault="008D552C" w:rsidP="000903C3">
      <w:pPr>
        <w:tabs>
          <w:tab w:val="left" w:pos="450"/>
        </w:tabs>
        <w:spacing w:after="0" w:line="480" w:lineRule="auto"/>
        <w:ind w:firstLine="540"/>
        <w:rPr>
          <w:rFonts w:ascii="Times New Roman" w:hAnsi="Times New Roman" w:cs="Times New Roman"/>
        </w:rPr>
      </w:pPr>
      <w:r>
        <w:rPr>
          <w:rFonts w:ascii="Times New Roman" w:hAnsi="Times New Roman" w:cs="Times New Roman"/>
        </w:rPr>
        <w:t xml:space="preserve">Ultimately, effectively identifying when an attacker is attempting to steal PII requires a shift in how a "critical" event is defined. A breach is rarely the result of a single catastrophic </w:t>
      </w:r>
      <w:r>
        <w:rPr>
          <w:rFonts w:ascii="Times New Roman" w:hAnsi="Times New Roman" w:cs="Times New Roman"/>
        </w:rPr>
        <w:lastRenderedPageBreak/>
        <w:t xml:space="preserve">failure, but rather a series of ignored clues that, if viewed through the lens of data context, would have been obvious indicators of compromise. By embedding data sensitivity and location into the very heart of the SOC's investigative workflow, organizations provide their analysts with the "why" behind the "what." This clarity is the most effective weapon against data exfiltration, ensuring that when an attacker reaches for sensitive information, the SOC is already there to stop them. </w:t>
      </w:r>
    </w:p>
    <w:p w14:paraId="7ADB55CF" w14:textId="1F67B2A7" w:rsidR="000903C3" w:rsidRDefault="00D82DB2" w:rsidP="000903C3">
      <w:pPr>
        <w:tabs>
          <w:tab w:val="left" w:pos="450"/>
        </w:tabs>
        <w:spacing w:after="0" w:line="480" w:lineRule="auto"/>
        <w:ind w:firstLine="540"/>
        <w:rPr>
          <w:rFonts w:ascii="Times New Roman" w:hAnsi="Times New Roman" w:cs="Times New Roman"/>
        </w:rPr>
      </w:pPr>
      <w:r>
        <w:rPr>
          <w:rFonts w:ascii="Times New Roman" w:hAnsi="Times New Roman" w:cs="Times New Roman"/>
        </w:rPr>
        <w:t>Taken together, the literature reviewed in this chapter demonstrates that the persistent theft of PII from financial institutions is not primarily a failure of detection technology, but a failure to connect two functions that already exist within most organizations: the data security teams that classify and protect PII at rest, and the SOC teams that monitor and respond to active threats. The major breach case studies in Section 2.4, the SOC workflow examined in Sections 2.6 and 2.7, and the operational challenges of alert fatigue and prioritization failure discussed in Section 2.8 all converge on the same structural gap identified throughout this chapter: SIEM and UEBA platforms correlate behavioral anomalies without any awareness of the sensitivity of the data being touched, leaving analysts to guess at which alerts represent genuine risk to regulated PII. Having established the theoretical and empirical case for a PII Context Framework, the remainder of this praxis shifts from reviewing what is known about this gap to designing and testing a solution for it. Chapter 3 presents the research methodology used to design, implement, and validate this framework within a controlled SOC environment.</w:t>
      </w:r>
    </w:p>
    <w:p w14:paraId="4F116EB8" w14:textId="77777777" w:rsidR="000903C3" w:rsidRDefault="000903C3" w:rsidP="000903C3">
      <w:pPr>
        <w:tabs>
          <w:tab w:val="left" w:pos="450"/>
        </w:tabs>
        <w:spacing w:after="0" w:line="480" w:lineRule="auto"/>
        <w:ind w:firstLine="540"/>
        <w:rPr>
          <w:rFonts w:ascii="Times New Roman" w:hAnsi="Times New Roman" w:cs="Times New Roman"/>
        </w:rPr>
      </w:pPr>
    </w:p>
    <w:p w14:paraId="7FF42C06" w14:textId="77777777" w:rsidR="000903C3" w:rsidRDefault="000903C3" w:rsidP="000903C3">
      <w:pPr>
        <w:tabs>
          <w:tab w:val="left" w:pos="450"/>
        </w:tabs>
        <w:spacing w:after="0" w:line="480" w:lineRule="auto"/>
        <w:ind w:firstLine="540"/>
        <w:rPr>
          <w:rFonts w:ascii="Times New Roman" w:hAnsi="Times New Roman" w:cs="Times New Roman"/>
        </w:rPr>
      </w:pPr>
    </w:p>
    <w:p w14:paraId="0EBDD882" w14:textId="77777777" w:rsidR="000903C3" w:rsidRDefault="000903C3" w:rsidP="000903C3">
      <w:pPr>
        <w:tabs>
          <w:tab w:val="left" w:pos="450"/>
        </w:tabs>
        <w:spacing w:after="0" w:line="480" w:lineRule="auto"/>
        <w:ind w:firstLine="540"/>
        <w:rPr>
          <w:rFonts w:ascii="Times New Roman" w:hAnsi="Times New Roman" w:cs="Times New Roman"/>
        </w:rPr>
      </w:pPr>
    </w:p>
    <w:p w14:paraId="1F1685DE" w14:textId="77777777" w:rsidR="000903C3" w:rsidRDefault="000903C3" w:rsidP="000903C3">
      <w:pPr>
        <w:tabs>
          <w:tab w:val="left" w:pos="450"/>
        </w:tabs>
        <w:spacing w:after="0" w:line="480" w:lineRule="auto"/>
        <w:ind w:firstLine="540"/>
        <w:rPr>
          <w:rFonts w:ascii="Times New Roman" w:hAnsi="Times New Roman" w:cs="Times New Roman"/>
        </w:rPr>
      </w:pPr>
    </w:p>
    <w:p w14:paraId="223418F4" w14:textId="74339B57" w:rsidR="00285C25" w:rsidRPr="000903C3" w:rsidRDefault="00FA5167" w:rsidP="000903C3">
      <w:pPr>
        <w:pStyle w:val="Heading1"/>
        <w:rPr>
          <w:rFonts w:ascii="Times New Roman" w:hAnsi="Times New Roman" w:cs="Times New Roman"/>
          <w:sz w:val="24"/>
          <w:szCs w:val="28"/>
        </w:rPr>
      </w:pPr>
      <w:bookmarkStart w:id="51" w:name="_Toc236431654"/>
      <w:r w:rsidRPr="000903C3">
        <w:rPr>
          <w:rFonts w:ascii="Times New Roman" w:hAnsi="Times New Roman" w:cs="Times New Roman"/>
          <w:sz w:val="24"/>
          <w:szCs w:val="28"/>
        </w:rPr>
        <w:lastRenderedPageBreak/>
        <w:t>Chapter 3 - Methodology</w:t>
      </w:r>
      <w:bookmarkEnd w:id="51"/>
    </w:p>
    <w:p w14:paraId="43AE0BED" w14:textId="77777777" w:rsidR="001C0A17" w:rsidRDefault="001C0A17" w:rsidP="00EB274E">
      <w:pPr>
        <w:rPr>
          <w:rFonts w:ascii="Times New Roman" w:hAnsi="Times New Roman" w:cs="Times New Roman"/>
        </w:rPr>
      </w:pPr>
    </w:p>
    <w:p w14:paraId="070C6149" w14:textId="77777777" w:rsidR="00EA7215" w:rsidRDefault="00EA7215" w:rsidP="00EA7215">
      <w:pPr>
        <w:pStyle w:val="Heading2"/>
      </w:pPr>
      <w:bookmarkStart w:id="52" w:name="_Toc236431655"/>
      <w:r>
        <w:t>3.1 Overview and Research Design</w:t>
      </w:r>
      <w:bookmarkEnd w:id="52"/>
    </w:p>
    <w:p w14:paraId="00FCED5D" w14:textId="77777777" w:rsidR="00EA7215" w:rsidRPr="00764AD6" w:rsidRDefault="00EA7215" w:rsidP="000903C3">
      <w:pPr>
        <w:spacing w:line="480" w:lineRule="auto"/>
        <w:ind w:firstLine="540"/>
        <w:jc w:val="both"/>
        <w:rPr>
          <w:rFonts w:ascii="Times New Roman" w:hAnsi="Times New Roman" w:cs="Times New Roman"/>
        </w:rPr>
      </w:pPr>
      <w:r>
        <w:rPr>
          <w:rFonts w:ascii="Times New Roman" w:hAnsi="Times New Roman" w:cs="Times New Roman"/>
        </w:rPr>
        <w:t>This chapter presents the methodology employed to investigate whether a PII Context Framework, integrated within a SOC environment, can improve triage effectiveness, reduce alert noise, and accelerate analyst prioritization of high-risk data theft threats. The research is grounded in a mixed-methods, applied design science paradigm (Hevner et al., 2004; Peffers et al., 2007). It combines controlled technical experimentation using synthetic attack data with quantitative performance measurement, enabling both the construction and the empirical validation of the proposed framework.</w:t>
      </w:r>
    </w:p>
    <w:p w14:paraId="022AB2F9" w14:textId="77777777" w:rsidR="00B00716" w:rsidRDefault="00EA7215" w:rsidP="000903C3">
      <w:pPr>
        <w:spacing w:line="480" w:lineRule="auto"/>
        <w:ind w:firstLine="540"/>
        <w:jc w:val="both"/>
        <w:rPr>
          <w:rFonts w:ascii="Times New Roman" w:hAnsi="Times New Roman" w:cs="Times New Roman"/>
        </w:rPr>
      </w:pPr>
      <w:r>
        <w:rPr>
          <w:rFonts w:ascii="Times New Roman" w:hAnsi="Times New Roman" w:cs="Times New Roman"/>
        </w:rPr>
        <w:t xml:space="preserve">The core methodology follows a five-stage sequential design as shown in Figure 3.1. </w:t>
      </w:r>
    </w:p>
    <w:p w14:paraId="3B20B80D" w14:textId="77777777" w:rsidR="00B00716" w:rsidRDefault="00A47E39" w:rsidP="00B00716">
      <w:pPr>
        <w:spacing w:line="480" w:lineRule="auto"/>
        <w:ind w:left="360"/>
        <w:jc w:val="both"/>
        <w:rPr>
          <w:rFonts w:ascii="Times New Roman" w:hAnsi="Times New Roman" w:cs="Times New Roman"/>
        </w:rPr>
      </w:pPr>
      <w:r>
        <w:rPr>
          <w:noProof/>
        </w:rPr>
        <w:lastRenderedPageBreak/>
        <w:drawing>
          <wp:inline distT="0" distB="0" distL="0" distR="0" wp14:anchorId="41410352" wp14:editId="76294770">
            <wp:extent cx="5715000" cy="7143750"/>
            <wp:effectExtent l="0" t="0" r="0" b="0"/>
            <wp:docPr id="866318374" name="Picture 86631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7143750"/>
                    </a:xfrm>
                    <a:prstGeom prst="rect">
                      <a:avLst/>
                    </a:prstGeom>
                  </pic:spPr>
                </pic:pic>
              </a:graphicData>
            </a:graphic>
          </wp:inline>
        </w:drawing>
      </w:r>
    </w:p>
    <w:p w14:paraId="71419589" w14:textId="77777777" w:rsidR="00B00716" w:rsidRPr="00003D5A" w:rsidRDefault="00B00716" w:rsidP="00CF0DC0">
      <w:pPr>
        <w:pStyle w:val="Caption"/>
        <w:spacing w:after="0"/>
        <w:jc w:val="center"/>
        <w:rPr>
          <w:rFonts w:cs="Times New Roman"/>
          <w:iCs/>
          <w:sz w:val="18"/>
          <w:szCs w:val="18"/>
        </w:rPr>
      </w:pPr>
      <w:r>
        <w:rPr>
          <w:rFonts w:cs="Times New Roman"/>
          <w:b/>
          <w:iCs/>
          <w:sz w:val="18"/>
          <w:szCs w:val="18"/>
        </w:rPr>
        <w:t>Figure 3.1</w:t>
      </w:r>
      <w:r>
        <w:rPr>
          <w:rFonts w:cs="Times New Roman"/>
          <w:iCs/>
          <w:sz w:val="18"/>
          <w:szCs w:val="18"/>
        </w:rPr>
        <w:t xml:space="preserve"> Five Stages for Implementing, Testing and Validating PII Framework</w:t>
      </w:r>
    </w:p>
    <w:p w14:paraId="7C128CF2" w14:textId="77777777" w:rsidR="00B00716" w:rsidRDefault="00B00716" w:rsidP="00B00716">
      <w:pPr>
        <w:spacing w:line="480" w:lineRule="auto"/>
        <w:ind w:left="360"/>
        <w:jc w:val="both"/>
        <w:rPr>
          <w:rFonts w:ascii="Times New Roman" w:hAnsi="Times New Roman" w:cs="Times New Roman"/>
        </w:rPr>
      </w:pPr>
    </w:p>
    <w:p w14:paraId="6EB61A92" w14:textId="77777777" w:rsidR="00B00716" w:rsidRDefault="00B00716" w:rsidP="00B00716">
      <w:pPr>
        <w:spacing w:line="480" w:lineRule="auto"/>
        <w:ind w:left="360"/>
        <w:jc w:val="both"/>
        <w:rPr>
          <w:rFonts w:ascii="Times New Roman" w:hAnsi="Times New Roman" w:cs="Times New Roman"/>
        </w:rPr>
      </w:pPr>
    </w:p>
    <w:p w14:paraId="5B263A37" w14:textId="77777777" w:rsidR="00B00716" w:rsidRPr="000903C3" w:rsidRDefault="00EA7215" w:rsidP="000903C3">
      <w:pPr>
        <w:spacing w:line="480" w:lineRule="auto"/>
        <w:ind w:firstLine="540"/>
        <w:jc w:val="both"/>
        <w:rPr>
          <w:rFonts w:ascii="Times New Roman" w:hAnsi="Times New Roman" w:cs="Times New Roman"/>
        </w:rPr>
      </w:pPr>
      <w:r>
        <w:rPr>
          <w:rFonts w:ascii="Times New Roman" w:hAnsi="Times New Roman" w:cs="Times New Roman"/>
        </w:rPr>
        <w:lastRenderedPageBreak/>
        <w:t>Each stage builds directly upon the outputs of the preceding stage, establishing a progression from environment configuration to framework validation. The Framework for Evaluation in Design Science (FEDS) (Venable et al., 2016) guided the evaluation strategy, ensuring that both the absence and presence of PII context can be measured against identical synthetic attack scenarios, enabling direct comparison of analyst triage performance under each condition.</w:t>
      </w:r>
      <w:r w:rsidRPr="000903C3">
        <w:rPr>
          <w:rFonts w:ascii="Times New Roman" w:hAnsi="Times New Roman" w:cs="Times New Roman"/>
        </w:rPr>
        <w:t xml:space="preserve"> </w:t>
      </w:r>
    </w:p>
    <w:p w14:paraId="64942E77" w14:textId="77777777" w:rsidR="00A47E39" w:rsidRPr="000903C3" w:rsidRDefault="00A47E39" w:rsidP="000903C3">
      <w:pPr>
        <w:spacing w:line="480" w:lineRule="auto"/>
        <w:ind w:firstLine="540"/>
        <w:jc w:val="both"/>
        <w:rPr>
          <w:rFonts w:ascii="Times New Roman" w:hAnsi="Times New Roman" w:cs="Times New Roman"/>
        </w:rPr>
      </w:pPr>
      <w:r w:rsidRPr="000903C3">
        <w:rPr>
          <w:rFonts w:ascii="Times New Roman" w:hAnsi="Times New Roman" w:cs="Times New Roman"/>
        </w:rPr>
        <w:t>The five numbered stages form the constructive backbone of the study. The flow branches after ECS normalization into the baseline condition (no PII context, executed in Stage 2) and the enriched condition (PII context applied, executed in Stage 5); both conditions feed a single comparative performance-measurement step whose outputs constitute the evidence base for the three hypotheses. The dashed return path from validation to framework construction represents the iterative calibration of scoring weights described in Section 3.7.4. This figure shows that the contribution of the study is not in any single stage but the controlled comparison the pipeline makes possible.</w:t>
      </w:r>
    </w:p>
    <w:p w14:paraId="23C766F2" w14:textId="77777777" w:rsidR="00B00716" w:rsidRPr="000903C3" w:rsidRDefault="00B00716" w:rsidP="000903C3">
      <w:pPr>
        <w:spacing w:line="480" w:lineRule="auto"/>
        <w:ind w:firstLine="540"/>
        <w:jc w:val="both"/>
        <w:rPr>
          <w:rFonts w:ascii="Times New Roman" w:hAnsi="Times New Roman" w:cs="Times New Roman"/>
        </w:rPr>
      </w:pPr>
      <w:r w:rsidRPr="000903C3">
        <w:rPr>
          <w:rFonts w:ascii="Times New Roman" w:hAnsi="Times New Roman" w:cs="Times New Roman"/>
        </w:rPr>
        <w:t>Rather than studying an existing production deployment, this study builds a purpose-built experimental environment that replicates the core components of a modern SOC, which includes log ingestion, normalization, correlation, alerting, and visualization, using open-source tools that are also directly used as enterprise-grade SIEM deployments (Zimmerman, 2014). This approach allows for controlled, reproducible testing that would be impossible in a live security or production environment. At the same time, because the synthetic attack scenarios are derived from documented real-world TTPs drawn from the MITRE ATT&amp;CK framework and mapped to attack patterns observed in the major breaches analyzed in Chapter 2, the research findings speak directly to the challenges faced by operational SOC teams defending financial institutions against PII-targeting threat actors.</w:t>
      </w:r>
    </w:p>
    <w:p w14:paraId="33C511FB" w14:textId="77777777" w:rsidR="00B00716" w:rsidRPr="000903C3" w:rsidRDefault="00B00716" w:rsidP="000903C3">
      <w:pPr>
        <w:spacing w:line="480" w:lineRule="auto"/>
        <w:ind w:firstLine="540"/>
        <w:jc w:val="both"/>
        <w:rPr>
          <w:rFonts w:ascii="Times New Roman" w:hAnsi="Times New Roman" w:cs="Times New Roman"/>
        </w:rPr>
      </w:pPr>
      <w:r w:rsidRPr="000903C3">
        <w:rPr>
          <w:rFonts w:ascii="Times New Roman" w:hAnsi="Times New Roman" w:cs="Times New Roman"/>
        </w:rPr>
        <w:lastRenderedPageBreak/>
        <w:t>The research also addresses three primary hypotheses introduced in Chapter 1. Hypothesis 1 proposes that analysts using a PII context-aware triage framework will identify and prioritize high-risk threats significantly faster than those relying on standard SIEM alerts alone. Hypothesis 2 holds that correlating anomalous behaviors with PII-specific threat context reduces alert noise and improves escalation of critical events. Hypothesis 3 asserts that detection rules mapped to early-stage behavioral indicators of financial threat actors will produce faster and more accurate prioritization responses when augmented by PII context. The five-stage methodology is specifically designed to generate the empirical evidence necessary to evaluate each of these hypotheses.</w:t>
      </w:r>
    </w:p>
    <w:p w14:paraId="2A4F8946" w14:textId="77777777" w:rsidR="00B00716" w:rsidRPr="000903C3" w:rsidRDefault="00B00716" w:rsidP="000903C3">
      <w:pPr>
        <w:spacing w:line="480" w:lineRule="auto"/>
        <w:ind w:firstLine="540"/>
        <w:jc w:val="both"/>
        <w:rPr>
          <w:rFonts w:ascii="Times New Roman" w:hAnsi="Times New Roman" w:cs="Times New Roman"/>
        </w:rPr>
      </w:pPr>
      <w:r w:rsidRPr="000903C3">
        <w:rPr>
          <w:rFonts w:ascii="Times New Roman" w:hAnsi="Times New Roman" w:cs="Times New Roman"/>
        </w:rPr>
        <w:t xml:space="preserve">The remainder of Chapter 3 is organized as follows. Section 3.2 sets out the design science research approach and the comparative evaluation strategy, together with the rationale for an artificial rather than a naturalistic evaluation setting. Section 3.3 restates the three research questions and three hypotheses and specifies the design element and measurement that addresses each. Section 3.4 presents the two-condition experimental design, including the independent and dependent variables and the controls that hold all other factors constant. Section 3.5 presents the graphical model of the methodology and the conceptual model of the PII Context Framework. Section 3.6 describes the synthetic datasets and the five attack scenarios, walking through the attack profiles constructed to represent realistic PII-targeting threat actor campaigns. Section 3.7 documents the techniques and tools, including the containerized platform, Elastic Common Schema normalization, the aggregation and correlation logic, and the design of the PII Context Framework itself. Section 3.8 explains the testing and validation procedures, including the metrics, measurement protocol, and statistical approach used to assess the framework's effectiveness. </w:t>
      </w:r>
      <w:r w:rsidRPr="000903C3">
        <w:rPr>
          <w:rFonts w:ascii="Times New Roman" w:hAnsi="Times New Roman" w:cs="Times New Roman"/>
        </w:rPr>
        <w:lastRenderedPageBreak/>
        <w:t>Section 3.9 addresses ethical considerations and the limitations of this research design, and Section 3.10 summarizes the chapter.</w:t>
      </w:r>
    </w:p>
    <w:p w14:paraId="10BD189F" w14:textId="77777777" w:rsidR="00441811" w:rsidRDefault="00441811" w:rsidP="00441811">
      <w:pPr>
        <w:pStyle w:val="Heading2"/>
        <w:spacing w:before="200" w:after="60"/>
      </w:pPr>
      <w:bookmarkStart w:id="53" w:name="_Toc236431656"/>
      <w:r>
        <w:rPr>
          <w:rFonts w:eastAsia="Times New Roman" w:cs="Times New Roman"/>
          <w:szCs w:val="24"/>
        </w:rPr>
        <w:t>3.2 Research Approach</w:t>
      </w:r>
      <w:bookmarkEnd w:id="53"/>
    </w:p>
    <w:p w14:paraId="41664754" w14:textId="77777777" w:rsidR="009153CB" w:rsidRDefault="00441811" w:rsidP="000903C3">
      <w:pPr>
        <w:spacing w:line="480" w:lineRule="auto"/>
        <w:ind w:firstLine="540"/>
        <w:jc w:val="both"/>
        <w:rPr>
          <w:rFonts w:ascii="Times New Roman" w:hAnsi="Times New Roman" w:cs="Times New Roman"/>
        </w:rPr>
      </w:pPr>
      <w:r w:rsidRPr="000903C3">
        <w:rPr>
          <w:rFonts w:ascii="Times New Roman" w:hAnsi="Times New Roman" w:cs="Times New Roman"/>
        </w:rPr>
        <w:t>This research adopts a design science research (DSR) paradigm combined with a quantitative, comparative evaluation strategy. Design science is appropriate because the central contribution of this study is the construction and evaluation of a novel artifact, the PII Context Framework, rather than the observation of a pre-existing phenomenon (Hevner et al., 2004; Peffers et al., 2007). Hevner et al. (2004) frame design science as the iterative construction and assessment of artifacts that address a relevant organizational problem, and Peffers et al. (2007) provide the six-activity DSR process model, problem identification, objective definition, design and development, demonstration, evaluation, and communication, that structures the progression of this praxis from the problem articulated in Chapter 1 to the validated framework presented here. These stages implemented here are shown in Figure 3.2.</w:t>
      </w:r>
    </w:p>
    <w:p w14:paraId="1935218A" w14:textId="77777777" w:rsidR="000903C3" w:rsidRPr="000903C3" w:rsidRDefault="000903C3" w:rsidP="000903C3">
      <w:pPr>
        <w:spacing w:line="480" w:lineRule="auto"/>
        <w:ind w:firstLine="540"/>
        <w:jc w:val="both"/>
        <w:rPr>
          <w:rFonts w:ascii="Times New Roman" w:hAnsi="Times New Roman" w:cs="Times New Roman"/>
        </w:rPr>
      </w:pPr>
    </w:p>
    <w:p w14:paraId="0BCB4ADE" w14:textId="77777777" w:rsidR="009153CB" w:rsidRDefault="009153CB" w:rsidP="00441811">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CA021F" wp14:editId="3CEBDE97">
            <wp:extent cx="5943600" cy="2153285"/>
            <wp:effectExtent l="0" t="0" r="0" b="0"/>
            <wp:docPr id="10800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3243" name="Picture 1080032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153285"/>
                    </a:xfrm>
                    <a:prstGeom prst="rect">
                      <a:avLst/>
                    </a:prstGeom>
                  </pic:spPr>
                </pic:pic>
              </a:graphicData>
            </a:graphic>
          </wp:inline>
        </w:drawing>
      </w:r>
    </w:p>
    <w:p w14:paraId="1103E8F7" w14:textId="77777777" w:rsidR="00F0362A" w:rsidRPr="005629A4" w:rsidRDefault="00F0362A" w:rsidP="00CF0DC0">
      <w:pPr>
        <w:pStyle w:val="Caption"/>
        <w:jc w:val="center"/>
        <w:rPr>
          <w:sz w:val="20"/>
          <w:szCs w:val="20"/>
        </w:rPr>
      </w:pPr>
      <w:r>
        <w:rPr>
          <w:rFonts w:eastAsia="Times New Roman" w:cs="Times New Roman"/>
          <w:b/>
          <w:bCs/>
          <w:sz w:val="20"/>
          <w:szCs w:val="20"/>
        </w:rPr>
        <w:t xml:space="preserve">Figure 3.2 </w:t>
      </w:r>
      <w:r>
        <w:rPr>
          <w:rFonts w:eastAsia="Times New Roman" w:cs="Times New Roman"/>
          <w:sz w:val="20"/>
          <w:szCs w:val="20"/>
        </w:rPr>
        <w:t>Six-Activity DSR Process Model Implemented for this Praxis.</w:t>
      </w:r>
    </w:p>
    <w:p w14:paraId="5E0CF5B0" w14:textId="77777777" w:rsidR="009153CB" w:rsidRPr="009153CB" w:rsidRDefault="009153CB" w:rsidP="00003D5A">
      <w:pPr>
        <w:spacing w:line="480" w:lineRule="auto"/>
        <w:ind w:left="360"/>
        <w:rPr>
          <w:rFonts w:ascii="Times New Roman" w:eastAsia="Times New Roman" w:hAnsi="Times New Roman" w:cs="Times New Roman"/>
        </w:rPr>
      </w:pPr>
    </w:p>
    <w:p w14:paraId="323A565A" w14:textId="77777777" w:rsidR="00441811" w:rsidRPr="000903C3" w:rsidRDefault="00441811" w:rsidP="000903C3">
      <w:pPr>
        <w:spacing w:line="480" w:lineRule="auto"/>
        <w:ind w:firstLine="540"/>
        <w:jc w:val="both"/>
        <w:rPr>
          <w:rFonts w:ascii="Times New Roman" w:hAnsi="Times New Roman" w:cs="Times New Roman"/>
        </w:rPr>
      </w:pPr>
      <w:r w:rsidRPr="000903C3">
        <w:rPr>
          <w:rFonts w:ascii="Times New Roman" w:hAnsi="Times New Roman" w:cs="Times New Roman"/>
        </w:rPr>
        <w:lastRenderedPageBreak/>
        <w:t xml:space="preserve">The evaluation strategy is grounded in the Framework for Evaluation in Design Science (FEDS) proposed by Venable et al. (2016), which distinguishes between formative evaluation during artifact construction and summative evaluation of the completed artifact, and which recommends an artificial, controlled evaluation setting when real-world deployment would be premature or ethically constrained. Because production financial-institution telemetry cannot be used without exposing real customer PII, an artificial but rigorously controlled evaluation environment is the methodologically defensible choice. The approach is therefore fundamentally constructive: rather than studying an existing production deployment, the study builds a purpose-built experimental environment that replicates the core components of a modern SOC, log ingestion, normalization, correlation, alerting, and visualization, using open-source tooling that is functionally analogous to enterprise-grade SIEM platforms (Zimmerman, 2014; Detken et al., 2015; </w:t>
      </w:r>
      <w:proofErr w:type="spellStart"/>
      <w:r w:rsidRPr="000903C3">
        <w:rPr>
          <w:rFonts w:ascii="Times New Roman" w:hAnsi="Times New Roman" w:cs="Times New Roman"/>
        </w:rPr>
        <w:t>Miloslavskaya</w:t>
      </w:r>
      <w:proofErr w:type="spellEnd"/>
      <w:r w:rsidRPr="000903C3">
        <w:rPr>
          <w:rFonts w:ascii="Times New Roman" w:hAnsi="Times New Roman" w:cs="Times New Roman"/>
        </w:rPr>
        <w:t>, 2018).</w:t>
      </w:r>
    </w:p>
    <w:p w14:paraId="030F8660" w14:textId="4ED3FF7B" w:rsidR="00441811" w:rsidRPr="000903C3" w:rsidRDefault="00441811" w:rsidP="000903C3">
      <w:pPr>
        <w:spacing w:line="480" w:lineRule="auto"/>
        <w:ind w:firstLine="540"/>
        <w:jc w:val="both"/>
        <w:rPr>
          <w:rFonts w:ascii="Times New Roman" w:hAnsi="Times New Roman" w:cs="Times New Roman"/>
        </w:rPr>
      </w:pPr>
      <w:r w:rsidRPr="000903C3">
        <w:rPr>
          <w:rFonts w:ascii="Times New Roman" w:hAnsi="Times New Roman" w:cs="Times New Roman"/>
        </w:rPr>
        <w:t xml:space="preserve">The study is best characterized as a controlled artifact evaluation </w:t>
      </w:r>
      <w:r w:rsidR="007443DD" w:rsidRPr="000903C3">
        <w:rPr>
          <w:rFonts w:ascii="Times New Roman" w:hAnsi="Times New Roman" w:cs="Times New Roman"/>
        </w:rPr>
        <w:t xml:space="preserve">that constitutes a </w:t>
      </w:r>
      <w:r w:rsidRPr="000903C3">
        <w:rPr>
          <w:rFonts w:ascii="Times New Roman" w:hAnsi="Times New Roman" w:cs="Times New Roman"/>
        </w:rPr>
        <w:t>within-subjects comparative design. The same synthetic attack data is processed under two conditions, a baseline condition without PII context and an enriched condition with PII context, so that any measured difference in triage performance is attributable to the framework itself rather than to differences in the underlying data. External validity is preserved by deriving every synthetic attack scenario from documented real-world tactics, techniques, and procedures (TTPs) catalogued in the MITRE ATT&amp;CK knowledge base (Strom et al., 2018; MITRE Corporation, 2026) and mapped to the attack patterns observed in the major financial-sector breaches analyzed in Chapter 2. In this way the findings speak directly to the operational challenges of SOC teams defending financial institutions, even though they are generated in a controlled setting.</w:t>
      </w:r>
    </w:p>
    <w:p w14:paraId="52F4241B" w14:textId="77777777" w:rsidR="00284E84" w:rsidRDefault="00284E84" w:rsidP="00284E84">
      <w:pPr>
        <w:pStyle w:val="Heading2"/>
        <w:spacing w:before="200" w:after="60"/>
      </w:pPr>
      <w:bookmarkStart w:id="54" w:name="_Toc236431657"/>
      <w:r>
        <w:rPr>
          <w:rFonts w:eastAsia="Times New Roman" w:cs="Times New Roman"/>
          <w:szCs w:val="24"/>
        </w:rPr>
        <w:lastRenderedPageBreak/>
        <w:t>3.3 Research Questions and Hypotheses</w:t>
      </w:r>
      <w:bookmarkEnd w:id="54"/>
    </w:p>
    <w:p w14:paraId="7B1A0AF2" w14:textId="77777777" w:rsidR="00284E84" w:rsidRDefault="00284E84" w:rsidP="002F73BD">
      <w:pPr>
        <w:spacing w:after="0" w:line="480" w:lineRule="auto"/>
        <w:ind w:firstLine="540"/>
        <w:jc w:val="both"/>
        <w:rPr>
          <w:rFonts w:ascii="Times New Roman" w:hAnsi="Times New Roman" w:cs="Times New Roman"/>
        </w:rPr>
      </w:pPr>
      <w:r w:rsidRPr="000903C3">
        <w:rPr>
          <w:rFonts w:ascii="Times New Roman" w:hAnsi="Times New Roman" w:cs="Times New Roman"/>
        </w:rPr>
        <w:t>The methodology is designed to investigate the three research questions and three hypotheses introduced in Chapter 1. This section restates them and specifies, for each, the design element and measurement that addresses it. Grounding each question in the gaps identified in Chapter 2 ensures that the methodology investigates the actual problem rather than a proxy for it.</w:t>
      </w:r>
    </w:p>
    <w:p w14:paraId="0629A858" w14:textId="77777777" w:rsidR="002F73BD" w:rsidRDefault="002F73BD" w:rsidP="002F73BD">
      <w:pPr>
        <w:pStyle w:val="Heading3"/>
        <w:numPr>
          <w:ilvl w:val="0"/>
          <w:numId w:val="0"/>
        </w:numPr>
        <w:spacing w:after="0" w:line="480" w:lineRule="auto"/>
        <w:ind w:left="450"/>
        <w:rPr>
          <w:rFonts w:cs="Times New Roman"/>
          <w:szCs w:val="28"/>
        </w:rPr>
      </w:pPr>
      <w:bookmarkStart w:id="55" w:name="_Toc236431658"/>
    </w:p>
    <w:p w14:paraId="1F22C9D8" w14:textId="6D12D2B0" w:rsidR="00284E84" w:rsidRPr="001C3A6D" w:rsidRDefault="001C3A6D" w:rsidP="001C3A6D">
      <w:pPr>
        <w:pStyle w:val="Heading3"/>
        <w:numPr>
          <w:ilvl w:val="0"/>
          <w:numId w:val="0"/>
        </w:numPr>
        <w:spacing w:after="0" w:line="480" w:lineRule="auto"/>
        <w:ind w:left="450"/>
        <w:rPr>
          <w:rFonts w:cs="Times New Roman"/>
          <w:szCs w:val="28"/>
        </w:rPr>
      </w:pPr>
      <w:r>
        <w:rPr>
          <w:rFonts w:cs="Times New Roman"/>
          <w:szCs w:val="28"/>
        </w:rPr>
        <w:t>3.3.1 Research Questions</w:t>
      </w:r>
      <w:bookmarkEnd w:id="55"/>
    </w:p>
    <w:p w14:paraId="14A618D2" w14:textId="77777777" w:rsidR="00284E84" w:rsidRDefault="00284E84" w:rsidP="00AA2008">
      <w:pPr>
        <w:spacing w:line="480" w:lineRule="auto"/>
        <w:ind w:left="630"/>
      </w:pPr>
      <w:r>
        <w:rPr>
          <w:rFonts w:ascii="Times New Roman" w:eastAsia="Times New Roman" w:hAnsi="Times New Roman" w:cs="Times New Roman"/>
        </w:rPr>
        <w:t>Q1. To what extent do current UEBA and SIEM platforms fail to correlate user behavioral anomalies with the specific sensitivity levels of PII and banking data? This question is investigated through the baseline condition (Stage 2), in which standard detection rules operate without any PII metadata, establishing an empirical reference point for the magnitude of the correlation gap described by Crowley (2024) and Tariq et al. (2025).</w:t>
      </w:r>
    </w:p>
    <w:p w14:paraId="4312F05A" w14:textId="77777777" w:rsidR="00284E84" w:rsidRPr="00A743F0" w:rsidRDefault="00284E84" w:rsidP="00A743F0">
      <w:pPr>
        <w:spacing w:line="480" w:lineRule="auto"/>
        <w:ind w:left="630"/>
        <w:rPr>
          <w:rFonts w:ascii="Times New Roman" w:eastAsia="Times New Roman" w:hAnsi="Times New Roman" w:cs="Times New Roman"/>
        </w:rPr>
      </w:pPr>
      <w:r>
        <w:rPr>
          <w:rFonts w:ascii="Times New Roman" w:eastAsia="Times New Roman" w:hAnsi="Times New Roman" w:cs="Times New Roman"/>
        </w:rPr>
        <w:t>Q2.</w:t>
      </w:r>
      <w:r>
        <w:rPr>
          <w:rFonts w:eastAsia="Times New Roman"/>
        </w:rPr>
        <w:t xml:space="preserve"> </w:t>
      </w:r>
      <w:r>
        <w:rPr>
          <w:rFonts w:ascii="Times New Roman" w:eastAsia="Times New Roman" w:hAnsi="Times New Roman" w:cs="Times New Roman"/>
        </w:rPr>
        <w:t>What contextual variables are most critical for an analyst to automate the mapping of "data-at-rest" security insights into real-time "data-in-use" behavioral alerts, thereby providing a more accurate representation of risk? This question is addressed by the design of the PII Context Framework (Stage 4), whose three contextual inputs operationalize the contextual signals that Chapter 2 identified as absent from current triage workflows. The enrichment pipeline (Stages 3 and 4) encodes the framework and applies them to streaming events at ingestion time, directly addressing the integration gap between Data Security Posture Management and the SIEM.</w:t>
      </w:r>
    </w:p>
    <w:p w14:paraId="489B9226" w14:textId="77777777" w:rsidR="00284E84" w:rsidRDefault="00284E84" w:rsidP="002F73BD">
      <w:pPr>
        <w:spacing w:after="0" w:line="480" w:lineRule="auto"/>
        <w:ind w:left="634"/>
        <w:rPr>
          <w:rFonts w:ascii="Times New Roman" w:eastAsia="Times New Roman" w:hAnsi="Times New Roman" w:cs="Times New Roman"/>
        </w:rPr>
      </w:pPr>
      <w:r>
        <w:rPr>
          <w:rFonts w:ascii="Times New Roman" w:eastAsia="Times New Roman" w:hAnsi="Times New Roman" w:cs="Times New Roman"/>
        </w:rPr>
        <w:t xml:space="preserve">Q3. Does the application of a context-aware risk scoring model significantly reduce the noise of false positives compared to standard anomaly detection rules? This question is </w:t>
      </w:r>
      <w:r>
        <w:rPr>
          <w:rFonts w:ascii="Times New Roman" w:eastAsia="Times New Roman" w:hAnsi="Times New Roman" w:cs="Times New Roman"/>
        </w:rPr>
        <w:lastRenderedPageBreak/>
        <w:t>answered quantitatively in the validation stage (Stage 5) by comparing false-positive rates at high priority between the baseline and enriched conditions.</w:t>
      </w:r>
    </w:p>
    <w:p w14:paraId="3D6CA9A2" w14:textId="77777777" w:rsidR="002F73BD" w:rsidRDefault="002F73BD" w:rsidP="002F73BD">
      <w:pPr>
        <w:spacing w:after="0" w:line="480" w:lineRule="auto"/>
        <w:ind w:left="634"/>
      </w:pPr>
    </w:p>
    <w:p w14:paraId="13429366" w14:textId="77777777" w:rsidR="00284E84" w:rsidRPr="001C3A6D" w:rsidRDefault="001C3A6D" w:rsidP="001C3A6D">
      <w:pPr>
        <w:pStyle w:val="Heading3"/>
        <w:numPr>
          <w:ilvl w:val="0"/>
          <w:numId w:val="0"/>
        </w:numPr>
        <w:spacing w:after="0" w:line="480" w:lineRule="auto"/>
        <w:ind w:left="450"/>
        <w:rPr>
          <w:rFonts w:cs="Times New Roman"/>
          <w:szCs w:val="28"/>
        </w:rPr>
      </w:pPr>
      <w:bookmarkStart w:id="56" w:name="_Toc236431659"/>
      <w:r>
        <w:rPr>
          <w:rFonts w:cs="Times New Roman"/>
          <w:szCs w:val="28"/>
        </w:rPr>
        <w:t>3.3.2 Hypotheses</w:t>
      </w:r>
      <w:bookmarkEnd w:id="56"/>
    </w:p>
    <w:p w14:paraId="7C1D707D" w14:textId="77777777" w:rsidR="00284E84" w:rsidRDefault="00284E84" w:rsidP="00AA2008">
      <w:pPr>
        <w:spacing w:line="480" w:lineRule="auto"/>
        <w:ind w:left="630"/>
      </w:pPr>
      <w:r>
        <w:rPr>
          <w:rFonts w:ascii="Times New Roman" w:eastAsia="Times New Roman" w:hAnsi="Times New Roman" w:cs="Times New Roman"/>
        </w:rPr>
        <w:t>H1. Analysts using a PII context-aware triage framework will identify and prioritize high-risk threats to banking and credit-card PII significantly faster than analysts using standard SIEM/UEBA alerts without integrated data-sensitivity context. H1 is evaluated through the simulated triage-time metric under blinded conditions (Section 3.8).</w:t>
      </w:r>
    </w:p>
    <w:p w14:paraId="107173B5" w14:textId="77777777" w:rsidR="00284E84" w:rsidRDefault="00284E84" w:rsidP="00AA2008">
      <w:pPr>
        <w:spacing w:line="480" w:lineRule="auto"/>
        <w:ind w:left="630"/>
      </w:pPr>
      <w:r>
        <w:rPr>
          <w:rFonts w:ascii="Times New Roman" w:eastAsia="Times New Roman" w:hAnsi="Times New Roman" w:cs="Times New Roman"/>
        </w:rPr>
        <w:t>H2. Correlating anomalous behaviors with specific PII-related threat context reduces the noise of non-critical behavioral alerts and improves the escalation of critical anomalies relative to less significant ones. H2 is evaluated through the high-priority alert volume, the true-positive rate at high priority, and the alert-distribution-shift metric.</w:t>
      </w:r>
    </w:p>
    <w:p w14:paraId="5C2F8034" w14:textId="2275E0D0" w:rsidR="00594B1D" w:rsidRDefault="00284E84" w:rsidP="00671782">
      <w:pPr>
        <w:spacing w:after="0" w:line="480" w:lineRule="auto"/>
        <w:ind w:left="630"/>
      </w:pPr>
      <w:r>
        <w:rPr>
          <w:rFonts w:ascii="Times New Roman" w:eastAsia="Times New Roman" w:hAnsi="Times New Roman" w:cs="Times New Roman"/>
        </w:rPr>
        <w:t>H3. Organizations that implement detection rules mapped to the early-stage behavioral indicators of financial threat actors will prioritize and respond to such threats faster when a PII context-aware framework is applied. H3 is evaluated through the early-detection-rate metric, which tests whether high-priority risk scores are assigned to early-stage indicators (for example, lateral movement) before the bulk-exfiltration phase generates more obvious signals (Sloan, 2025; Strom et al., 2018).</w:t>
      </w:r>
      <w:r w:rsidR="00671782">
        <w:rPr>
          <w:rFonts w:ascii="Times New Roman" w:eastAsia="Times New Roman" w:hAnsi="Times New Roman" w:cs="Times New Roman"/>
        </w:rPr>
        <w:t xml:space="preserve"> </w:t>
      </w:r>
    </w:p>
    <w:p w14:paraId="25563D9C" w14:textId="77777777" w:rsidR="00284E84" w:rsidRDefault="00284E84" w:rsidP="00284E84">
      <w:pPr>
        <w:pStyle w:val="Heading2"/>
        <w:spacing w:before="200" w:after="60"/>
      </w:pPr>
      <w:bookmarkStart w:id="57" w:name="_Toc236431660"/>
      <w:r>
        <w:rPr>
          <w:rFonts w:eastAsia="Times New Roman" w:cs="Times New Roman"/>
          <w:szCs w:val="24"/>
        </w:rPr>
        <w:t>3.4 Experimental Design</w:t>
      </w:r>
      <w:bookmarkEnd w:id="57"/>
    </w:p>
    <w:p w14:paraId="788640AB" w14:textId="77777777" w:rsidR="00284E84" w:rsidRPr="000903C3" w:rsidRDefault="00284E84" w:rsidP="000903C3">
      <w:pPr>
        <w:spacing w:line="480" w:lineRule="auto"/>
        <w:ind w:firstLine="540"/>
        <w:jc w:val="both"/>
        <w:rPr>
          <w:rFonts w:ascii="Times New Roman" w:hAnsi="Times New Roman" w:cs="Times New Roman"/>
        </w:rPr>
      </w:pPr>
      <w:r w:rsidRPr="000903C3">
        <w:rPr>
          <w:rFonts w:ascii="Times New Roman" w:hAnsi="Times New Roman" w:cs="Times New Roman"/>
        </w:rPr>
        <w:t xml:space="preserve">The experimental design is a single-environment, two-condition comparative evaluation executed over five synthetic attack scenarios. The independent variable is the presence or absence of PII context enrichment. The dependent variables are the triage-performance metrics defined in Section 3.8: high-priority alert volume, true-positive and false-positive rates at high priority, </w:t>
      </w:r>
      <w:r w:rsidRPr="000903C3">
        <w:rPr>
          <w:rFonts w:ascii="Times New Roman" w:hAnsi="Times New Roman" w:cs="Times New Roman"/>
        </w:rPr>
        <w:lastRenderedPageBreak/>
        <w:t>simulated triage time, and early-detection rate. All other factors, the underlying event data, the detection rules, the analyst evaluators, and the visualization interface, are held constant across conditions so that observed differences can be attributed to the framework.</w:t>
      </w:r>
    </w:p>
    <w:p w14:paraId="516BC666" w14:textId="77777777" w:rsidR="00284E84" w:rsidRPr="000903C3" w:rsidRDefault="009443F9" w:rsidP="000903C3">
      <w:pPr>
        <w:spacing w:line="480" w:lineRule="auto"/>
        <w:ind w:firstLine="540"/>
        <w:jc w:val="both"/>
        <w:rPr>
          <w:rFonts w:ascii="Times New Roman" w:hAnsi="Times New Roman" w:cs="Times New Roman"/>
        </w:rPr>
      </w:pPr>
      <w:r w:rsidRPr="000903C3">
        <w:rPr>
          <w:rFonts w:ascii="Times New Roman" w:hAnsi="Times New Roman" w:cs="Times New Roman"/>
        </w:rPr>
        <w:t xml:space="preserve">As can be seen in Figure 3.3, holding the data constant across conditions is the core control of the design. Each synthetic dataset is normalized once to the Elastic Common Schema (ECS) and then processed through two parallel pipelines that produce two parallel sets of Elasticsearch indices. The only difference between the indices is the presence of the populated </w:t>
      </w:r>
      <w:proofErr w:type="spellStart"/>
      <w:proofErr w:type="gramStart"/>
      <w:r w:rsidRPr="000903C3">
        <w:rPr>
          <w:rFonts w:ascii="Times New Roman" w:hAnsi="Times New Roman" w:cs="Times New Roman"/>
        </w:rPr>
        <w:t>pii.context</w:t>
      </w:r>
      <w:proofErr w:type="spellEnd"/>
      <w:proofErr w:type="gramEnd"/>
      <w:r w:rsidRPr="000903C3">
        <w:rPr>
          <w:rFonts w:ascii="Times New Roman" w:hAnsi="Times New Roman" w:cs="Times New Roman"/>
        </w:rPr>
        <w:t xml:space="preserve"> namespace fields in the enriched condition and their absence in the baseline condition. This dual-index architecture enables direct, field-level comparison against identical underlying events and eliminates dataset variability as a confounding factor (Sommer &amp; Paxson, 2010; Ring et al., 2019).</w:t>
      </w:r>
    </w:p>
    <w:p w14:paraId="2EA70EA6" w14:textId="77777777" w:rsidR="00A47E39" w:rsidRDefault="00A47E39" w:rsidP="00AA2008">
      <w:pPr>
        <w:spacing w:line="480" w:lineRule="auto"/>
        <w:ind w:left="360"/>
        <w:rPr>
          <w:rFonts w:ascii="Times New Roman" w:eastAsia="Times New Roman" w:hAnsi="Times New Roman" w:cs="Times New Roman"/>
        </w:rPr>
      </w:pPr>
    </w:p>
    <w:p w14:paraId="59E9B6BE" w14:textId="77777777" w:rsidR="009443F9" w:rsidRDefault="00E22567" w:rsidP="00AA2008">
      <w:pPr>
        <w:spacing w:line="480" w:lineRule="auto"/>
        <w:ind w:left="360"/>
      </w:pPr>
      <w:r>
        <w:rPr>
          <w:noProof/>
        </w:rPr>
        <w:drawing>
          <wp:inline distT="0" distB="0" distL="0" distR="0" wp14:anchorId="405370BE" wp14:editId="425C5DAE">
            <wp:extent cx="5991860" cy="3017520"/>
            <wp:effectExtent l="0" t="0" r="8890" b="0"/>
            <wp:docPr id="129940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09887" name="Picture 129940988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99735" cy="3021486"/>
                    </a:xfrm>
                    <a:prstGeom prst="rect">
                      <a:avLst/>
                    </a:prstGeom>
                  </pic:spPr>
                </pic:pic>
              </a:graphicData>
            </a:graphic>
          </wp:inline>
        </w:drawing>
      </w:r>
    </w:p>
    <w:p w14:paraId="761478F4" w14:textId="77777777" w:rsidR="009443F9" w:rsidRPr="001341B1" w:rsidRDefault="009443F9" w:rsidP="00CF0DC0">
      <w:pPr>
        <w:pStyle w:val="Caption"/>
        <w:jc w:val="center"/>
        <w:rPr>
          <w:rFonts w:eastAsia="Times New Roman" w:cs="Times New Roman"/>
          <w:sz w:val="18"/>
          <w:szCs w:val="18"/>
        </w:rPr>
      </w:pPr>
      <w:r>
        <w:rPr>
          <w:rFonts w:eastAsia="Times New Roman" w:cs="Times New Roman"/>
          <w:b/>
          <w:bCs/>
          <w:sz w:val="18"/>
          <w:szCs w:val="18"/>
        </w:rPr>
        <w:t xml:space="preserve">Figure 3.3 </w:t>
      </w:r>
      <w:r>
        <w:rPr>
          <w:rFonts w:eastAsia="Times New Roman" w:cs="Times New Roman"/>
          <w:sz w:val="18"/>
          <w:szCs w:val="18"/>
        </w:rPr>
        <w:t>End-to-end Experimental Design across Two Parallel Pipelines</w:t>
      </w:r>
    </w:p>
    <w:p w14:paraId="0A7111FE" w14:textId="77777777" w:rsidR="009443F9" w:rsidRDefault="009443F9" w:rsidP="009443F9">
      <w:pPr>
        <w:spacing w:line="480" w:lineRule="auto"/>
      </w:pPr>
    </w:p>
    <w:p w14:paraId="2ECBFFBC" w14:textId="77777777" w:rsidR="00284E84" w:rsidRPr="000903C3" w:rsidRDefault="00284E84" w:rsidP="000903C3">
      <w:pPr>
        <w:spacing w:line="480" w:lineRule="auto"/>
        <w:ind w:firstLine="540"/>
        <w:jc w:val="both"/>
        <w:rPr>
          <w:rFonts w:ascii="Times New Roman" w:hAnsi="Times New Roman" w:cs="Times New Roman"/>
        </w:rPr>
      </w:pPr>
      <w:r w:rsidRPr="000903C3">
        <w:rPr>
          <w:rFonts w:ascii="Times New Roman" w:hAnsi="Times New Roman" w:cs="Times New Roman"/>
        </w:rPr>
        <w:lastRenderedPageBreak/>
        <w:t>The design proceeds through five sequential stages, each building on the outputs of the prior stage, as depicted in Figure 3.1. Stage 1 establishes an experimental environment. Stage 2 prepares the baseline data and applies standard detection without PII context, producing the comparison reference point. Stage 3 develops the filter, correlation, and visualization infrastructure shared by both conditions. Stage 4 constructs the PII Context Framework and its risk-scoring and promotion engine. Stage 5 re-executes the enriched pipeline and measures performance against the Stage 2 baseline. Consistent with the formative evaluation guidance of FEDS (Venable et al., 2016), the scoring model is calibrated iteratively against a small held-out validation subset before the summative Stage 5 evaluation is conducted, a feedback loop indicated in Figure 3.3.</w:t>
      </w:r>
    </w:p>
    <w:p w14:paraId="631EAD8E" w14:textId="77777777" w:rsidR="00284E84" w:rsidRPr="000903C3" w:rsidRDefault="00284E84" w:rsidP="000903C3">
      <w:pPr>
        <w:spacing w:line="480" w:lineRule="auto"/>
        <w:ind w:firstLine="540"/>
        <w:jc w:val="both"/>
        <w:rPr>
          <w:rFonts w:ascii="Times New Roman" w:hAnsi="Times New Roman" w:cs="Times New Roman"/>
        </w:rPr>
      </w:pPr>
      <w:r w:rsidRPr="000903C3">
        <w:rPr>
          <w:rFonts w:ascii="Times New Roman" w:hAnsi="Times New Roman" w:cs="Times New Roman"/>
        </w:rPr>
        <w:t>To manage scope and to validate the pipeline end-to-end before the full five-scenario evaluation, the Remote Access Trojan (RAT) scenario described in Section 3.6 is implemented first as a proof of concept. This staged implementation is consistent with the research scope defined in Chapter 1, which framed the initial work as building and validating the framework against a small set of representative scenarios before broader testing. The RAT scenario exercises every component of the framework, ingestion, normalization, correlation, enrichment, scoring, and alerting, and therefore confirms that the methodology is sound before it is generalized across the remaining four scenarios.</w:t>
      </w:r>
    </w:p>
    <w:p w14:paraId="161D97E8" w14:textId="77777777" w:rsidR="00284E84" w:rsidRDefault="00284E84" w:rsidP="00284E84">
      <w:pPr>
        <w:pStyle w:val="Heading2"/>
        <w:spacing w:before="200" w:after="60"/>
      </w:pPr>
      <w:bookmarkStart w:id="58" w:name="_Toc236431661"/>
      <w:r>
        <w:rPr>
          <w:rFonts w:eastAsia="Times New Roman" w:cs="Times New Roman"/>
          <w:szCs w:val="24"/>
        </w:rPr>
        <w:t>3.5 The Graphical Model and Conceptual Framework</w:t>
      </w:r>
      <w:bookmarkEnd w:id="58"/>
    </w:p>
    <w:p w14:paraId="08595D40" w14:textId="562A6231" w:rsidR="00284E84" w:rsidRPr="000903C3" w:rsidRDefault="00F0362A" w:rsidP="000903C3">
      <w:pPr>
        <w:spacing w:line="480" w:lineRule="auto"/>
        <w:ind w:firstLine="540"/>
        <w:jc w:val="both"/>
        <w:rPr>
          <w:rFonts w:ascii="Times New Roman" w:hAnsi="Times New Roman" w:cs="Times New Roman"/>
        </w:rPr>
      </w:pPr>
      <w:r w:rsidRPr="000903C3">
        <w:rPr>
          <w:rFonts w:ascii="Times New Roman" w:hAnsi="Times New Roman" w:cs="Times New Roman"/>
        </w:rPr>
        <w:t>Outside of Figure 3.3, the other model that anchors this research is presented in Figure 3.4, which is the conceptual model of the PII Context Framework itself, specifying how the base anomaly risk score is preserved and enriched with contextual inputs that can promote an alert to critical priority when an attack targeting PII is confirmed.</w:t>
      </w:r>
    </w:p>
    <w:p w14:paraId="675B1C0A" w14:textId="77777777" w:rsidR="00284E84" w:rsidRPr="000903C3" w:rsidRDefault="00284E84" w:rsidP="000903C3">
      <w:pPr>
        <w:spacing w:line="480" w:lineRule="auto"/>
        <w:ind w:firstLine="540"/>
        <w:jc w:val="both"/>
        <w:rPr>
          <w:rFonts w:ascii="Times New Roman" w:hAnsi="Times New Roman" w:cs="Times New Roman"/>
        </w:rPr>
      </w:pPr>
    </w:p>
    <w:p w14:paraId="2D4FA9E3" w14:textId="6544CE23" w:rsidR="00284E84" w:rsidRDefault="00670227" w:rsidP="00284E84">
      <w:pPr>
        <w:spacing w:before="120" w:after="60"/>
        <w:jc w:val="center"/>
      </w:pPr>
      <w:r>
        <w:rPr>
          <w:noProof/>
        </w:rPr>
        <w:lastRenderedPageBreak/>
        <w:drawing>
          <wp:inline distT="0" distB="0" distL="0" distR="0" wp14:anchorId="1BA5088E" wp14:editId="1A32F2A0">
            <wp:extent cx="5943600" cy="3342515"/>
            <wp:effectExtent l="0" t="0" r="0" b="7620"/>
            <wp:docPr id="9184790" name="Picture 1" descr="Conceptual model of the PII Context Framework: four bounded scoring inputs feed a risk scoring engine producing a composite risk score, with a critical promotion gate requiring a score of 80 or above, a Tier 1 or Tier 2 PII target, and active-attac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90" name="Picture 91847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2515"/>
                    </a:xfrm>
                    <a:prstGeom prst="rect">
                      <a:avLst/>
                    </a:prstGeom>
                  </pic:spPr>
                </pic:pic>
              </a:graphicData>
            </a:graphic>
          </wp:inline>
        </w:drawing>
      </w:r>
    </w:p>
    <w:p w14:paraId="643545C6" w14:textId="3305CD97" w:rsidR="00284E84" w:rsidRPr="005629A4" w:rsidRDefault="00284E84" w:rsidP="00CF0DC0">
      <w:pPr>
        <w:pStyle w:val="Caption"/>
        <w:jc w:val="center"/>
        <w:rPr>
          <w:rFonts w:eastAsia="Times New Roman" w:cs="Times New Roman"/>
          <w:sz w:val="18"/>
          <w:szCs w:val="18"/>
        </w:rPr>
      </w:pPr>
      <w:r>
        <w:rPr>
          <w:rFonts w:eastAsia="Times New Roman" w:cs="Times New Roman"/>
          <w:b/>
          <w:bCs/>
          <w:sz w:val="18"/>
          <w:szCs w:val="18"/>
        </w:rPr>
        <w:t xml:space="preserve">Figure 3.4 </w:t>
      </w:r>
      <w:r>
        <w:rPr>
          <w:rFonts w:eastAsia="Times New Roman" w:cs="Times New Roman"/>
          <w:sz w:val="18"/>
          <w:szCs w:val="18"/>
        </w:rPr>
        <w:t>Conceptual model of the PII Context Framework</w:t>
      </w:r>
    </w:p>
    <w:p w14:paraId="6AC2B4BD" w14:textId="77777777" w:rsidR="00D05BD1" w:rsidRPr="00D05BD1" w:rsidRDefault="00D05BD1" w:rsidP="00284E84">
      <w:pPr>
        <w:jc w:val="center"/>
        <w:rPr>
          <w:sz w:val="18"/>
          <w:szCs w:val="18"/>
        </w:rPr>
      </w:pPr>
    </w:p>
    <w:p w14:paraId="4A9CA182" w14:textId="1E6CDF8C" w:rsidR="00284E84" w:rsidRPr="000903C3" w:rsidRDefault="00284E84" w:rsidP="000903C3">
      <w:pPr>
        <w:spacing w:line="480" w:lineRule="auto"/>
        <w:ind w:firstLine="540"/>
        <w:jc w:val="both"/>
        <w:rPr>
          <w:rFonts w:ascii="Times New Roman" w:hAnsi="Times New Roman" w:cs="Times New Roman"/>
        </w:rPr>
      </w:pPr>
      <w:r>
        <w:rPr>
          <w:rFonts w:ascii="Times New Roman" w:hAnsi="Times New Roman" w:cs="Times New Roman"/>
        </w:rPr>
        <w:t xml:space="preserve">Figure 3.4 specifies the framework's internal logic. The base alert severity is scored on a 0–100 scale by the standard detection and anomaly rules, independent of any PII context, and is mapped to one of three base priority tiers by threshold: scores of 60 and above are classified as high and routed to the priority investigation queue; scores between 40 and 59 enter a monitored medium-priority queue; and scores below 40 are classified as low and deferred for batch review. The base score never reaches critical on its own. The PII Context Framework then operates as a bounded, weighted promotion layer implemented across the Logstash enrichment layer and Elasticsearch aggregation queries. The framework restricts promotion to critical priority through two separate mechanisms: a weighting model that determines how high an alert's composite score can rise, and a promotion gate that determines whether the alert is eligible for critical priority at all. Each mechanism serves a different purpose. The weighting is </w:t>
      </w:r>
      <w:proofErr w:type="gramStart"/>
      <w:r>
        <w:rPr>
          <w:rFonts w:ascii="Times New Roman" w:hAnsi="Times New Roman" w:cs="Times New Roman"/>
        </w:rPr>
        <w:t>bounded</w:t>
      </w:r>
      <w:proofErr w:type="gramEnd"/>
      <w:r>
        <w:rPr>
          <w:rFonts w:ascii="Times New Roman" w:hAnsi="Times New Roman" w:cs="Times New Roman"/>
        </w:rPr>
        <w:t xml:space="preserve"> so that an alert cannot reach the critical threshold without a data-sensitivity contribution. The base severity produced by </w:t>
      </w:r>
      <w:r>
        <w:rPr>
          <w:rFonts w:ascii="Times New Roman" w:hAnsi="Times New Roman" w:cs="Times New Roman"/>
        </w:rPr>
        <w:lastRenderedPageBreak/>
        <w:t xml:space="preserve">the standard detection and anomaly rules is retained on its native 0–100 scale for base tier assignment and normalized to a maximum contribution of 30 points to the composite; the PII exposure tier of the targeted asset contributes up to 25 points (primary impact), its asset criticality up to 25 points (secondary impact), and the attack complexity of the correlated behavior between 5 and 20 points (threat likelihood). Each is converted to an individually stored, bounded contribution and summed (composite = base + PII + asset + complexity). The four maximum contributions total exactly 100, so no cap is required. </w:t>
      </w:r>
      <w:r w:rsidR="00671782">
        <w:rPr>
          <w:rFonts w:ascii="Times New Roman" w:hAnsi="Times New Roman" w:cs="Times New Roman"/>
        </w:rPr>
        <w:t>Based on this, a</w:t>
      </w:r>
      <w:r>
        <w:rPr>
          <w:rFonts w:ascii="Times New Roman" w:hAnsi="Times New Roman" w:cs="Times New Roman"/>
        </w:rPr>
        <w:t xml:space="preserve">n alert against an asset carrying no PII exposure has a maximum attainable composite of 75, which falls inside the high band and cannot reach the critical threshold of 80. </w:t>
      </w:r>
      <w:r w:rsidR="00671782">
        <w:rPr>
          <w:rFonts w:ascii="Times New Roman" w:hAnsi="Times New Roman" w:cs="Times New Roman"/>
        </w:rPr>
        <w:t>Now, i</w:t>
      </w:r>
      <w:r>
        <w:rPr>
          <w:rFonts w:ascii="Times New Roman" w:hAnsi="Times New Roman" w:cs="Times New Roman"/>
        </w:rPr>
        <w:t xml:space="preserve">mpact dominates likelihood in the model </w:t>
      </w:r>
      <w:r w:rsidR="00671782">
        <w:rPr>
          <w:rFonts w:ascii="Times New Roman" w:hAnsi="Times New Roman" w:cs="Times New Roman"/>
        </w:rPr>
        <w:t xml:space="preserve">as </w:t>
      </w:r>
      <w:r>
        <w:rPr>
          <w:rFonts w:ascii="Times New Roman" w:hAnsi="Times New Roman" w:cs="Times New Roman"/>
        </w:rPr>
        <w:t xml:space="preserve">the most sophisticated attack against the most business-critical asset is limited to high priority when the asset holds no sensitive data, consistent with the risk formulation Risk = </w:t>
      </w:r>
      <w:proofErr w:type="gramStart"/>
      <w:r w:rsidRPr="000903C3">
        <w:rPr>
          <w:rFonts w:ascii="Times New Roman" w:hAnsi="Times New Roman" w:cs="Times New Roman"/>
        </w:rPr>
        <w:t>f(</w:t>
      </w:r>
      <w:proofErr w:type="gramEnd"/>
      <w:r>
        <w:rPr>
          <w:rFonts w:ascii="Times New Roman" w:hAnsi="Times New Roman" w:cs="Times New Roman"/>
        </w:rPr>
        <w:t>Impact, Likelihood) (National Institute of Standards and Technology [NIST], 2012). The reverse is also true</w:t>
      </w:r>
      <w:r w:rsidR="00671782">
        <w:rPr>
          <w:rFonts w:ascii="Times New Roman" w:hAnsi="Times New Roman" w:cs="Times New Roman"/>
        </w:rPr>
        <w:t>.</w:t>
      </w:r>
      <w:r>
        <w:rPr>
          <w:rFonts w:ascii="Times New Roman" w:hAnsi="Times New Roman" w:cs="Times New Roman"/>
        </w:rPr>
        <w:t xml:space="preserve"> PII exposure alone is not sufficient, since an asset registered as holding Tier 1 PII with no detection signal and no correlated technique reaches a composite of only 25. The gate addresses a limitation of the weighting. Because asset criticality is scored independently of PII content, operational importance alone can drive a composite upward without any regulated data being at risk</w:t>
      </w:r>
      <w:r w:rsidR="00671782">
        <w:rPr>
          <w:rFonts w:ascii="Times New Roman" w:hAnsi="Times New Roman" w:cs="Times New Roman"/>
        </w:rPr>
        <w:t xml:space="preserve">, </w:t>
      </w:r>
      <w:r>
        <w:rPr>
          <w:rFonts w:ascii="Times New Roman" w:hAnsi="Times New Roman" w:cs="Times New Roman"/>
        </w:rPr>
        <w:t xml:space="preserve">and a Tier 3 asset combining high base severity with a complex technique chain can reach the threshold on points alone. The gate therefore imposes two conditions that cannot be satisfied by score alone: the target must be registered in the Asset Inventory Registry as holding Tier 1 or Tier 2 PII, and there must be direct evidence of an active attack, either observed PII exposure in the event or a correlated MITRE ATT&amp;CK technique chain. The composite score establishes that an event is serious; the gate establishes that it is directed at regulated PII. Both are required to justify immediate incident response, which is why ambient traffic on a PII-holding asset does not qualify, </w:t>
      </w:r>
      <w:r>
        <w:rPr>
          <w:rFonts w:ascii="Times New Roman" w:hAnsi="Times New Roman" w:cs="Times New Roman"/>
        </w:rPr>
        <w:lastRenderedPageBreak/>
        <w:t>and why a sophisticated intrusion against non-sensitive data is escalated to high but never promoted to critical. This model embeds data-sensitivity context directly into alert prioritization, the integration that Chapter 2 identified as the missing link between data governance and security operations (Pendleton et al., 2016; NIST, 2012).</w:t>
      </w:r>
    </w:p>
    <w:p w14:paraId="1960668F" w14:textId="77777777" w:rsidR="00284E84" w:rsidRDefault="00284E84" w:rsidP="00284E84">
      <w:pPr>
        <w:pStyle w:val="Heading2"/>
        <w:spacing w:before="200" w:after="60"/>
      </w:pPr>
      <w:bookmarkStart w:id="59" w:name="_Toc236431662"/>
      <w:r>
        <w:rPr>
          <w:rFonts w:eastAsia="Times New Roman" w:cs="Times New Roman"/>
          <w:szCs w:val="24"/>
        </w:rPr>
        <w:t>3.6 Datasets</w:t>
      </w:r>
      <w:bookmarkEnd w:id="59"/>
    </w:p>
    <w:p w14:paraId="224B2C21" w14:textId="7B85442D" w:rsidR="00284E84" w:rsidRPr="000903C3" w:rsidRDefault="00284E84" w:rsidP="000903C3">
      <w:pPr>
        <w:spacing w:line="480" w:lineRule="auto"/>
        <w:ind w:firstLine="540"/>
        <w:jc w:val="both"/>
        <w:rPr>
          <w:rFonts w:ascii="Times New Roman" w:hAnsi="Times New Roman" w:cs="Times New Roman"/>
        </w:rPr>
      </w:pPr>
      <w:r w:rsidRPr="000903C3">
        <w:rPr>
          <w:rFonts w:ascii="Times New Roman" w:hAnsi="Times New Roman" w:cs="Times New Roman"/>
        </w:rPr>
        <w:t xml:space="preserve">This research uses synthetic datasets generated specifically for the study. Synthetic data is necessary for both ethical and methodological reasons: it eliminates any exposure of real customer </w:t>
      </w:r>
      <w:r w:rsidR="007443DD" w:rsidRPr="000903C3">
        <w:rPr>
          <w:rFonts w:ascii="Times New Roman" w:hAnsi="Times New Roman" w:cs="Times New Roman"/>
        </w:rPr>
        <w:t>PII,</w:t>
      </w:r>
      <w:r w:rsidRPr="000903C3">
        <w:rPr>
          <w:rFonts w:ascii="Times New Roman" w:hAnsi="Times New Roman" w:cs="Times New Roman"/>
        </w:rPr>
        <w:t xml:space="preserve"> and it permits deterministic, reproducible generation so that identical datasets can be processed under both experimental conditions (Sommer &amp; Paxson, 2010; </w:t>
      </w:r>
      <w:proofErr w:type="spellStart"/>
      <w:r w:rsidRPr="000903C3">
        <w:rPr>
          <w:rFonts w:ascii="Times New Roman" w:hAnsi="Times New Roman" w:cs="Times New Roman"/>
        </w:rPr>
        <w:t>Sharafaldin</w:t>
      </w:r>
      <w:proofErr w:type="spellEnd"/>
      <w:r w:rsidRPr="000903C3">
        <w:rPr>
          <w:rFonts w:ascii="Times New Roman" w:hAnsi="Times New Roman" w:cs="Times New Roman"/>
        </w:rPr>
        <w:t xml:space="preserve"> et al., 2018). Each dataset is generated with custom Python log-generation scripts seeded deterministically, so that the same seed produces an identical dataset across test runs and dataset variability is removed as a confounding variable (Ring et al., 2019). </w:t>
      </w:r>
    </w:p>
    <w:p w14:paraId="38E8BFF6" w14:textId="77777777" w:rsidR="00284E84" w:rsidRPr="000903C3" w:rsidRDefault="00284E84" w:rsidP="000903C3">
      <w:pPr>
        <w:spacing w:line="480" w:lineRule="auto"/>
        <w:ind w:firstLine="540"/>
        <w:jc w:val="both"/>
        <w:rPr>
          <w:rFonts w:ascii="Times New Roman" w:hAnsi="Times New Roman" w:cs="Times New Roman"/>
        </w:rPr>
      </w:pPr>
      <w:r w:rsidRPr="000903C3">
        <w:rPr>
          <w:rFonts w:ascii="Times New Roman" w:hAnsi="Times New Roman" w:cs="Times New Roman"/>
        </w:rPr>
        <w:t>Each dataset contains both malicious and benign events. Benign events simulate normal business activity, routine authentication, scheduled database backups, authorized file access, and ordinary web traffic, and create the alert-noise conditions characteristic of real SOC environments. The ratio of malicious to benign events is set up to approximate the signal-to-noise ratios documented in SOC research, in which true-positive alerts typically represent only a small fraction of total daily alert volume, reproducing the alert-fatigue conditions described in Chapter 2 (Crowley, 2024; Tariq et al., 2025). Every dataset is normalized once to ECS before ingestion so that both conditions operate on identically structured events (</w:t>
      </w:r>
      <w:proofErr w:type="spellStart"/>
      <w:r w:rsidRPr="000903C3">
        <w:rPr>
          <w:rFonts w:ascii="Times New Roman" w:hAnsi="Times New Roman" w:cs="Times New Roman"/>
        </w:rPr>
        <w:t>Brahmam</w:t>
      </w:r>
      <w:proofErr w:type="spellEnd"/>
      <w:r w:rsidRPr="000903C3">
        <w:rPr>
          <w:rFonts w:ascii="Times New Roman" w:hAnsi="Times New Roman" w:cs="Times New Roman"/>
        </w:rPr>
        <w:t>, 2023).</w:t>
      </w:r>
    </w:p>
    <w:p w14:paraId="54190F44" w14:textId="77777777" w:rsidR="00284E84" w:rsidRPr="000903C3" w:rsidRDefault="00284E84" w:rsidP="000903C3">
      <w:pPr>
        <w:spacing w:line="480" w:lineRule="auto"/>
        <w:ind w:firstLine="540"/>
        <w:jc w:val="both"/>
        <w:rPr>
          <w:rFonts w:ascii="Times New Roman" w:hAnsi="Times New Roman" w:cs="Times New Roman"/>
        </w:rPr>
      </w:pPr>
      <w:r w:rsidRPr="000903C3">
        <w:rPr>
          <w:rFonts w:ascii="Times New Roman" w:hAnsi="Times New Roman" w:cs="Times New Roman"/>
        </w:rPr>
        <w:t xml:space="preserve">Five scenarios were designed, each targeting a distinct PII category, employing a different initial-access vector, and producing a unique behavioral signature, so that the framework must demonstrate breadth of coverage rather than optimization for a single attack pattern (Strom et al., </w:t>
      </w:r>
      <w:r w:rsidRPr="000903C3">
        <w:rPr>
          <w:rFonts w:ascii="Times New Roman" w:hAnsi="Times New Roman" w:cs="Times New Roman"/>
        </w:rPr>
        <w:lastRenderedPageBreak/>
        <w:t xml:space="preserve">2018; MITRE Corporation, 2026). To make sure the datasets and attack scenarios were valid situations for a SOC team, they were modeled after the attacks listed in section 2.4. Each scenario is specified in three layers: the attacker objective (the PII types targeted), the technique chain (mapped to MITRE ATT&amp;CK tactics and techniques), and the log signature (the event fields and sequences generated in the experimental environment). </w:t>
      </w:r>
    </w:p>
    <w:p w14:paraId="780B178E" w14:textId="77777777" w:rsidR="007443DD" w:rsidRDefault="007443DD" w:rsidP="00AA2008">
      <w:pPr>
        <w:spacing w:line="480" w:lineRule="auto"/>
        <w:ind w:left="360"/>
        <w:rPr>
          <w:rFonts w:ascii="Times New Roman" w:eastAsia="Times New Roman" w:hAnsi="Times New Roman" w:cs="Times New Roman"/>
        </w:rPr>
      </w:pPr>
    </w:p>
    <w:p w14:paraId="606B87CE" w14:textId="77777777" w:rsidR="00284E84" w:rsidRPr="001C3A6D" w:rsidRDefault="001C3A6D" w:rsidP="001C3A6D">
      <w:pPr>
        <w:pStyle w:val="Heading3"/>
        <w:numPr>
          <w:ilvl w:val="0"/>
          <w:numId w:val="0"/>
        </w:numPr>
        <w:spacing w:after="0" w:line="480" w:lineRule="auto"/>
        <w:ind w:left="450"/>
        <w:rPr>
          <w:rFonts w:cs="Times New Roman"/>
          <w:szCs w:val="28"/>
        </w:rPr>
      </w:pPr>
      <w:bookmarkStart w:id="60" w:name="_Toc236431663"/>
      <w:r>
        <w:rPr>
          <w:rFonts w:cs="Times New Roman"/>
          <w:szCs w:val="28"/>
        </w:rPr>
        <w:t>3.6.1 Primary Scenario: Remote Access Trojan with PII Exfiltration</w:t>
      </w:r>
      <w:bookmarkEnd w:id="60"/>
    </w:p>
    <w:p w14:paraId="1845DD74" w14:textId="033C45CD" w:rsidR="00284E84" w:rsidRDefault="00284E84" w:rsidP="000903C3">
      <w:pPr>
        <w:spacing w:after="200" w:line="480" w:lineRule="auto"/>
        <w:ind w:left="540" w:firstLine="360"/>
        <w:rPr>
          <w:rFonts w:ascii="Times New Roman" w:eastAsia="Arial" w:hAnsi="Times New Roman" w:cs="Times New Roman"/>
        </w:rPr>
      </w:pPr>
      <w:r w:rsidRPr="000903C3">
        <w:rPr>
          <w:rFonts w:ascii="Times New Roman" w:eastAsia="Arial" w:hAnsi="Times New Roman" w:cs="Times New Roman"/>
        </w:rPr>
        <w:t>The RAT scenario is the initial implemented scenario and the proof of concept for the full methodology. RAT campaigns are a well-documented and severe threat to financial institutions because they grant persistent, interactive control of a compromised host from which an operator can locate and exfiltrate sensitive data over an extended period (El-</w:t>
      </w:r>
      <w:proofErr w:type="spellStart"/>
      <w:r w:rsidRPr="000903C3">
        <w:rPr>
          <w:rFonts w:ascii="Times New Roman" w:eastAsia="Arial" w:hAnsi="Times New Roman" w:cs="Times New Roman"/>
        </w:rPr>
        <w:t>Metwaly</w:t>
      </w:r>
      <w:proofErr w:type="spellEnd"/>
      <w:r w:rsidRPr="000903C3">
        <w:rPr>
          <w:rFonts w:ascii="Times New Roman" w:eastAsia="Arial" w:hAnsi="Times New Roman" w:cs="Times New Roman"/>
        </w:rPr>
        <w:t xml:space="preserve"> et al., 2024). The scenario, as detailed in Figure 3.5, simulates a spear-phishing delivery of a RAT to a financial-institution employee with access to customer Social Security numbers and bank-account records. The technique chain begins with initial access via a malicious email attachment (T1566.001, </w:t>
      </w:r>
      <w:proofErr w:type="spellStart"/>
      <w:r w:rsidRPr="000903C3">
        <w:rPr>
          <w:rFonts w:ascii="Times New Roman" w:eastAsia="Arial" w:hAnsi="Times New Roman" w:cs="Times New Roman"/>
        </w:rPr>
        <w:t>Spearphishing</w:t>
      </w:r>
      <w:proofErr w:type="spellEnd"/>
      <w:r w:rsidRPr="000903C3">
        <w:rPr>
          <w:rFonts w:ascii="Times New Roman" w:eastAsia="Arial" w:hAnsi="Times New Roman" w:cs="Times New Roman"/>
        </w:rPr>
        <w:t xml:space="preserve"> Attachment), establishes persistence through a Windows registry Run key modification (T1547.001, Registry Run Keys), proceeds through PowerShell-based file and directory discovery targeting directories known to contain SSN and account data (T1083 and T1005), and culminates in staged exfiltration over a command-and-control channel (T1074.001 and T1041) (Applebaum et al., 2016; MITRE Corporation, 2026).</w:t>
      </w:r>
    </w:p>
    <w:p w14:paraId="688FF0B4" w14:textId="77777777" w:rsidR="000903C3" w:rsidRPr="000903C3" w:rsidRDefault="000903C3" w:rsidP="000903C3">
      <w:pPr>
        <w:spacing w:after="200" w:line="480" w:lineRule="auto"/>
        <w:ind w:left="540" w:firstLine="360"/>
        <w:rPr>
          <w:rFonts w:ascii="Times New Roman" w:eastAsia="Arial" w:hAnsi="Times New Roman" w:cs="Times New Roman"/>
        </w:rPr>
      </w:pPr>
    </w:p>
    <w:p w14:paraId="4B4D6908" w14:textId="77777777" w:rsidR="00DD36FB" w:rsidRDefault="004600DA" w:rsidP="002B0BF2">
      <w:pPr>
        <w:spacing w:line="480" w:lineRule="auto"/>
        <w:ind w:left="630"/>
      </w:pPr>
      <w:r>
        <w:rPr>
          <w:noProof/>
        </w:rPr>
        <w:lastRenderedPageBreak/>
        <w:drawing>
          <wp:inline distT="0" distB="0" distL="0" distR="0" wp14:anchorId="5BCD3C0C" wp14:editId="73087F35">
            <wp:extent cx="5943600" cy="2599690"/>
            <wp:effectExtent l="0" t="0" r="0" b="0"/>
            <wp:docPr id="572824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24259" name="Picture 5728242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99690"/>
                    </a:xfrm>
                    <a:prstGeom prst="rect">
                      <a:avLst/>
                    </a:prstGeom>
                  </pic:spPr>
                </pic:pic>
              </a:graphicData>
            </a:graphic>
          </wp:inline>
        </w:drawing>
      </w:r>
    </w:p>
    <w:p w14:paraId="73C33317" w14:textId="3A4E7B14" w:rsidR="004600DA" w:rsidRPr="005629A4" w:rsidRDefault="004600DA" w:rsidP="00CF0DC0">
      <w:pPr>
        <w:pStyle w:val="Caption"/>
        <w:jc w:val="center"/>
        <w:rPr>
          <w:rFonts w:eastAsia="Times New Roman" w:cs="Times New Roman"/>
          <w:sz w:val="18"/>
          <w:szCs w:val="18"/>
        </w:rPr>
      </w:pPr>
      <w:r>
        <w:rPr>
          <w:rFonts w:eastAsia="Times New Roman" w:cs="Times New Roman"/>
          <w:b/>
          <w:bCs/>
          <w:sz w:val="18"/>
          <w:szCs w:val="18"/>
        </w:rPr>
        <w:t xml:space="preserve">Figure 3.5 </w:t>
      </w:r>
      <w:r>
        <w:rPr>
          <w:rFonts w:eastAsia="Times New Roman" w:cs="Times New Roman"/>
          <w:sz w:val="18"/>
          <w:szCs w:val="18"/>
        </w:rPr>
        <w:t>Scenario 1: Remote Access Trojan (RAT) targeting PII for Exfiltration</w:t>
      </w:r>
    </w:p>
    <w:p w14:paraId="228BFBBC" w14:textId="77777777" w:rsidR="004600DA" w:rsidRDefault="004600DA" w:rsidP="002B0BF2">
      <w:pPr>
        <w:spacing w:line="480" w:lineRule="auto"/>
        <w:ind w:left="630"/>
      </w:pPr>
    </w:p>
    <w:p w14:paraId="6F4510DE" w14:textId="77777777" w:rsidR="00284E84" w:rsidRDefault="00284E84" w:rsidP="002B0BF2">
      <w:pPr>
        <w:spacing w:line="480" w:lineRule="auto"/>
        <w:ind w:left="630"/>
        <w:rPr>
          <w:rFonts w:ascii="Times New Roman" w:eastAsia="Times New Roman" w:hAnsi="Times New Roman" w:cs="Times New Roman"/>
        </w:rPr>
      </w:pPr>
      <w:r>
        <w:rPr>
          <w:rFonts w:ascii="Times New Roman" w:eastAsia="Times New Roman" w:hAnsi="Times New Roman" w:cs="Times New Roman"/>
        </w:rPr>
        <w:t>The synthetic log data for the RAT scenario simulates 72 hours of attacker activity following initial access and includes endpoint telemetry, network-flow records, and process-execution events at volumes sufficient to embed the malicious sequence within realistic noise. Without PII context, the command-and-control beaconing and registry-persistence events are expected to generate only low-to-medium-severity alerts that would be triaged as anomalous but not necessarily high priority (Crowley, 2024). With PII context applied, the framework is expected to confirm that the correlated activity constitutes an active attack against assets tagged as containing Tier 1 PII, promoting the affected alerts from their low-to-medium base priority to critical (Hubbard &amp; Seiersen, 2023). Because the RAT scenario exercises every stage of the pipeline, its successful execution validates the methodology before it extends to the remaining four scenarios.</w:t>
      </w:r>
    </w:p>
    <w:p w14:paraId="47A50FFB" w14:textId="77777777" w:rsidR="00233385" w:rsidRDefault="00233385" w:rsidP="002B0BF2">
      <w:pPr>
        <w:spacing w:line="480" w:lineRule="auto"/>
        <w:ind w:left="630"/>
      </w:pPr>
    </w:p>
    <w:p w14:paraId="2262E96D" w14:textId="77777777" w:rsidR="00284E84" w:rsidRPr="001C3A6D" w:rsidRDefault="001C3A6D" w:rsidP="001C3A6D">
      <w:pPr>
        <w:pStyle w:val="Heading3"/>
        <w:numPr>
          <w:ilvl w:val="0"/>
          <w:numId w:val="0"/>
        </w:numPr>
        <w:spacing w:after="0" w:line="480" w:lineRule="auto"/>
        <w:ind w:left="450"/>
        <w:rPr>
          <w:rFonts w:cs="Times New Roman"/>
          <w:szCs w:val="28"/>
        </w:rPr>
      </w:pPr>
      <w:bookmarkStart w:id="61" w:name="_Toc236431664"/>
      <w:r>
        <w:rPr>
          <w:rFonts w:cs="Times New Roman"/>
          <w:szCs w:val="28"/>
        </w:rPr>
        <w:lastRenderedPageBreak/>
        <w:t>3.6.2 Remaining Scenarios</w:t>
      </w:r>
      <w:bookmarkEnd w:id="61"/>
      <w:r>
        <w:rPr>
          <w:rFonts w:cs="Times New Roman"/>
          <w:szCs w:val="28"/>
        </w:rPr>
        <w:t xml:space="preserve"> </w:t>
      </w:r>
    </w:p>
    <w:p w14:paraId="47A1BAE3" w14:textId="6FD476AE" w:rsidR="00284E84" w:rsidRDefault="004600DA" w:rsidP="000903C3">
      <w:pPr>
        <w:spacing w:after="200" w:line="480" w:lineRule="auto"/>
        <w:ind w:left="540" w:firstLine="360"/>
        <w:rPr>
          <w:rFonts w:ascii="Times New Roman" w:eastAsia="Arial" w:hAnsi="Times New Roman" w:cs="Times New Roman"/>
        </w:rPr>
      </w:pPr>
      <w:r w:rsidRPr="000903C3">
        <w:rPr>
          <w:rFonts w:ascii="Times New Roman" w:eastAsia="Arial" w:hAnsi="Times New Roman" w:cs="Times New Roman"/>
        </w:rPr>
        <w:t>As seen in Figure 3.6, Scenario 2 simulates a credential-harvesting campaign and online-banking account takeover, chaining phishing delivery of a credential-harvesting page (T1566.002), anomalous authentication from new geographic locations (T1078), and session-token theft (T1539 and T1185). It tests whether the framework correctly elevates authentication anomalies when they are associated with the authentication gateway for accounts containing high-sensitivity banking PII (Pendleton et al., 2016; NIST, 2012).</w:t>
      </w:r>
    </w:p>
    <w:p w14:paraId="7BD66B20" w14:textId="77777777" w:rsidR="00A9340A" w:rsidRPr="000903C3" w:rsidRDefault="00A9340A" w:rsidP="000903C3">
      <w:pPr>
        <w:spacing w:after="200" w:line="480" w:lineRule="auto"/>
        <w:ind w:left="540" w:firstLine="360"/>
        <w:rPr>
          <w:rFonts w:ascii="Times New Roman" w:eastAsia="Arial" w:hAnsi="Times New Roman" w:cs="Times New Roman"/>
        </w:rPr>
      </w:pPr>
    </w:p>
    <w:p w14:paraId="228B6A76" w14:textId="77777777" w:rsidR="004600DA" w:rsidRDefault="004F7174" w:rsidP="002B0BF2">
      <w:pPr>
        <w:spacing w:line="480" w:lineRule="auto"/>
        <w:ind w:left="630"/>
      </w:pPr>
      <w:r>
        <w:rPr>
          <w:noProof/>
        </w:rPr>
        <w:drawing>
          <wp:inline distT="0" distB="0" distL="0" distR="0" wp14:anchorId="24E64A54" wp14:editId="74CD4332">
            <wp:extent cx="5943600" cy="2571750"/>
            <wp:effectExtent l="0" t="0" r="0" b="0"/>
            <wp:docPr id="154582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2835" name="Picture 1545828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14:paraId="597FFC18" w14:textId="44D9DC95" w:rsidR="004600DA" w:rsidRPr="005629A4" w:rsidRDefault="004600DA" w:rsidP="00CF0DC0">
      <w:pPr>
        <w:pStyle w:val="Caption"/>
        <w:jc w:val="center"/>
        <w:rPr>
          <w:rFonts w:eastAsia="Times New Roman" w:cs="Times New Roman"/>
          <w:sz w:val="18"/>
          <w:szCs w:val="18"/>
        </w:rPr>
      </w:pPr>
      <w:r>
        <w:rPr>
          <w:rFonts w:eastAsia="Times New Roman" w:cs="Times New Roman"/>
          <w:b/>
          <w:bCs/>
          <w:sz w:val="18"/>
          <w:szCs w:val="18"/>
        </w:rPr>
        <w:t xml:space="preserve">Figure 3.6 </w:t>
      </w:r>
      <w:r>
        <w:rPr>
          <w:rFonts w:eastAsia="Times New Roman" w:cs="Times New Roman"/>
          <w:sz w:val="18"/>
          <w:szCs w:val="18"/>
        </w:rPr>
        <w:t>Scenario 2: Credential Harvesting and Online Banking Account Takeover</w:t>
      </w:r>
    </w:p>
    <w:p w14:paraId="1DF70CA6" w14:textId="77777777" w:rsidR="004600DA" w:rsidRDefault="004600DA" w:rsidP="002B0BF2">
      <w:pPr>
        <w:spacing w:line="480" w:lineRule="auto"/>
        <w:ind w:left="630"/>
      </w:pPr>
    </w:p>
    <w:p w14:paraId="29ACED4F" w14:textId="68D0FDB1" w:rsidR="00284E84" w:rsidRDefault="00284E84" w:rsidP="00A9340A">
      <w:pPr>
        <w:spacing w:after="200" w:line="480" w:lineRule="auto"/>
        <w:ind w:left="540" w:firstLine="360"/>
        <w:rPr>
          <w:rFonts w:ascii="Times New Roman" w:eastAsia="Arial" w:hAnsi="Times New Roman" w:cs="Times New Roman"/>
        </w:rPr>
      </w:pPr>
      <w:r w:rsidRPr="00A9340A">
        <w:rPr>
          <w:rFonts w:ascii="Times New Roman" w:eastAsia="Arial" w:hAnsi="Times New Roman" w:cs="Times New Roman"/>
        </w:rPr>
        <w:t xml:space="preserve">Scenario 3 simulates a privileged-insider threat in which a database administrator conducts bulk exports of full customer records comprising Social Security numbers, account numbers, and credit histories, all classified as Tier 1 PII. The scenario is illustrated in Figure 3.7. It chains legitimate-credential abuse (T1078.002), unauthorized bulk data </w:t>
      </w:r>
      <w:r w:rsidRPr="00A9340A">
        <w:rPr>
          <w:rFonts w:ascii="Times New Roman" w:eastAsia="Arial" w:hAnsi="Times New Roman" w:cs="Times New Roman"/>
        </w:rPr>
        <w:lastRenderedPageBreak/>
        <w:t xml:space="preserve">collection (T1530, adapted to an on-premises database context), and exfiltration </w:t>
      </w:r>
      <w:r w:rsidR="0060340D">
        <w:rPr>
          <w:rFonts w:ascii="Times New Roman" w:eastAsia="Arial" w:hAnsi="Times New Roman" w:cs="Times New Roman"/>
        </w:rPr>
        <w:t>through</w:t>
      </w:r>
      <w:r w:rsidRPr="00A9340A">
        <w:rPr>
          <w:rFonts w:ascii="Times New Roman" w:eastAsia="Arial" w:hAnsi="Times New Roman" w:cs="Times New Roman"/>
        </w:rPr>
        <w:t xml:space="preserve"> an external cloud-synchronization service (T1048 and T1567). This scenario is the most challenging for standard detection because the actor uses legitimate credentials within the scope of an administrative role</w:t>
      </w:r>
      <w:r w:rsidR="00671782">
        <w:rPr>
          <w:rFonts w:ascii="Times New Roman" w:eastAsia="Arial" w:hAnsi="Times New Roman" w:cs="Times New Roman"/>
        </w:rPr>
        <w:t>. Therefore,</w:t>
      </w:r>
      <w:r w:rsidRPr="00A9340A">
        <w:rPr>
          <w:rFonts w:ascii="Times New Roman" w:eastAsia="Arial" w:hAnsi="Times New Roman" w:cs="Times New Roman"/>
        </w:rPr>
        <w:t xml:space="preserve"> the framework is expected to differentiate authorized bulk access from unauthorized bulk export by correlating event volume and frequency against the PII sensitivity tier of the targeted tables (Greitzer &amp; Ferryman, 2013; McCallister et al., 2010).</w:t>
      </w:r>
    </w:p>
    <w:p w14:paraId="1097109F" w14:textId="77777777" w:rsidR="00A9340A" w:rsidRPr="00A9340A" w:rsidRDefault="00A9340A" w:rsidP="00A9340A">
      <w:pPr>
        <w:spacing w:after="200" w:line="480" w:lineRule="auto"/>
        <w:ind w:left="540" w:firstLine="360"/>
        <w:rPr>
          <w:rFonts w:ascii="Times New Roman" w:eastAsia="Arial" w:hAnsi="Times New Roman" w:cs="Times New Roman"/>
        </w:rPr>
      </w:pPr>
    </w:p>
    <w:p w14:paraId="6A18C198" w14:textId="77777777" w:rsidR="004600DA" w:rsidRDefault="004F7174" w:rsidP="002B0BF2">
      <w:pPr>
        <w:spacing w:line="480" w:lineRule="auto"/>
        <w:ind w:left="630"/>
      </w:pPr>
      <w:r>
        <w:rPr>
          <w:noProof/>
        </w:rPr>
        <w:drawing>
          <wp:inline distT="0" distB="0" distL="0" distR="0" wp14:anchorId="5878337B" wp14:editId="0FC43260">
            <wp:extent cx="5943600" cy="2571750"/>
            <wp:effectExtent l="0" t="0" r="0" b="0"/>
            <wp:docPr id="215276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76161" name="Picture 2152761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14:paraId="52C7D283" w14:textId="3BD03D5E" w:rsidR="004600DA" w:rsidRPr="005629A4" w:rsidRDefault="004600DA" w:rsidP="00CF0DC0">
      <w:pPr>
        <w:pStyle w:val="Caption"/>
        <w:jc w:val="center"/>
        <w:rPr>
          <w:rFonts w:eastAsia="Times New Roman" w:cs="Times New Roman"/>
          <w:sz w:val="18"/>
          <w:szCs w:val="18"/>
        </w:rPr>
      </w:pPr>
      <w:r>
        <w:rPr>
          <w:rFonts w:eastAsia="Times New Roman" w:cs="Times New Roman"/>
          <w:b/>
          <w:bCs/>
          <w:sz w:val="18"/>
          <w:szCs w:val="18"/>
        </w:rPr>
        <w:t xml:space="preserve">Figure 3.7 </w:t>
      </w:r>
      <w:r>
        <w:rPr>
          <w:rFonts w:eastAsia="Times New Roman" w:cs="Times New Roman"/>
          <w:sz w:val="18"/>
          <w:szCs w:val="18"/>
        </w:rPr>
        <w:t>Scenario 3: Insider Threat from Privileged User Illegally Exporting Customer Database</w:t>
      </w:r>
    </w:p>
    <w:p w14:paraId="56E3D3D0" w14:textId="77777777" w:rsidR="004600DA" w:rsidRDefault="004600DA" w:rsidP="004600DA">
      <w:pPr>
        <w:spacing w:line="480" w:lineRule="auto"/>
      </w:pPr>
    </w:p>
    <w:p w14:paraId="7D41C5CC" w14:textId="0CA3F3EF" w:rsidR="00284E84" w:rsidRDefault="00284E84" w:rsidP="00A9340A">
      <w:pPr>
        <w:spacing w:after="200" w:line="480" w:lineRule="auto"/>
        <w:ind w:left="540" w:firstLine="360"/>
        <w:rPr>
          <w:rFonts w:ascii="Times New Roman" w:eastAsia="Arial" w:hAnsi="Times New Roman" w:cs="Times New Roman"/>
        </w:rPr>
      </w:pPr>
      <w:r w:rsidRPr="00A9340A">
        <w:rPr>
          <w:rFonts w:ascii="Times New Roman" w:eastAsia="Arial" w:hAnsi="Times New Roman" w:cs="Times New Roman"/>
        </w:rPr>
        <w:t xml:space="preserve">Scenario 4 simulates an external attacker exploiting a SQL injection vulnerability (T1190) in a web-facing financial application, deploying a web shell for persistence (T1505), and </w:t>
      </w:r>
      <w:r w:rsidR="00671782">
        <w:rPr>
          <w:rFonts w:ascii="Times New Roman" w:eastAsia="Arial" w:hAnsi="Times New Roman" w:cs="Times New Roman"/>
        </w:rPr>
        <w:t xml:space="preserve">then </w:t>
      </w:r>
      <w:r w:rsidRPr="00A9340A">
        <w:rPr>
          <w:rFonts w:ascii="Times New Roman" w:eastAsia="Arial" w:hAnsi="Times New Roman" w:cs="Times New Roman"/>
        </w:rPr>
        <w:t xml:space="preserve">staging and </w:t>
      </w:r>
      <w:r w:rsidR="00671782">
        <w:rPr>
          <w:rFonts w:ascii="Times New Roman" w:eastAsia="Arial" w:hAnsi="Times New Roman" w:cs="Times New Roman"/>
        </w:rPr>
        <w:t>executing the exfiltration of</w:t>
      </w:r>
      <w:r w:rsidRPr="00A9340A">
        <w:rPr>
          <w:rFonts w:ascii="Times New Roman" w:eastAsia="Arial" w:hAnsi="Times New Roman" w:cs="Times New Roman"/>
        </w:rPr>
        <w:t xml:space="preserve"> credit-card records, specifically full payment-card account numbers classified as Tier 1 PII (T1074 and T1041). It tests </w:t>
      </w:r>
      <w:r w:rsidRPr="00A9340A">
        <w:rPr>
          <w:rFonts w:ascii="Times New Roman" w:eastAsia="Arial" w:hAnsi="Times New Roman" w:cs="Times New Roman"/>
        </w:rPr>
        <w:lastRenderedPageBreak/>
        <w:t xml:space="preserve">whether the framework elevates application-layer indicators that appear in isolation as routine error logs when those indicators are associated with assets hosting cardholder data subject to PCI DSS requirements (Payment Card Industry Security Standards Council [PCI SSC], 2022). Figure 3.8 illustrates the technique </w:t>
      </w:r>
      <w:r w:rsidR="00671782">
        <w:rPr>
          <w:rFonts w:ascii="Times New Roman" w:eastAsia="Arial" w:hAnsi="Times New Roman" w:cs="Times New Roman"/>
        </w:rPr>
        <w:t>flow</w:t>
      </w:r>
      <w:r w:rsidRPr="00A9340A">
        <w:rPr>
          <w:rFonts w:ascii="Times New Roman" w:eastAsia="Arial" w:hAnsi="Times New Roman" w:cs="Times New Roman"/>
        </w:rPr>
        <w:t>.</w:t>
      </w:r>
    </w:p>
    <w:p w14:paraId="52012D02" w14:textId="77777777" w:rsidR="00A9340A" w:rsidRPr="00A9340A" w:rsidRDefault="00A9340A" w:rsidP="00A9340A">
      <w:pPr>
        <w:spacing w:after="200" w:line="480" w:lineRule="auto"/>
        <w:ind w:left="540" w:firstLine="360"/>
        <w:rPr>
          <w:rFonts w:ascii="Times New Roman" w:eastAsia="Arial" w:hAnsi="Times New Roman" w:cs="Times New Roman"/>
        </w:rPr>
      </w:pPr>
    </w:p>
    <w:p w14:paraId="5F4E313F" w14:textId="77777777" w:rsidR="00C745B7" w:rsidRDefault="004F7174" w:rsidP="002B0BF2">
      <w:pPr>
        <w:spacing w:line="480" w:lineRule="auto"/>
        <w:ind w:left="630"/>
      </w:pPr>
      <w:r>
        <w:rPr>
          <w:noProof/>
        </w:rPr>
        <w:drawing>
          <wp:inline distT="0" distB="0" distL="0" distR="0" wp14:anchorId="0CB89D68" wp14:editId="70588A72">
            <wp:extent cx="5943600" cy="2571750"/>
            <wp:effectExtent l="0" t="0" r="0" b="0"/>
            <wp:docPr id="1385843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43641" name="Picture 138584364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14:paraId="55C42DC1" w14:textId="29467BDC" w:rsidR="00C745B7" w:rsidRPr="005629A4" w:rsidRDefault="00C745B7" w:rsidP="00CF0DC0">
      <w:pPr>
        <w:pStyle w:val="Caption"/>
        <w:jc w:val="center"/>
        <w:rPr>
          <w:rFonts w:eastAsia="Times New Roman" w:cs="Times New Roman"/>
          <w:sz w:val="18"/>
          <w:szCs w:val="18"/>
        </w:rPr>
      </w:pPr>
      <w:r>
        <w:rPr>
          <w:rFonts w:eastAsia="Times New Roman" w:cs="Times New Roman"/>
          <w:b/>
          <w:bCs/>
          <w:sz w:val="18"/>
          <w:szCs w:val="18"/>
        </w:rPr>
        <w:t xml:space="preserve">Figure 3.8 </w:t>
      </w:r>
      <w:r>
        <w:rPr>
          <w:rFonts w:eastAsia="Times New Roman" w:cs="Times New Roman"/>
          <w:sz w:val="18"/>
          <w:szCs w:val="18"/>
        </w:rPr>
        <w:t>Scenario 4: SQL Injection Attack Leading to Theft of Credit Card Data</w:t>
      </w:r>
    </w:p>
    <w:p w14:paraId="621C2638" w14:textId="77777777" w:rsidR="00C745B7" w:rsidRDefault="00C745B7" w:rsidP="002B0BF2">
      <w:pPr>
        <w:spacing w:line="480" w:lineRule="auto"/>
        <w:ind w:left="630"/>
      </w:pPr>
    </w:p>
    <w:p w14:paraId="6CF31BC4" w14:textId="795EFE34" w:rsidR="00284E84" w:rsidRDefault="00284E84" w:rsidP="00A9340A">
      <w:pPr>
        <w:spacing w:after="200" w:line="480" w:lineRule="auto"/>
        <w:ind w:left="540" w:firstLine="360"/>
        <w:rPr>
          <w:rFonts w:ascii="Times New Roman" w:eastAsia="Arial" w:hAnsi="Times New Roman" w:cs="Times New Roman"/>
        </w:rPr>
      </w:pPr>
      <w:r w:rsidRPr="00A9340A">
        <w:rPr>
          <w:rFonts w:ascii="Times New Roman" w:eastAsia="Arial" w:hAnsi="Times New Roman" w:cs="Times New Roman"/>
        </w:rPr>
        <w:t>Scenario 5 simulates a Ransomware-as-a-Service double-extortion operation with pre-encryption PII exfiltration, the most complex and multi-stage campaign of the five. It spans initial access via an exposed remote service (T1133), lateral tool transfer (T1570), bulk staging of HR files and customer PII</w:t>
      </w:r>
      <w:r w:rsidR="00671782">
        <w:rPr>
          <w:rFonts w:ascii="Times New Roman" w:eastAsia="Arial" w:hAnsi="Times New Roman" w:cs="Times New Roman"/>
        </w:rPr>
        <w:t>, that</w:t>
      </w:r>
      <w:r w:rsidRPr="00A9340A">
        <w:rPr>
          <w:rFonts w:ascii="Times New Roman" w:eastAsia="Arial" w:hAnsi="Times New Roman" w:cs="Times New Roman"/>
        </w:rPr>
        <w:t xml:space="preserve"> includ</w:t>
      </w:r>
      <w:r w:rsidR="00671782">
        <w:rPr>
          <w:rFonts w:ascii="Times New Roman" w:eastAsia="Arial" w:hAnsi="Times New Roman" w:cs="Times New Roman"/>
        </w:rPr>
        <w:t>es</w:t>
      </w:r>
      <w:r w:rsidRPr="00A9340A">
        <w:rPr>
          <w:rFonts w:ascii="Times New Roman" w:eastAsia="Arial" w:hAnsi="Times New Roman" w:cs="Times New Roman"/>
        </w:rPr>
        <w:t xml:space="preserve"> government-issued identification documents, spanning Tier 1 and Tier 2 classifications</w:t>
      </w:r>
      <w:r w:rsidR="00671782">
        <w:rPr>
          <w:rFonts w:ascii="Times New Roman" w:eastAsia="Arial" w:hAnsi="Times New Roman" w:cs="Times New Roman"/>
        </w:rPr>
        <w:t xml:space="preserve">, while </w:t>
      </w:r>
      <w:r w:rsidRPr="00A9340A">
        <w:rPr>
          <w:rFonts w:ascii="Times New Roman" w:eastAsia="Arial" w:hAnsi="Times New Roman" w:cs="Times New Roman"/>
        </w:rPr>
        <w:t xml:space="preserve">using tooling such as </w:t>
      </w:r>
      <w:proofErr w:type="spellStart"/>
      <w:r w:rsidRPr="00A9340A">
        <w:rPr>
          <w:rFonts w:ascii="Times New Roman" w:eastAsia="Arial" w:hAnsi="Times New Roman" w:cs="Times New Roman"/>
        </w:rPr>
        <w:t>Rclone</w:t>
      </w:r>
      <w:proofErr w:type="spellEnd"/>
      <w:r w:rsidRPr="00A9340A">
        <w:rPr>
          <w:rFonts w:ascii="Times New Roman" w:eastAsia="Arial" w:hAnsi="Times New Roman" w:cs="Times New Roman"/>
        </w:rPr>
        <w:t xml:space="preserve"> and </w:t>
      </w:r>
      <w:proofErr w:type="spellStart"/>
      <w:r w:rsidRPr="00A9340A">
        <w:rPr>
          <w:rFonts w:ascii="Times New Roman" w:eastAsia="Arial" w:hAnsi="Times New Roman" w:cs="Times New Roman"/>
        </w:rPr>
        <w:t>MEGAsync</w:t>
      </w:r>
      <w:proofErr w:type="spellEnd"/>
      <w:r w:rsidRPr="00A9340A">
        <w:rPr>
          <w:rFonts w:ascii="Times New Roman" w:eastAsia="Arial" w:hAnsi="Times New Roman" w:cs="Times New Roman"/>
        </w:rPr>
        <w:t xml:space="preserve"> (T1560 and T1537), pre-encryption exfiltration (T1041 and T1567), and finally ransomware deployment (T1486) (Applebaum et al., 2016; MITRE Corporation, </w:t>
      </w:r>
      <w:r w:rsidRPr="00A9340A">
        <w:rPr>
          <w:rFonts w:ascii="Times New Roman" w:eastAsia="Arial" w:hAnsi="Times New Roman" w:cs="Times New Roman"/>
        </w:rPr>
        <w:lastRenderedPageBreak/>
        <w:t xml:space="preserve">2026). Its extended timeline approximates real-world ransomware dwell time and tests whether the framework can </w:t>
      </w:r>
      <w:r w:rsidR="00671782">
        <w:rPr>
          <w:rFonts w:ascii="Times New Roman" w:eastAsia="Arial" w:hAnsi="Times New Roman" w:cs="Times New Roman"/>
        </w:rPr>
        <w:t>reveal</w:t>
      </w:r>
      <w:r w:rsidRPr="00A9340A">
        <w:rPr>
          <w:rFonts w:ascii="Times New Roman" w:eastAsia="Arial" w:hAnsi="Times New Roman" w:cs="Times New Roman"/>
        </w:rPr>
        <w:t xml:space="preserve"> early-stage behavioral indicators as elevated-priority events before the bulk-exfiltration phase begins (Sloan, 2025). Dataset construction for this scenario draws on established methodologies for realistic intrusion simulation (</w:t>
      </w:r>
      <w:proofErr w:type="spellStart"/>
      <w:r w:rsidRPr="00A9340A">
        <w:rPr>
          <w:rFonts w:ascii="Times New Roman" w:eastAsia="Arial" w:hAnsi="Times New Roman" w:cs="Times New Roman"/>
        </w:rPr>
        <w:t>Sharafaldin</w:t>
      </w:r>
      <w:proofErr w:type="spellEnd"/>
      <w:r w:rsidRPr="00A9340A">
        <w:rPr>
          <w:rFonts w:ascii="Times New Roman" w:eastAsia="Arial" w:hAnsi="Times New Roman" w:cs="Times New Roman"/>
        </w:rPr>
        <w:t xml:space="preserve"> et al., 2018). Figure 3.9 illustrates the full campaign.</w:t>
      </w:r>
    </w:p>
    <w:p w14:paraId="711AC558" w14:textId="77777777" w:rsidR="00A9340A" w:rsidRPr="00A9340A" w:rsidRDefault="00A9340A" w:rsidP="00A9340A">
      <w:pPr>
        <w:spacing w:after="200" w:line="480" w:lineRule="auto"/>
        <w:ind w:left="540" w:firstLine="360"/>
        <w:rPr>
          <w:rFonts w:ascii="Times New Roman" w:eastAsia="Arial" w:hAnsi="Times New Roman" w:cs="Times New Roman"/>
        </w:rPr>
      </w:pPr>
    </w:p>
    <w:p w14:paraId="457D1DD9" w14:textId="77777777" w:rsidR="00DA64C3" w:rsidRDefault="004F7174" w:rsidP="002B0BF2">
      <w:pPr>
        <w:spacing w:line="480" w:lineRule="auto"/>
        <w:ind w:left="630"/>
      </w:pPr>
      <w:r>
        <w:rPr>
          <w:noProof/>
        </w:rPr>
        <w:drawing>
          <wp:inline distT="0" distB="0" distL="0" distR="0" wp14:anchorId="2981F5BF" wp14:editId="7E3C74C4">
            <wp:extent cx="5943600" cy="2571750"/>
            <wp:effectExtent l="0" t="0" r="0" b="0"/>
            <wp:docPr id="192768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82104" name="Picture 19276821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14:paraId="6BEEDA2E" w14:textId="7D315390" w:rsidR="00C745B7" w:rsidRPr="005629A4" w:rsidRDefault="00C745B7" w:rsidP="00CF0DC0">
      <w:pPr>
        <w:pStyle w:val="Caption"/>
        <w:jc w:val="center"/>
        <w:rPr>
          <w:rFonts w:eastAsia="Times New Roman" w:cs="Times New Roman"/>
          <w:sz w:val="18"/>
          <w:szCs w:val="18"/>
        </w:rPr>
      </w:pPr>
      <w:r>
        <w:rPr>
          <w:rFonts w:eastAsia="Times New Roman" w:cs="Times New Roman"/>
          <w:b/>
          <w:bCs/>
          <w:sz w:val="18"/>
          <w:szCs w:val="18"/>
        </w:rPr>
        <w:t xml:space="preserve">Figure 3.9 </w:t>
      </w:r>
      <w:r>
        <w:rPr>
          <w:rFonts w:eastAsia="Times New Roman" w:cs="Times New Roman"/>
          <w:sz w:val="18"/>
          <w:szCs w:val="18"/>
        </w:rPr>
        <w:t>Scenario 5: Ransomware Double Extortion Attack with Data Exfiltration</w:t>
      </w:r>
    </w:p>
    <w:p w14:paraId="45351A6F" w14:textId="77777777" w:rsidR="00C745B7" w:rsidRDefault="00C745B7" w:rsidP="002B0BF2">
      <w:pPr>
        <w:spacing w:line="480" w:lineRule="auto"/>
        <w:ind w:left="630"/>
      </w:pPr>
    </w:p>
    <w:p w14:paraId="2143FAC1" w14:textId="77777777" w:rsidR="00284E84" w:rsidRDefault="00284E84" w:rsidP="00284E84">
      <w:pPr>
        <w:pStyle w:val="Heading2"/>
        <w:spacing w:before="200" w:after="60"/>
      </w:pPr>
      <w:bookmarkStart w:id="62" w:name="_Toc236431665"/>
      <w:r>
        <w:rPr>
          <w:rFonts w:eastAsia="Times New Roman" w:cs="Times New Roman"/>
          <w:szCs w:val="24"/>
        </w:rPr>
        <w:t>3.7 Techniques and Tools</w:t>
      </w:r>
      <w:bookmarkEnd w:id="62"/>
    </w:p>
    <w:p w14:paraId="47F77D34" w14:textId="77777777" w:rsidR="00284E84" w:rsidRDefault="00284E84" w:rsidP="00A9340A">
      <w:pPr>
        <w:spacing w:line="480" w:lineRule="auto"/>
        <w:ind w:firstLine="540"/>
        <w:rPr>
          <w:rFonts w:ascii="Times New Roman" w:eastAsia="Times New Roman" w:hAnsi="Times New Roman" w:cs="Times New Roman"/>
        </w:rPr>
      </w:pPr>
      <w:r>
        <w:rPr>
          <w:rFonts w:ascii="Times New Roman" w:eastAsia="Times New Roman" w:hAnsi="Times New Roman" w:cs="Times New Roman"/>
        </w:rPr>
        <w:t>The experimental environment is constructed from open-source components that are architecturally analogous to enterprise SIEM platforms while remaining fully transparent and reproducible. This section documents the platform, the data-normalization standard, and the PII Context Framework components that constitute the study's technical apparatus.</w:t>
      </w:r>
    </w:p>
    <w:p w14:paraId="7C8B0B7A" w14:textId="77777777" w:rsidR="00233385" w:rsidRDefault="00233385" w:rsidP="002B0BF2">
      <w:pPr>
        <w:spacing w:line="480" w:lineRule="auto"/>
        <w:ind w:left="360"/>
      </w:pPr>
    </w:p>
    <w:p w14:paraId="7D44547B" w14:textId="77777777" w:rsidR="00284E84" w:rsidRDefault="002B0BF2" w:rsidP="002B0BF2">
      <w:pPr>
        <w:pStyle w:val="Heading3"/>
        <w:numPr>
          <w:ilvl w:val="0"/>
          <w:numId w:val="0"/>
        </w:numPr>
        <w:tabs>
          <w:tab w:val="left" w:pos="630"/>
          <w:tab w:val="left" w:pos="720"/>
        </w:tabs>
        <w:ind w:left="450"/>
      </w:pPr>
      <w:bookmarkStart w:id="63" w:name="_Toc236431666"/>
      <w:r>
        <w:lastRenderedPageBreak/>
        <w:t>3.7.1 Platform and Containerization</w:t>
      </w:r>
      <w:bookmarkEnd w:id="63"/>
    </w:p>
    <w:p w14:paraId="4169FAFA" w14:textId="77777777" w:rsidR="00284E84" w:rsidRPr="00A9340A" w:rsidRDefault="00284E84" w:rsidP="00A9340A">
      <w:pPr>
        <w:spacing w:after="200" w:line="480" w:lineRule="auto"/>
        <w:ind w:left="540" w:firstLine="360"/>
        <w:rPr>
          <w:rFonts w:ascii="Times New Roman" w:eastAsia="Arial" w:hAnsi="Times New Roman" w:cs="Times New Roman"/>
        </w:rPr>
      </w:pPr>
      <w:r w:rsidRPr="00A9340A">
        <w:rPr>
          <w:rFonts w:ascii="Times New Roman" w:eastAsia="Arial" w:hAnsi="Times New Roman" w:cs="Times New Roman"/>
        </w:rPr>
        <w:t xml:space="preserve">The environment is built on the Elasticsearch, Logstash, and Kibana (ELK) stack deployed in Docker containers on an Ubuntu Linux host (Merkel, 2014). ELK was selected for three reasons. First, it is architecturally analogous to enterprise SIEM platforms such as Splunk, Microsoft Sentinel, and IBM </w:t>
      </w:r>
      <w:proofErr w:type="spellStart"/>
      <w:r w:rsidRPr="00A9340A">
        <w:rPr>
          <w:rFonts w:ascii="Times New Roman" w:eastAsia="Arial" w:hAnsi="Times New Roman" w:cs="Times New Roman"/>
        </w:rPr>
        <w:t>QRadar</w:t>
      </w:r>
      <w:proofErr w:type="spellEnd"/>
      <w:r w:rsidRPr="00A9340A">
        <w:rPr>
          <w:rFonts w:ascii="Times New Roman" w:eastAsia="Arial" w:hAnsi="Times New Roman" w:cs="Times New Roman"/>
        </w:rPr>
        <w:t xml:space="preserve"> in supporting centralized ingestion, schema-based normalization, correlation-rule development, and dashboard visualization (Detken et al., 2015; </w:t>
      </w:r>
      <w:proofErr w:type="spellStart"/>
      <w:r w:rsidRPr="00A9340A">
        <w:rPr>
          <w:rFonts w:ascii="Times New Roman" w:eastAsia="Arial" w:hAnsi="Times New Roman" w:cs="Times New Roman"/>
        </w:rPr>
        <w:t>Miloslavskaya</w:t>
      </w:r>
      <w:proofErr w:type="spellEnd"/>
      <w:r w:rsidRPr="00A9340A">
        <w:rPr>
          <w:rFonts w:ascii="Times New Roman" w:eastAsia="Arial" w:hAnsi="Times New Roman" w:cs="Times New Roman"/>
        </w:rPr>
        <w:t>, 2018). Second, its open-source nature permits full documentation and sharing of every configuration file, pipeline definition, and detection rule without licensing restrictions. Third, its native support for the Elastic Common Schema provides a standardized data model consistent with real-world SIEM ingestion (Elastic N.V., 2026a). Containerization with Docker provides environmental isolation, reproducibility, and portability; each component runs in its own container with dedicated resources, and a single-node configuration is used throughout, reflecting the experimental scope and avoiding distributed-cluster complexity irrelevant to the research questions (Pahl &amp; Jamshidi, 2016).</w:t>
      </w:r>
    </w:p>
    <w:p w14:paraId="19CE323F" w14:textId="5812AD3F"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Within the stack, Elasticsearch functions as the indexed data store and query engine for normalized events, enriched alert records, and computed risk scores (Elastic N.V., 2026a). Logstash serves as the ingestion and transformation pipeline, parsing, normalizing, and enriching events before indexing</w:t>
      </w:r>
      <w:r w:rsidR="0060340D">
        <w:rPr>
          <w:rFonts w:ascii="Times New Roman" w:eastAsia="Arial" w:hAnsi="Times New Roman" w:cs="Times New Roman"/>
        </w:rPr>
        <w:t xml:space="preserve">. </w:t>
      </w:r>
      <w:proofErr w:type="gramStart"/>
      <w:r w:rsidR="0060340D">
        <w:rPr>
          <w:rFonts w:ascii="Times New Roman" w:eastAsia="Arial" w:hAnsi="Times New Roman" w:cs="Times New Roman"/>
        </w:rPr>
        <w:t>I</w:t>
      </w:r>
      <w:r w:rsidRPr="00092A99">
        <w:rPr>
          <w:rFonts w:ascii="Times New Roman" w:eastAsia="Arial" w:hAnsi="Times New Roman" w:cs="Times New Roman"/>
        </w:rPr>
        <w:t>ts</w:t>
      </w:r>
      <w:proofErr w:type="gramEnd"/>
      <w:r w:rsidRPr="00092A99">
        <w:rPr>
          <w:rFonts w:ascii="Times New Roman" w:eastAsia="Arial" w:hAnsi="Times New Roman" w:cs="Times New Roman"/>
        </w:rPr>
        <w:t xml:space="preserve"> translate filter plugin provides the dictionary-based enrichment </w:t>
      </w:r>
      <w:r w:rsidR="007E673A">
        <w:rPr>
          <w:rFonts w:ascii="Times New Roman" w:eastAsia="Arial" w:hAnsi="Times New Roman" w:cs="Times New Roman"/>
        </w:rPr>
        <w:t xml:space="preserve">that is </w:t>
      </w:r>
      <w:r w:rsidRPr="00092A99">
        <w:rPr>
          <w:rFonts w:ascii="Times New Roman" w:eastAsia="Arial" w:hAnsi="Times New Roman" w:cs="Times New Roman"/>
        </w:rPr>
        <w:t xml:space="preserve">central to the PII context step in Stage 4 (Elastic N.V., 2026b; Turnbull, 2020). Kibana provides the visualization, dashboarding, and alerting interface, including the risk-heatmap dashboards and the threshold-based alerting that replicate the SIEM alerting workflow analysts experience in production (Elastic N.V., 2026c). Figure 3.10 </w:t>
      </w:r>
      <w:r w:rsidRPr="00092A99">
        <w:rPr>
          <w:rFonts w:ascii="Times New Roman" w:eastAsia="Arial" w:hAnsi="Times New Roman" w:cs="Times New Roman"/>
        </w:rPr>
        <w:lastRenderedPageBreak/>
        <w:t xml:space="preserve">illustrates the environment used that closely simulates an actual enterprise SOC environment that leverages the ELK stack. </w:t>
      </w:r>
    </w:p>
    <w:p w14:paraId="166A642B" w14:textId="77777777" w:rsidR="00D05BD1" w:rsidRDefault="00D05BD1" w:rsidP="00D05BD1">
      <w:pPr>
        <w:spacing w:line="480" w:lineRule="auto"/>
      </w:pPr>
      <w:r>
        <w:rPr>
          <w:noProof/>
        </w:rPr>
        <w:drawing>
          <wp:inline distT="0" distB="0" distL="0" distR="0" wp14:anchorId="7F93745D" wp14:editId="4553D2E2">
            <wp:extent cx="5943600" cy="2788285"/>
            <wp:effectExtent l="0" t="0" r="0" b="0"/>
            <wp:docPr id="297212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12644" name="Picture 2972126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788285"/>
                    </a:xfrm>
                    <a:prstGeom prst="rect">
                      <a:avLst/>
                    </a:prstGeom>
                  </pic:spPr>
                </pic:pic>
              </a:graphicData>
            </a:graphic>
          </wp:inline>
        </w:drawing>
      </w:r>
    </w:p>
    <w:p w14:paraId="0A9191D4" w14:textId="38D5294A" w:rsidR="00D05BD1" w:rsidRPr="005629A4" w:rsidRDefault="00D05BD1" w:rsidP="00CF0DC0">
      <w:pPr>
        <w:pStyle w:val="Caption"/>
        <w:jc w:val="center"/>
        <w:rPr>
          <w:sz w:val="18"/>
          <w:szCs w:val="18"/>
        </w:rPr>
      </w:pPr>
      <w:r>
        <w:rPr>
          <w:rFonts w:eastAsia="Times New Roman" w:cs="Times New Roman"/>
          <w:b/>
          <w:bCs/>
          <w:sz w:val="18"/>
          <w:szCs w:val="18"/>
        </w:rPr>
        <w:t xml:space="preserve">Figure 3.10 </w:t>
      </w:r>
      <w:r>
        <w:rPr>
          <w:rFonts w:eastAsia="Times New Roman" w:cs="Times New Roman"/>
          <w:sz w:val="18"/>
          <w:szCs w:val="18"/>
        </w:rPr>
        <w:t>The SIEM Environment that Simulates a Typical SOC Environment</w:t>
      </w:r>
    </w:p>
    <w:p w14:paraId="0D941B14" w14:textId="77777777" w:rsidR="00D05BD1" w:rsidRDefault="00D05BD1" w:rsidP="00D05BD1">
      <w:pPr>
        <w:spacing w:line="480" w:lineRule="auto"/>
      </w:pPr>
    </w:p>
    <w:p w14:paraId="05DF966D" w14:textId="77777777" w:rsidR="00284E84" w:rsidRDefault="002B0BF2" w:rsidP="002B0BF2">
      <w:pPr>
        <w:pStyle w:val="Heading3"/>
        <w:numPr>
          <w:ilvl w:val="0"/>
          <w:numId w:val="0"/>
        </w:numPr>
        <w:tabs>
          <w:tab w:val="left" w:pos="450"/>
          <w:tab w:val="left" w:pos="630"/>
        </w:tabs>
        <w:ind w:left="450"/>
      </w:pPr>
      <w:bookmarkStart w:id="64" w:name="_Toc236431667"/>
      <w:r>
        <w:t>3.7.2 Data Normalization: Elastic Common Schema</w:t>
      </w:r>
      <w:bookmarkEnd w:id="64"/>
    </w:p>
    <w:p w14:paraId="6D9A8400" w14:textId="637128DB"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 xml:space="preserve">The Elastic Common Schema (ECS) is adopted as the normalization standard because it mirrors the normalization requirements of enterprise SIEM deployments, most of which implement equivalent field standardization (for example, Microsoft Sentinel's ASIM and Splunk's CIM) to enable cross-source correlation (Elastic N.V., 2026a; </w:t>
      </w:r>
      <w:proofErr w:type="spellStart"/>
      <w:r w:rsidRPr="00092A99">
        <w:rPr>
          <w:rFonts w:ascii="Times New Roman" w:eastAsia="Arial" w:hAnsi="Times New Roman" w:cs="Times New Roman"/>
        </w:rPr>
        <w:t>Brahmam</w:t>
      </w:r>
      <w:proofErr w:type="spellEnd"/>
      <w:r w:rsidRPr="00092A99">
        <w:rPr>
          <w:rFonts w:ascii="Times New Roman" w:eastAsia="Arial" w:hAnsi="Times New Roman" w:cs="Times New Roman"/>
        </w:rPr>
        <w:t xml:space="preserve">, 2023). Normalization is performed at the Logstash layer, mapping each event type, endpoint telemetry, network flow, authentication, database access, and file-system activity, to its corresponding ECS fields. To support PII enrichment, the ECS implementation is extended with a custom </w:t>
      </w:r>
      <w:proofErr w:type="spellStart"/>
      <w:proofErr w:type="gramStart"/>
      <w:r w:rsidRPr="00092A99">
        <w:rPr>
          <w:rFonts w:ascii="Times New Roman" w:eastAsia="Arial" w:hAnsi="Times New Roman" w:cs="Times New Roman"/>
        </w:rPr>
        <w:t>pii.context</w:t>
      </w:r>
      <w:proofErr w:type="spellEnd"/>
      <w:proofErr w:type="gramEnd"/>
      <w:r w:rsidRPr="00092A99">
        <w:rPr>
          <w:rFonts w:ascii="Times New Roman" w:eastAsia="Arial" w:hAnsi="Times New Roman" w:cs="Times New Roman"/>
        </w:rPr>
        <w:t xml:space="preserve"> namespace that does not conflict with existing ECS definitions</w:t>
      </w:r>
      <w:r w:rsidR="0060340D">
        <w:rPr>
          <w:rFonts w:ascii="Times New Roman" w:eastAsia="Arial" w:hAnsi="Times New Roman" w:cs="Times New Roman"/>
        </w:rPr>
        <w:t>. I</w:t>
      </w:r>
      <w:r w:rsidRPr="00092A99">
        <w:rPr>
          <w:rFonts w:ascii="Times New Roman" w:eastAsia="Arial" w:hAnsi="Times New Roman" w:cs="Times New Roman"/>
        </w:rPr>
        <w:t xml:space="preserve">t carries fields for asset criticality, PII exposure tier, data classification, the base risk score </w:t>
      </w:r>
      <w:r w:rsidRPr="00092A99">
        <w:rPr>
          <w:rFonts w:ascii="Times New Roman" w:eastAsia="Arial" w:hAnsi="Times New Roman" w:cs="Times New Roman"/>
        </w:rPr>
        <w:lastRenderedPageBreak/>
        <w:t>and priority tier, and the promotion status, populated by the Stage 4 enrichment pipeline (Elastic N.V., 2026b).</w:t>
      </w:r>
    </w:p>
    <w:p w14:paraId="5BC6DAE0" w14:textId="77777777" w:rsidR="00676EA9" w:rsidRDefault="00676EA9" w:rsidP="002B0BF2">
      <w:pPr>
        <w:spacing w:line="480" w:lineRule="auto"/>
        <w:ind w:left="630"/>
        <w:rPr>
          <w:rFonts w:ascii="Times New Roman" w:eastAsia="Times New Roman" w:hAnsi="Times New Roman" w:cs="Times New Roman"/>
        </w:rPr>
      </w:pPr>
    </w:p>
    <w:p w14:paraId="76C7AC59" w14:textId="77777777" w:rsidR="00284E84" w:rsidRDefault="00284E84" w:rsidP="003440AF">
      <w:pPr>
        <w:pStyle w:val="Heading3"/>
        <w:numPr>
          <w:ilvl w:val="0"/>
          <w:numId w:val="0"/>
        </w:numPr>
        <w:tabs>
          <w:tab w:val="left" w:pos="450"/>
          <w:tab w:val="left" w:pos="630"/>
        </w:tabs>
        <w:ind w:left="450"/>
      </w:pPr>
      <w:bookmarkStart w:id="65" w:name="_Toc236431668"/>
      <w:r>
        <w:t>3.7.3 Aggregation, Correlation, and Visualization Logic</w:t>
      </w:r>
      <w:bookmarkEnd w:id="65"/>
    </w:p>
    <w:p w14:paraId="652BBE87" w14:textId="319984C5" w:rsidR="00284E84"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Effective PII-aware triage requires that individual events be aggregated into behavioral sessions before risk scoring is applied, because a single event carries limited signal whereas a correlated sequence on a sensitive asset constitutes a materially different risk profile (Pendleton et al., 2016; Hubbard &amp; Seiersen, 2023). The Logstash pipeline computes and attaches synthetic correlation identifiers that group related events across time windows, enabling Elasticsearch aggregation queries without a stateful event-processing architecture (Elastic N.V., 2026a). Enrichment lookups are implemented with the translate filter plugin and in-memory dictionaries</w:t>
      </w:r>
      <w:r w:rsidR="007E673A">
        <w:rPr>
          <w:rFonts w:ascii="Times New Roman" w:eastAsia="Arial" w:hAnsi="Times New Roman" w:cs="Times New Roman"/>
        </w:rPr>
        <w:t>. From there</w:t>
      </w:r>
      <w:r w:rsidRPr="00092A99">
        <w:rPr>
          <w:rFonts w:ascii="Times New Roman" w:eastAsia="Arial" w:hAnsi="Times New Roman" w:cs="Times New Roman"/>
        </w:rPr>
        <w:t xml:space="preserve"> a threat-intelligence dictionary map</w:t>
      </w:r>
      <w:r w:rsidR="007E673A">
        <w:rPr>
          <w:rFonts w:ascii="Times New Roman" w:eastAsia="Arial" w:hAnsi="Times New Roman" w:cs="Times New Roman"/>
        </w:rPr>
        <w:t>s</w:t>
      </w:r>
      <w:r w:rsidRPr="00092A99">
        <w:rPr>
          <w:rFonts w:ascii="Times New Roman" w:eastAsia="Arial" w:hAnsi="Times New Roman" w:cs="Times New Roman"/>
        </w:rPr>
        <w:t xml:space="preserve"> malicious address ranges to classification labels, and an asset-sensitivity dictionary map</w:t>
      </w:r>
      <w:r w:rsidR="007E673A">
        <w:rPr>
          <w:rFonts w:ascii="Times New Roman" w:eastAsia="Arial" w:hAnsi="Times New Roman" w:cs="Times New Roman"/>
        </w:rPr>
        <w:t>s</w:t>
      </w:r>
      <w:r w:rsidRPr="00092A99">
        <w:rPr>
          <w:rFonts w:ascii="Times New Roman" w:eastAsia="Arial" w:hAnsi="Times New Roman" w:cs="Times New Roman"/>
        </w:rPr>
        <w:t xml:space="preserve"> host identifiers to PII context metadata (Turnbull, 2020). A Kibana risk-heatmap dashboard provides the monitoring interface for both conditions, presenting risk concentration across assets over time, alert-volume histograms, PII-exposure distribution, and a triage queue sortable by promoted priority and base risk score (Elastic N.V., 2026c; </w:t>
      </w:r>
      <w:proofErr w:type="spellStart"/>
      <w:r w:rsidRPr="00092A99">
        <w:rPr>
          <w:rFonts w:ascii="Times New Roman" w:eastAsia="Arial" w:hAnsi="Times New Roman" w:cs="Times New Roman"/>
        </w:rPr>
        <w:t>Jangampet</w:t>
      </w:r>
      <w:proofErr w:type="spellEnd"/>
      <w:r w:rsidRPr="00092A99">
        <w:rPr>
          <w:rFonts w:ascii="Times New Roman" w:eastAsia="Arial" w:hAnsi="Times New Roman" w:cs="Times New Roman"/>
        </w:rPr>
        <w:t xml:space="preserve"> et al., 2024). The components developed in this stage are highlighted in Table 3.1.</w:t>
      </w:r>
    </w:p>
    <w:p w14:paraId="2DD741E7" w14:textId="77777777" w:rsidR="00092A99" w:rsidRPr="00092A99" w:rsidRDefault="00092A99" w:rsidP="00092A99">
      <w:pPr>
        <w:spacing w:after="200" w:line="480" w:lineRule="auto"/>
        <w:ind w:left="540" w:firstLine="360"/>
        <w:rPr>
          <w:rFonts w:ascii="Times New Roman" w:eastAsia="Arial" w:hAnsi="Times New Roman" w:cs="Times New Roman"/>
        </w:rPr>
      </w:pPr>
    </w:p>
    <w:p w14:paraId="5A3925F8" w14:textId="77777777" w:rsidR="00284E84" w:rsidRDefault="00284E84" w:rsidP="00284E84">
      <w:pPr>
        <w:spacing w:line="480" w:lineRule="auto"/>
        <w:ind w:left="360"/>
        <w:jc w:val="both"/>
      </w:pPr>
      <w:r>
        <w:rPr>
          <w:noProof/>
        </w:rPr>
        <w:lastRenderedPageBreak/>
        <w:drawing>
          <wp:inline distT="0" distB="0" distL="0" distR="0" wp14:anchorId="2637BB65" wp14:editId="431CCEAF">
            <wp:extent cx="5943600" cy="2534920"/>
            <wp:effectExtent l="0" t="0" r="0" b="0"/>
            <wp:docPr id="409629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9295" name="Picture 40962929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534920"/>
                    </a:xfrm>
                    <a:prstGeom prst="rect">
                      <a:avLst/>
                    </a:prstGeom>
                  </pic:spPr>
                </pic:pic>
              </a:graphicData>
            </a:graphic>
          </wp:inline>
        </w:drawing>
      </w:r>
    </w:p>
    <w:p w14:paraId="5D728EA2" w14:textId="77777777" w:rsidR="00284E84" w:rsidRDefault="00A71871" w:rsidP="00CF0DC0">
      <w:pPr>
        <w:pStyle w:val="Caption"/>
        <w:spacing w:line="480" w:lineRule="auto"/>
        <w:ind w:left="360"/>
        <w:jc w:val="center"/>
        <w:rPr>
          <w:rFonts w:cs="Times New Roman"/>
          <w:i/>
          <w:sz w:val="18"/>
          <w:szCs w:val="18"/>
        </w:rPr>
      </w:pPr>
      <w:bookmarkStart w:id="66" w:name="_Tbl_3_1"/>
      <w:r>
        <w:rPr>
          <w:rFonts w:cs="Times New Roman"/>
          <w:b/>
          <w:i/>
          <w:sz w:val="18"/>
          <w:szCs w:val="18"/>
        </w:rPr>
        <w:t xml:space="preserve">Table 3.1 </w:t>
      </w:r>
      <w:r>
        <w:rPr>
          <w:rFonts w:cs="Times New Roman"/>
          <w:i/>
          <w:sz w:val="18"/>
          <w:szCs w:val="18"/>
        </w:rPr>
        <w:t>Detection Pipeline Configuration for Correlation, Enrichment and Alerting</w:t>
      </w:r>
      <w:bookmarkEnd w:id="66"/>
    </w:p>
    <w:p w14:paraId="0ED6BA24" w14:textId="77777777" w:rsidR="00284E84" w:rsidRDefault="00284E84" w:rsidP="00284E84">
      <w:pPr>
        <w:spacing w:line="480" w:lineRule="auto"/>
      </w:pPr>
    </w:p>
    <w:p w14:paraId="5EAFB006" w14:textId="77777777" w:rsidR="00284E84" w:rsidRDefault="00284E84" w:rsidP="003440AF">
      <w:pPr>
        <w:pStyle w:val="Heading3"/>
        <w:numPr>
          <w:ilvl w:val="0"/>
          <w:numId w:val="0"/>
        </w:numPr>
        <w:tabs>
          <w:tab w:val="left" w:pos="450"/>
          <w:tab w:val="left" w:pos="630"/>
        </w:tabs>
        <w:ind w:left="450"/>
      </w:pPr>
      <w:bookmarkStart w:id="67" w:name="_Toc236431669"/>
      <w:r>
        <w:t>3.7.4 The PII Context Framework</w:t>
      </w:r>
      <w:bookmarkEnd w:id="67"/>
    </w:p>
    <w:p w14:paraId="1500B1D2" w14:textId="77777777"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The PII Context Framework is the core artifact of the study. It comprises four interconnected components: (a) an Asset Inventory Registry, which maps each asset to its role, the PII categories it stores, its sensitivity tier, applicable regulatory requirements, and a base criticality score; (b) a PII Classification Taxonomy; (c) a Risk Scoring Engine; and (d) an Enrichment Pipeline implemented within Logstash (Hubbard &amp; Seiersen, 2023; Elastic N.V., 2026b). The taxonomy and the scoring inputs are summarized below and depicted in Table 3.2.</w:t>
      </w:r>
    </w:p>
    <w:p w14:paraId="56B27E62" w14:textId="24A67E7D"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 xml:space="preserve">The PII Classification Taxonomy defines four sensitivity tiers, synthesized from regulatory requirements, breach case-study analysis, and existing classification guidance (McCallister et al., 2010). Tier 1 (Critical PII) covers data types that individually enable identity fraud or financial account takeover, Social Security numbers, full card numbers, and bank-account and routing combinations, subject to the highest regulatory protection </w:t>
      </w:r>
      <w:r w:rsidRPr="00092A99">
        <w:rPr>
          <w:rFonts w:ascii="Times New Roman" w:eastAsia="Arial" w:hAnsi="Times New Roman" w:cs="Times New Roman"/>
        </w:rPr>
        <w:lastRenderedPageBreak/>
        <w:t>under GLBA (</w:t>
      </w:r>
      <w:r w:rsidR="00F56F7C" w:rsidRPr="00092A99">
        <w:rPr>
          <w:rFonts w:ascii="Times New Roman" w:eastAsia="Arial" w:hAnsi="Times New Roman" w:cs="Times New Roman"/>
        </w:rPr>
        <w:t xml:space="preserve">U.S. </w:t>
      </w:r>
      <w:r w:rsidRPr="00092A99">
        <w:rPr>
          <w:rFonts w:ascii="Times New Roman" w:eastAsia="Arial" w:hAnsi="Times New Roman" w:cs="Times New Roman"/>
        </w:rPr>
        <w:t xml:space="preserve">Federal Trade Commission, n.d.) and PCI DSS (PCI SSC, 2022) and associated with the highest per-record breach cost (IBM Security &amp; </w:t>
      </w:r>
      <w:proofErr w:type="spellStart"/>
      <w:r w:rsidRPr="00092A99">
        <w:rPr>
          <w:rFonts w:ascii="Times New Roman" w:eastAsia="Arial" w:hAnsi="Times New Roman" w:cs="Times New Roman"/>
        </w:rPr>
        <w:t>Ponemon</w:t>
      </w:r>
      <w:proofErr w:type="spellEnd"/>
      <w:r w:rsidRPr="00092A99">
        <w:rPr>
          <w:rFonts w:ascii="Times New Roman" w:eastAsia="Arial" w:hAnsi="Times New Roman" w:cs="Times New Roman"/>
        </w:rPr>
        <w:t xml:space="preserve"> Institute, 2025). Tier 2 (High-Sensitivity PII) covers data that amplifies attacker targeting, such as names combined with dates of birth and account credentials (Henry, 2025). Tier 3 (Moderate-Sensitivity PII) covers data commonly used in social engineering, such as email addresses and phone numbers. Tier 4 (Low-Sensitivity PII) covers publicly available or minimally sensitive data. Each tier feeds the promotion criteria, with Tier 1 and Tier 2 associations serving as the primary condition for promoting an alert to critical, and assets bearing no PII association never qualifying for promotion.</w:t>
      </w:r>
    </w:p>
    <w:p w14:paraId="18A75F2E" w14:textId="77777777"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Asset criticality scoring is a secondary promotion criterion reflecting the operational importance of the targeted asset beyond its PII content, assigned from criteria including the asset's role in core business processes, the number of dependent downstream systems, its regulatory classification, its exposure surface, and its vulnerability status (Hubbard &amp; Seiersen, 2023; NIST, 2012). Attack complexity scoring captures behavioral sophistication and is assigned dynamically from the number of distinct MITRE ATT&amp;CK techniques observed across correlated events, with higher scores for multi-stage campaigns exhibiting lateral movement, extended dwell time, or advanced evasion (Strom et al., 2018; Applebaum et al., 2016; Sloan, 2025).</w:t>
      </w:r>
    </w:p>
    <w:p w14:paraId="67FB1890" w14:textId="3E9AE2C6"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 xml:space="preserve">The base alert severity is retained as a 0–100 score produced by the standard detection and anomaly rules and mapped to low (below 40), medium (40–59), or high (60 and above) priority; it never reaches critical on its own. The Risk Scoring Engine then applies the PII context as a bounded, weighted promotion layer rather than a replacement for the base score: the PII exposure tier, asset criticality, and attack complexity are each converted to an </w:t>
      </w:r>
      <w:r w:rsidRPr="00092A99">
        <w:rPr>
          <w:rFonts w:ascii="Times New Roman" w:eastAsia="Arial" w:hAnsi="Times New Roman" w:cs="Times New Roman"/>
        </w:rPr>
        <w:lastRenderedPageBreak/>
        <w:t>individually stored, capped contribution (up to 25, 25, and 20 points respectively) and added to a normalized base severity contribution of up to 30 points to produce a composite risk score whose four maximum contributions total exactly 100, so that every escalation carries a decomposed, auditable rationale that sums exactly to the composite. An alert is promoted to critical priority when its composite score reaches the promotion threshold (80 or above) and it reflects a confirmed, targeted threat to regulated PII, defined as an asset registered as holding Tier 1 or Tier 2 PII together with real evidence of an active attack</w:t>
      </w:r>
      <w:r w:rsidR="0060340D">
        <w:rPr>
          <w:rFonts w:ascii="Times New Roman" w:eastAsia="Arial" w:hAnsi="Times New Roman" w:cs="Times New Roman"/>
        </w:rPr>
        <w:t xml:space="preserve">, </w:t>
      </w:r>
      <w:r w:rsidRPr="00092A99">
        <w:rPr>
          <w:rFonts w:ascii="Times New Roman" w:eastAsia="Arial" w:hAnsi="Times New Roman" w:cs="Times New Roman"/>
        </w:rPr>
        <w:t>either observed PII exposure in the event or at least one correlated MITRE ATT&amp;CK technique; asset criticality contributes additional weight for borderline cases (Pendleton et al., 2016; NIST, 2012). Because an asset carrying no PII exposure has a maximum attainable composite of 75, which falls inside the high</w:t>
      </w:r>
      <w:r w:rsidR="0060340D">
        <w:rPr>
          <w:rFonts w:ascii="Times New Roman" w:eastAsia="Arial" w:hAnsi="Times New Roman" w:cs="Times New Roman"/>
        </w:rPr>
        <w:t>-</w:t>
      </w:r>
      <w:r w:rsidRPr="00092A99">
        <w:rPr>
          <w:rFonts w:ascii="Times New Roman" w:eastAsia="Arial" w:hAnsi="Times New Roman" w:cs="Times New Roman"/>
        </w:rPr>
        <w:t>band, attack sophistication alone cannot promote an alert directed at non-sensitive data. Because asset criticality is scored independently of PII content, however, a high composite score is not by itself evidence that regulated data is at risk, which is why the Tier 1 or Tier 2 registration requirement in the promotion gate remains necessary in addition to the score threshold. The contribution weights, base-tier thresholds, and promotion criteria are calibrated iteratively during Stage 4 using a held-out validation subset, consistent with the formative-evaluation guidance of FEDS, before the summative Stage 5 evaluation (Venable et al., 2016).</w:t>
      </w:r>
    </w:p>
    <w:p w14:paraId="26EA36A3" w14:textId="77777777" w:rsidR="00894441" w:rsidRDefault="00894441">
      <w:pPr>
        <w:spacing w:line="24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4A0" w:firstRow="1" w:lastRow="0" w:firstColumn="1" w:lastColumn="0" w:noHBand="0" w:noVBand="1"/>
      </w:tblPr>
      <w:tblGrid>
        <w:gridCol w:w="1900"/>
        <w:gridCol w:w="2900"/>
        <w:gridCol w:w="2280"/>
        <w:gridCol w:w="2280"/>
      </w:tblGrid>
      <w:tr w:rsidR="00894441" w14:paraId="68FBE2D2" w14:textId="77777777">
        <w:trPr>
          <w:tblHeader/>
        </w:trPr>
        <w:tc>
          <w:tcPr>
            <w:tcW w:w="1900" w:type="dxa"/>
            <w:shd w:val="clear" w:color="auto" w:fill="D9D9D9"/>
            <w:vAlign w:val="center"/>
          </w:tcPr>
          <w:p w14:paraId="023EDB64"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b/>
                <w:sz w:val="20"/>
                <w:szCs w:val="20"/>
              </w:rPr>
              <w:t>Element</w:t>
            </w:r>
          </w:p>
        </w:tc>
        <w:tc>
          <w:tcPr>
            <w:tcW w:w="2900" w:type="dxa"/>
            <w:shd w:val="clear" w:color="auto" w:fill="D9D9D9"/>
            <w:vAlign w:val="center"/>
          </w:tcPr>
          <w:p w14:paraId="40734C71"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b/>
                <w:sz w:val="20"/>
                <w:szCs w:val="20"/>
              </w:rPr>
              <w:t>Definition / example data types</w:t>
            </w:r>
          </w:p>
        </w:tc>
        <w:tc>
          <w:tcPr>
            <w:tcW w:w="2280" w:type="dxa"/>
            <w:shd w:val="clear" w:color="auto" w:fill="D9D9D9"/>
            <w:vAlign w:val="center"/>
          </w:tcPr>
          <w:p w14:paraId="22485EFA"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b/>
                <w:sz w:val="20"/>
                <w:szCs w:val="20"/>
              </w:rPr>
              <w:t>Score contribution</w:t>
            </w:r>
          </w:p>
        </w:tc>
        <w:tc>
          <w:tcPr>
            <w:tcW w:w="2280" w:type="dxa"/>
            <w:shd w:val="clear" w:color="auto" w:fill="D9D9D9"/>
            <w:vAlign w:val="center"/>
          </w:tcPr>
          <w:p w14:paraId="4D7051B8"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b/>
                <w:sz w:val="20"/>
                <w:szCs w:val="20"/>
              </w:rPr>
              <w:t>Role in critical promotion</w:t>
            </w:r>
          </w:p>
        </w:tc>
      </w:tr>
      <w:tr w:rsidR="00894441" w14:paraId="670EE29A" w14:textId="77777777">
        <w:tc>
          <w:tcPr>
            <w:tcW w:w="1900" w:type="dxa"/>
            <w:vAlign w:val="center"/>
          </w:tcPr>
          <w:p w14:paraId="22399078"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Tier 1 — Critical PII</w:t>
            </w:r>
          </w:p>
        </w:tc>
        <w:tc>
          <w:tcPr>
            <w:tcW w:w="2900" w:type="dxa"/>
            <w:vAlign w:val="center"/>
          </w:tcPr>
          <w:p w14:paraId="156820F1"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Social Security numbers; full payment-card numbers; bank-account and routing combinations</w:t>
            </w:r>
          </w:p>
        </w:tc>
        <w:tc>
          <w:tcPr>
            <w:tcW w:w="2280" w:type="dxa"/>
            <w:vAlign w:val="center"/>
          </w:tcPr>
          <w:p w14:paraId="56C46CC1" w14:textId="272E475E"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PII exposure: 25 (primary impact)</w:t>
            </w:r>
          </w:p>
        </w:tc>
        <w:tc>
          <w:tcPr>
            <w:tcW w:w="2280" w:type="dxa"/>
            <w:vAlign w:val="center"/>
          </w:tcPr>
          <w:p w14:paraId="488D1296" w14:textId="3574A350"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Qualifying PII target</w:t>
            </w:r>
          </w:p>
        </w:tc>
      </w:tr>
      <w:tr w:rsidR="00894441" w14:paraId="02F11B5E" w14:textId="77777777">
        <w:tc>
          <w:tcPr>
            <w:tcW w:w="1900" w:type="dxa"/>
            <w:vAlign w:val="center"/>
          </w:tcPr>
          <w:p w14:paraId="41180D2E"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Tier 2 — High-sensitivity PII</w:t>
            </w:r>
          </w:p>
        </w:tc>
        <w:tc>
          <w:tcPr>
            <w:tcW w:w="2900" w:type="dxa"/>
            <w:vAlign w:val="center"/>
          </w:tcPr>
          <w:p w14:paraId="52BE7261"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Names combined with dates of birth; account credentials</w:t>
            </w:r>
          </w:p>
        </w:tc>
        <w:tc>
          <w:tcPr>
            <w:tcW w:w="2280" w:type="dxa"/>
            <w:vAlign w:val="center"/>
          </w:tcPr>
          <w:p w14:paraId="6F36D6D1" w14:textId="56A9F673"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PII exposure: 18</w:t>
            </w:r>
          </w:p>
        </w:tc>
        <w:tc>
          <w:tcPr>
            <w:tcW w:w="2280" w:type="dxa"/>
            <w:vAlign w:val="center"/>
          </w:tcPr>
          <w:p w14:paraId="25DBF921" w14:textId="51607111"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Qualifying PII target</w:t>
            </w:r>
          </w:p>
        </w:tc>
      </w:tr>
      <w:tr w:rsidR="00894441" w14:paraId="7D1EF87B" w14:textId="77777777">
        <w:tc>
          <w:tcPr>
            <w:tcW w:w="1900" w:type="dxa"/>
            <w:vAlign w:val="center"/>
          </w:tcPr>
          <w:p w14:paraId="76B39759"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Tier 3 — Moderate-sensitivity PII</w:t>
            </w:r>
          </w:p>
        </w:tc>
        <w:tc>
          <w:tcPr>
            <w:tcW w:w="2900" w:type="dxa"/>
            <w:vAlign w:val="center"/>
          </w:tcPr>
          <w:p w14:paraId="62C225FF"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Email addresses; phone numbers</w:t>
            </w:r>
          </w:p>
        </w:tc>
        <w:tc>
          <w:tcPr>
            <w:tcW w:w="2280" w:type="dxa"/>
            <w:vAlign w:val="center"/>
          </w:tcPr>
          <w:p w14:paraId="4D38915C" w14:textId="7BDE8A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PII exposure: 8</w:t>
            </w:r>
          </w:p>
        </w:tc>
        <w:tc>
          <w:tcPr>
            <w:tcW w:w="2280" w:type="dxa"/>
            <w:vAlign w:val="center"/>
          </w:tcPr>
          <w:p w14:paraId="0E2D5B94"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Not qualifying</w:t>
            </w:r>
          </w:p>
        </w:tc>
      </w:tr>
      <w:tr w:rsidR="00894441" w14:paraId="0F82A61D" w14:textId="77777777">
        <w:tc>
          <w:tcPr>
            <w:tcW w:w="1900" w:type="dxa"/>
            <w:vAlign w:val="center"/>
          </w:tcPr>
          <w:p w14:paraId="282F7DF9"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lastRenderedPageBreak/>
              <w:t>Tier 4 — Low-sensitivity PII</w:t>
            </w:r>
          </w:p>
        </w:tc>
        <w:tc>
          <w:tcPr>
            <w:tcW w:w="2900" w:type="dxa"/>
            <w:vAlign w:val="center"/>
          </w:tcPr>
          <w:p w14:paraId="41007387"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Publicly available or minimally sensitive data</w:t>
            </w:r>
          </w:p>
        </w:tc>
        <w:tc>
          <w:tcPr>
            <w:tcW w:w="2280" w:type="dxa"/>
            <w:vAlign w:val="center"/>
          </w:tcPr>
          <w:p w14:paraId="495CD31D" w14:textId="2372E9A6"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PII exposure: 0</w:t>
            </w:r>
          </w:p>
        </w:tc>
        <w:tc>
          <w:tcPr>
            <w:tcW w:w="2280" w:type="dxa"/>
            <w:vAlign w:val="center"/>
          </w:tcPr>
          <w:p w14:paraId="091BEDE9"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Not qualifying; assets with no PII association never promote</w:t>
            </w:r>
          </w:p>
        </w:tc>
      </w:tr>
      <w:tr w:rsidR="00894441" w14:paraId="5B41CCD0" w14:textId="77777777">
        <w:tc>
          <w:tcPr>
            <w:tcW w:w="1900" w:type="dxa"/>
            <w:vAlign w:val="center"/>
          </w:tcPr>
          <w:p w14:paraId="222B6F4B"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Base alert severity</w:t>
            </w:r>
          </w:p>
        </w:tc>
        <w:tc>
          <w:tcPr>
            <w:tcW w:w="2900" w:type="dxa"/>
            <w:vAlign w:val="center"/>
          </w:tcPr>
          <w:p w14:paraId="77595208"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Output of standard detection and anomaly rules</w:t>
            </w:r>
          </w:p>
        </w:tc>
        <w:tc>
          <w:tcPr>
            <w:tcW w:w="2280" w:type="dxa"/>
            <w:vAlign w:val="center"/>
          </w:tcPr>
          <w:p w14:paraId="38ACE92E" w14:textId="0A7A46DF"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0–30 normalized contribution; native 0–100 scale sets the base tier (low &lt; 40, medium 40–59, high ≥ 60)</w:t>
            </w:r>
          </w:p>
        </w:tc>
        <w:tc>
          <w:tcPr>
            <w:tcW w:w="2280" w:type="dxa"/>
            <w:vAlign w:val="center"/>
          </w:tcPr>
          <w:p w14:paraId="5C7A4F51"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Never reaches critical alone</w:t>
            </w:r>
          </w:p>
        </w:tc>
      </w:tr>
      <w:tr w:rsidR="00894441" w14:paraId="690A872E" w14:textId="77777777">
        <w:tc>
          <w:tcPr>
            <w:tcW w:w="1900" w:type="dxa"/>
            <w:vAlign w:val="center"/>
          </w:tcPr>
          <w:p w14:paraId="065B211B"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Asset criticality</w:t>
            </w:r>
          </w:p>
        </w:tc>
        <w:tc>
          <w:tcPr>
            <w:tcW w:w="2900" w:type="dxa"/>
            <w:vAlign w:val="center"/>
          </w:tcPr>
          <w:p w14:paraId="7111BE9B"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Registry-assigned operational importance of the targeted asset</w:t>
            </w:r>
          </w:p>
        </w:tc>
        <w:tc>
          <w:tcPr>
            <w:tcW w:w="2280" w:type="dxa"/>
            <w:vAlign w:val="center"/>
          </w:tcPr>
          <w:p w14:paraId="50CA2A2E" w14:textId="0FFD8A05"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0–25 (secondary impact)</w:t>
            </w:r>
          </w:p>
        </w:tc>
        <w:tc>
          <w:tcPr>
            <w:tcW w:w="2280" w:type="dxa"/>
            <w:vAlign w:val="center"/>
          </w:tcPr>
          <w:p w14:paraId="76C119DF"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Additional weight for borderline cases</w:t>
            </w:r>
          </w:p>
        </w:tc>
      </w:tr>
      <w:tr w:rsidR="00894441" w14:paraId="3BC55A39" w14:textId="77777777">
        <w:tc>
          <w:tcPr>
            <w:tcW w:w="1900" w:type="dxa"/>
            <w:vAlign w:val="center"/>
          </w:tcPr>
          <w:p w14:paraId="53F0E3A0"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Attack complexity</w:t>
            </w:r>
          </w:p>
        </w:tc>
        <w:tc>
          <w:tcPr>
            <w:tcW w:w="2900" w:type="dxa"/>
            <w:vAlign w:val="center"/>
          </w:tcPr>
          <w:p w14:paraId="5B594AE3"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Count and sophistication of correlated MITRE ATT&amp;CK techniques</w:t>
            </w:r>
          </w:p>
        </w:tc>
        <w:tc>
          <w:tcPr>
            <w:tcW w:w="2280" w:type="dxa"/>
            <w:vAlign w:val="center"/>
          </w:tcPr>
          <w:p w14:paraId="0B9AD789" w14:textId="0CA48D5A"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5–20 (threat likelihood)</w:t>
            </w:r>
          </w:p>
        </w:tc>
        <w:tc>
          <w:tcPr>
            <w:tcW w:w="2280" w:type="dxa"/>
            <w:vAlign w:val="center"/>
          </w:tcPr>
          <w:p w14:paraId="4E4B59EB"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Cannot promote alerts on non-sensitive data</w:t>
            </w:r>
          </w:p>
        </w:tc>
      </w:tr>
      <w:tr w:rsidR="00894441" w14:paraId="18F56C0B" w14:textId="77777777">
        <w:tc>
          <w:tcPr>
            <w:tcW w:w="1900" w:type="dxa"/>
            <w:vAlign w:val="center"/>
          </w:tcPr>
          <w:p w14:paraId="1D230BFC"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Critical promotion gate</w:t>
            </w:r>
          </w:p>
        </w:tc>
        <w:tc>
          <w:tcPr>
            <w:tcW w:w="2900" w:type="dxa"/>
            <w:vAlign w:val="center"/>
          </w:tcPr>
          <w:p w14:paraId="648F7CC4"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Composite ≥ 80 with a Tier 1/2 PII asset and active-attack evidence</w:t>
            </w:r>
          </w:p>
        </w:tc>
        <w:tc>
          <w:tcPr>
            <w:tcW w:w="2280" w:type="dxa"/>
            <w:vAlign w:val="center"/>
          </w:tcPr>
          <w:p w14:paraId="6FB24A36"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w:t>
            </w:r>
          </w:p>
        </w:tc>
        <w:tc>
          <w:tcPr>
            <w:tcW w:w="2280" w:type="dxa"/>
            <w:vAlign w:val="center"/>
          </w:tcPr>
          <w:p w14:paraId="25D5DFBF" w14:textId="77777777" w:rsidR="00894441" w:rsidRDefault="00000000">
            <w:pPr>
              <w:spacing w:before="20" w:after="20" w:line="240" w:lineRule="auto"/>
              <w:rPr>
                <w:rFonts w:ascii="Times New Roman" w:hAnsi="Times New Roman" w:cs="Times New Roman"/>
                <w:sz w:val="20"/>
              </w:rPr>
            </w:pPr>
            <w:r>
              <w:rPr>
                <w:rFonts w:ascii="Times New Roman" w:hAnsi="Times New Roman" w:cs="Times New Roman"/>
                <w:sz w:val="20"/>
                <w:szCs w:val="20"/>
              </w:rPr>
              <w:t>Required for critical priority</w:t>
            </w:r>
          </w:p>
        </w:tc>
      </w:tr>
    </w:tbl>
    <w:p w14:paraId="1A3EAAAE" w14:textId="77777777" w:rsidR="00894441" w:rsidRDefault="00000000" w:rsidP="00CF0DC0">
      <w:pPr>
        <w:pStyle w:val="Caption"/>
        <w:jc w:val="center"/>
        <w:rPr>
          <w:rFonts w:cs="Times New Roman"/>
          <w:iCs/>
          <w:sz w:val="18"/>
          <w:szCs w:val="18"/>
        </w:rPr>
      </w:pPr>
      <w:bookmarkStart w:id="68" w:name="_Tbl_3_2"/>
      <w:r>
        <w:rPr>
          <w:rFonts w:cs="Times New Roman"/>
          <w:b/>
          <w:iCs/>
          <w:sz w:val="18"/>
          <w:szCs w:val="18"/>
        </w:rPr>
        <w:t xml:space="preserve">Table 3.2 </w:t>
      </w:r>
      <w:r>
        <w:rPr>
          <w:rFonts w:cs="Times New Roman"/>
          <w:iCs/>
          <w:sz w:val="18"/>
          <w:szCs w:val="18"/>
        </w:rPr>
        <w:t>PII Classification Taxonomy and Risk-Scoring Inputs</w:t>
      </w:r>
      <w:bookmarkEnd w:id="68"/>
    </w:p>
    <w:p w14:paraId="4C0ECB52" w14:textId="77777777" w:rsidR="00670227" w:rsidRPr="00670227" w:rsidRDefault="00670227" w:rsidP="00670227"/>
    <w:p w14:paraId="71269007" w14:textId="38838237" w:rsidR="00387094" w:rsidRPr="00092A99" w:rsidRDefault="00000000" w:rsidP="00092A99">
      <w:pPr>
        <w:spacing w:after="200" w:line="480" w:lineRule="auto"/>
        <w:ind w:left="540" w:firstLine="360"/>
        <w:rPr>
          <w:rFonts w:ascii="Times New Roman" w:eastAsia="Arial" w:hAnsi="Times New Roman" w:cs="Times New Roman"/>
        </w:rPr>
      </w:pPr>
      <w:r>
        <w:rPr>
          <w:rFonts w:ascii="Times New Roman" w:eastAsia="Arial" w:hAnsi="Times New Roman" w:cs="Times New Roman"/>
        </w:rPr>
        <w:t>Table 3.3 illustrates the interaction of the two mechanisms at the boundaries of the scoring rules. These cases follow directly from the scoring weights and the promotion gate rather than from experimental results; they are included to show how the scoring rules behave at their boundary conditions.</w:t>
      </w:r>
    </w:p>
    <w:p w14:paraId="4F301CC9" w14:textId="77777777" w:rsidR="002A35D1" w:rsidRPr="00092A99" w:rsidRDefault="002A35D1" w:rsidP="00092A99">
      <w:pPr>
        <w:spacing w:after="200" w:line="480" w:lineRule="auto"/>
        <w:ind w:left="540" w:firstLine="360"/>
        <w:rPr>
          <w:rFonts w:ascii="Times New Roman" w:eastAsia="Arial" w:hAnsi="Times New Roman" w:cs="Times New Roman"/>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4A0" w:firstRow="1" w:lastRow="0" w:firstColumn="1" w:lastColumn="0" w:noHBand="0" w:noVBand="1"/>
      </w:tblPr>
      <w:tblGrid>
        <w:gridCol w:w="2824"/>
        <w:gridCol w:w="1580"/>
        <w:gridCol w:w="1072"/>
        <w:gridCol w:w="2117"/>
        <w:gridCol w:w="1767"/>
      </w:tblGrid>
      <w:tr w:rsidR="00387094" w14:paraId="6C5340D8" w14:textId="77777777">
        <w:trPr>
          <w:tblHeader/>
        </w:trPr>
        <w:tc>
          <w:tcPr>
            <w:tcW w:w="2900" w:type="dxa"/>
            <w:shd w:val="clear" w:color="auto" w:fill="D9D9D9"/>
            <w:vAlign w:val="center"/>
          </w:tcPr>
          <w:p w14:paraId="6F704CEF"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b/>
                <w:sz w:val="20"/>
              </w:rPr>
              <w:t>Case</w:t>
            </w:r>
          </w:p>
        </w:tc>
        <w:tc>
          <w:tcPr>
            <w:tcW w:w="1600" w:type="dxa"/>
            <w:shd w:val="clear" w:color="auto" w:fill="D9D9D9"/>
            <w:vAlign w:val="center"/>
          </w:tcPr>
          <w:p w14:paraId="42445859"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b/>
                <w:sz w:val="20"/>
              </w:rPr>
              <w:t>Composite calculation</w:t>
            </w:r>
          </w:p>
        </w:tc>
        <w:tc>
          <w:tcPr>
            <w:tcW w:w="900" w:type="dxa"/>
            <w:shd w:val="clear" w:color="auto" w:fill="D9D9D9"/>
            <w:vAlign w:val="center"/>
          </w:tcPr>
          <w:p w14:paraId="52FE1AFC"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b/>
                <w:sz w:val="20"/>
              </w:rPr>
              <w:t>Composite</w:t>
            </w:r>
          </w:p>
        </w:tc>
        <w:tc>
          <w:tcPr>
            <w:tcW w:w="2160" w:type="dxa"/>
            <w:shd w:val="clear" w:color="auto" w:fill="D9D9D9"/>
            <w:vAlign w:val="center"/>
          </w:tcPr>
          <w:p w14:paraId="795E086A"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b/>
                <w:sz w:val="20"/>
              </w:rPr>
              <w:t>Gate satisfied</w:t>
            </w:r>
          </w:p>
        </w:tc>
        <w:tc>
          <w:tcPr>
            <w:tcW w:w="1800" w:type="dxa"/>
            <w:shd w:val="clear" w:color="auto" w:fill="D9D9D9"/>
            <w:vAlign w:val="center"/>
          </w:tcPr>
          <w:p w14:paraId="2775C6AA"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b/>
                <w:sz w:val="20"/>
              </w:rPr>
              <w:t>Resulting priority</w:t>
            </w:r>
          </w:p>
        </w:tc>
      </w:tr>
      <w:tr w:rsidR="00387094" w14:paraId="737B126C" w14:textId="77777777">
        <w:tc>
          <w:tcPr>
            <w:tcW w:w="2900" w:type="dxa"/>
            <w:vAlign w:val="center"/>
          </w:tcPr>
          <w:p w14:paraId="50EB9D8C"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No PII exposure; all other inputs at maximum</w:t>
            </w:r>
          </w:p>
        </w:tc>
        <w:tc>
          <w:tcPr>
            <w:tcW w:w="1600" w:type="dxa"/>
            <w:vAlign w:val="center"/>
          </w:tcPr>
          <w:p w14:paraId="7A07E018"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30 + 0 + 25 + 20</w:t>
            </w:r>
          </w:p>
        </w:tc>
        <w:tc>
          <w:tcPr>
            <w:tcW w:w="900" w:type="dxa"/>
            <w:vAlign w:val="center"/>
          </w:tcPr>
          <w:p w14:paraId="1B2CE990"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75</w:t>
            </w:r>
          </w:p>
        </w:tc>
        <w:tc>
          <w:tcPr>
            <w:tcW w:w="2160" w:type="dxa"/>
            <w:vAlign w:val="center"/>
          </w:tcPr>
          <w:p w14:paraId="25090212"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No — no Tier 1 or Tier 2 registration</w:t>
            </w:r>
          </w:p>
        </w:tc>
        <w:tc>
          <w:tcPr>
            <w:tcW w:w="1800" w:type="dxa"/>
            <w:vAlign w:val="center"/>
          </w:tcPr>
          <w:p w14:paraId="65A12E53"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High</w:t>
            </w:r>
          </w:p>
        </w:tc>
      </w:tr>
      <w:tr w:rsidR="00387094" w14:paraId="0FBB0E0D" w14:textId="77777777">
        <w:tc>
          <w:tcPr>
            <w:tcW w:w="2900" w:type="dxa"/>
            <w:vAlign w:val="center"/>
          </w:tcPr>
          <w:p w14:paraId="537EA521"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Tier 3 asset; all other inputs at maximum</w:t>
            </w:r>
          </w:p>
        </w:tc>
        <w:tc>
          <w:tcPr>
            <w:tcW w:w="1600" w:type="dxa"/>
            <w:vAlign w:val="center"/>
          </w:tcPr>
          <w:p w14:paraId="3C91D268"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30 + 8 + 25 + 20</w:t>
            </w:r>
          </w:p>
        </w:tc>
        <w:tc>
          <w:tcPr>
            <w:tcW w:w="900" w:type="dxa"/>
            <w:vAlign w:val="center"/>
          </w:tcPr>
          <w:p w14:paraId="4141BD71"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83</w:t>
            </w:r>
          </w:p>
        </w:tc>
        <w:tc>
          <w:tcPr>
            <w:tcW w:w="2160" w:type="dxa"/>
            <w:vAlign w:val="center"/>
          </w:tcPr>
          <w:p w14:paraId="120D73D7"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No — not Tier 1 or Tier 2</w:t>
            </w:r>
          </w:p>
        </w:tc>
        <w:tc>
          <w:tcPr>
            <w:tcW w:w="1800" w:type="dxa"/>
            <w:vAlign w:val="center"/>
          </w:tcPr>
          <w:p w14:paraId="2921C624"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High</w:t>
            </w:r>
          </w:p>
        </w:tc>
      </w:tr>
      <w:tr w:rsidR="00387094" w14:paraId="500457AB" w14:textId="77777777">
        <w:tc>
          <w:tcPr>
            <w:tcW w:w="2900" w:type="dxa"/>
            <w:vAlign w:val="center"/>
          </w:tcPr>
          <w:p w14:paraId="1616BA54"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Tier 1 asset; confirmed active attack</w:t>
            </w:r>
          </w:p>
        </w:tc>
        <w:tc>
          <w:tcPr>
            <w:tcW w:w="1600" w:type="dxa"/>
            <w:vAlign w:val="center"/>
          </w:tcPr>
          <w:p w14:paraId="00F6E570"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30 + 25 + 25 + 20</w:t>
            </w:r>
          </w:p>
        </w:tc>
        <w:tc>
          <w:tcPr>
            <w:tcW w:w="900" w:type="dxa"/>
            <w:vAlign w:val="center"/>
          </w:tcPr>
          <w:p w14:paraId="1ACCA0A7"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100</w:t>
            </w:r>
          </w:p>
        </w:tc>
        <w:tc>
          <w:tcPr>
            <w:tcW w:w="2160" w:type="dxa"/>
            <w:vAlign w:val="center"/>
          </w:tcPr>
          <w:p w14:paraId="373BEB87"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Yes — all three conditions met</w:t>
            </w:r>
          </w:p>
        </w:tc>
        <w:tc>
          <w:tcPr>
            <w:tcW w:w="1800" w:type="dxa"/>
            <w:vAlign w:val="center"/>
          </w:tcPr>
          <w:p w14:paraId="10C77C9D"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Critical</w:t>
            </w:r>
          </w:p>
        </w:tc>
      </w:tr>
      <w:tr w:rsidR="00387094" w14:paraId="15273E7D" w14:textId="77777777">
        <w:tc>
          <w:tcPr>
            <w:tcW w:w="2900" w:type="dxa"/>
            <w:vAlign w:val="center"/>
          </w:tcPr>
          <w:p w14:paraId="51A423A5"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Tier 1 asset; no detection signal or correlated technique</w:t>
            </w:r>
          </w:p>
        </w:tc>
        <w:tc>
          <w:tcPr>
            <w:tcW w:w="1600" w:type="dxa"/>
            <w:vAlign w:val="center"/>
          </w:tcPr>
          <w:p w14:paraId="20F859B2"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0 + 25 + 0 + 5</w:t>
            </w:r>
          </w:p>
        </w:tc>
        <w:tc>
          <w:tcPr>
            <w:tcW w:w="900" w:type="dxa"/>
            <w:vAlign w:val="center"/>
          </w:tcPr>
          <w:p w14:paraId="7295B297"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30</w:t>
            </w:r>
          </w:p>
        </w:tc>
        <w:tc>
          <w:tcPr>
            <w:tcW w:w="2160" w:type="dxa"/>
            <w:vAlign w:val="center"/>
          </w:tcPr>
          <w:p w14:paraId="73F13C25"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No — no active-attack evidence</w:t>
            </w:r>
          </w:p>
        </w:tc>
        <w:tc>
          <w:tcPr>
            <w:tcW w:w="1800" w:type="dxa"/>
            <w:vAlign w:val="center"/>
          </w:tcPr>
          <w:p w14:paraId="089D49DC" w14:textId="77777777" w:rsidR="00387094" w:rsidRDefault="00000000">
            <w:pPr>
              <w:spacing w:before="20" w:after="20" w:line="240" w:lineRule="auto"/>
              <w:rPr>
                <w:rFonts w:ascii="Times New Roman" w:hAnsi="Times New Roman" w:cs="Times New Roman"/>
                <w:sz w:val="20"/>
              </w:rPr>
            </w:pPr>
            <w:r>
              <w:rPr>
                <w:rFonts w:ascii="Times New Roman" w:hAnsi="Times New Roman" w:cs="Times New Roman"/>
                <w:sz w:val="20"/>
              </w:rPr>
              <w:t>Low</w:t>
            </w:r>
          </w:p>
        </w:tc>
      </w:tr>
    </w:tbl>
    <w:p w14:paraId="1D94F26A" w14:textId="77777777" w:rsidR="00387094" w:rsidRDefault="00000000">
      <w:pPr>
        <w:pStyle w:val="Caption"/>
        <w:jc w:val="center"/>
        <w:rPr>
          <w:rFonts w:cs="Times New Roman"/>
          <w:iCs/>
          <w:sz w:val="18"/>
          <w:szCs w:val="18"/>
        </w:rPr>
      </w:pPr>
      <w:bookmarkStart w:id="69" w:name="_Tbl_3_3"/>
      <w:r>
        <w:rPr>
          <w:rFonts w:cs="Times New Roman"/>
          <w:b/>
          <w:iCs/>
          <w:sz w:val="18"/>
          <w:szCs w:val="18"/>
        </w:rPr>
        <w:t xml:space="preserve">Table 3.3 </w:t>
      </w:r>
      <w:r>
        <w:rPr>
          <w:rFonts w:cs="Times New Roman"/>
          <w:iCs/>
          <w:sz w:val="18"/>
          <w:szCs w:val="18"/>
        </w:rPr>
        <w:t>Illustrative Boundary Cases of the Composite Scoring and Promotion Rules</w:t>
      </w:r>
      <w:bookmarkEnd w:id="69"/>
    </w:p>
    <w:p w14:paraId="76249E67" w14:textId="77777777" w:rsidR="001646E3" w:rsidRDefault="001646E3" w:rsidP="001646E3">
      <w:pPr>
        <w:spacing w:line="480" w:lineRule="auto"/>
        <w:ind w:left="630"/>
      </w:pPr>
    </w:p>
    <w:p w14:paraId="75DDC3B6" w14:textId="77777777" w:rsidR="00284E84" w:rsidRDefault="00284E84" w:rsidP="00284E84">
      <w:pPr>
        <w:pStyle w:val="Heading2"/>
        <w:spacing w:before="200" w:after="60"/>
      </w:pPr>
      <w:bookmarkStart w:id="70" w:name="_Toc236431670"/>
      <w:r>
        <w:rPr>
          <w:rFonts w:eastAsia="Times New Roman" w:cs="Times New Roman"/>
          <w:szCs w:val="24"/>
        </w:rPr>
        <w:lastRenderedPageBreak/>
        <w:t>3.8 Testing Procedures</w:t>
      </w:r>
      <w:bookmarkEnd w:id="70"/>
    </w:p>
    <w:p w14:paraId="57AA0557" w14:textId="77777777" w:rsidR="00284E84" w:rsidRDefault="00284E84" w:rsidP="00092A99">
      <w:pPr>
        <w:spacing w:line="480" w:lineRule="auto"/>
        <w:ind w:firstLine="540"/>
        <w:rPr>
          <w:rFonts w:ascii="Times New Roman" w:eastAsia="Times New Roman" w:hAnsi="Times New Roman" w:cs="Times New Roman"/>
        </w:rPr>
      </w:pPr>
      <w:r>
        <w:rPr>
          <w:rFonts w:ascii="Times New Roman" w:eastAsia="Times New Roman" w:hAnsi="Times New Roman" w:cs="Times New Roman"/>
        </w:rPr>
        <w:t>Stage 5 executes the full enriched pipeline against each scenario and measures performance against the baseline established in Stage 2. The procedure is designed to produce quantitative evidence directly relevant to the three hypotheses while maintaining methodological rigor appropriate to doctoral research (Hevner et al., 2004; Venable et al., 2016).</w:t>
      </w:r>
    </w:p>
    <w:p w14:paraId="309BCDEC" w14:textId="77777777" w:rsidR="00233385" w:rsidRDefault="00233385" w:rsidP="00557441">
      <w:pPr>
        <w:spacing w:line="480" w:lineRule="auto"/>
        <w:ind w:left="360"/>
      </w:pPr>
    </w:p>
    <w:p w14:paraId="64379F1D" w14:textId="77777777" w:rsidR="00284E84" w:rsidRPr="00557441" w:rsidRDefault="00284E84" w:rsidP="00557441">
      <w:pPr>
        <w:pStyle w:val="Heading3"/>
        <w:numPr>
          <w:ilvl w:val="0"/>
          <w:numId w:val="0"/>
        </w:numPr>
        <w:ind w:left="450"/>
      </w:pPr>
      <w:bookmarkStart w:id="71" w:name="_Toc236431671"/>
      <w:r>
        <w:t>3.8.1 Baseline Establishment and Enriched Execution</w:t>
      </w:r>
      <w:bookmarkEnd w:id="71"/>
    </w:p>
    <w:p w14:paraId="44E00735" w14:textId="1FCF7DA1"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 xml:space="preserve">In Stage 2, standard detection rules are applied to each dataset using Elasticsearch threshold alerting and the Kibana rules engine, replicating a mature but standard SOC detection capability, signature-based correlation, threshold rules, and basic behavioral baselines, with no asset-specific PII weighting (Detken et al., 2015; Zimmerman, 2014). The standard detection rules applied in the baseline condition are documented in Table 3.4. </w:t>
      </w:r>
    </w:p>
    <w:p w14:paraId="618156C4" w14:textId="77777777" w:rsidR="001646E3" w:rsidRDefault="001646E3" w:rsidP="00284E84">
      <w:pPr>
        <w:spacing w:line="480" w:lineRule="auto"/>
        <w:ind w:left="630"/>
        <w:jc w:val="both"/>
        <w:rPr>
          <w:rFonts w:ascii="Times New Roman" w:eastAsia="Times New Roman" w:hAnsi="Times New Roman" w:cs="Times New Roman"/>
        </w:rPr>
      </w:pPr>
    </w:p>
    <w:p w14:paraId="39EA873A" w14:textId="77777777" w:rsidR="00284E84" w:rsidRDefault="00284E84" w:rsidP="00284E84">
      <w:pPr>
        <w:spacing w:line="480" w:lineRule="auto"/>
        <w:ind w:left="630"/>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331E3DE" wp14:editId="6BFFA2BF">
            <wp:extent cx="5943600" cy="2520950"/>
            <wp:effectExtent l="0" t="0" r="0" b="0"/>
            <wp:docPr id="205171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3001" name="Picture 20517130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520950"/>
                    </a:xfrm>
                    <a:prstGeom prst="rect">
                      <a:avLst/>
                    </a:prstGeom>
                  </pic:spPr>
                </pic:pic>
              </a:graphicData>
            </a:graphic>
          </wp:inline>
        </w:drawing>
      </w:r>
    </w:p>
    <w:p w14:paraId="755296BB" w14:textId="76134B59" w:rsidR="00284E84" w:rsidRPr="001341B1" w:rsidRDefault="00A71871" w:rsidP="00CF0DC0">
      <w:pPr>
        <w:pStyle w:val="Caption"/>
        <w:spacing w:after="0"/>
        <w:jc w:val="center"/>
        <w:rPr>
          <w:rFonts w:cs="Times New Roman"/>
          <w:iCs/>
          <w:sz w:val="18"/>
          <w:szCs w:val="18"/>
        </w:rPr>
      </w:pPr>
      <w:bookmarkStart w:id="72" w:name="_Tbl_3_4"/>
      <w:r>
        <w:rPr>
          <w:rFonts w:cs="Times New Roman"/>
          <w:b/>
          <w:iCs/>
          <w:sz w:val="18"/>
          <w:szCs w:val="18"/>
        </w:rPr>
        <w:t xml:space="preserve">Table 3.4 </w:t>
      </w:r>
      <w:r>
        <w:rPr>
          <w:rFonts w:cs="Times New Roman"/>
          <w:iCs/>
          <w:sz w:val="18"/>
          <w:szCs w:val="18"/>
        </w:rPr>
        <w:t>Security Detection Rules and Triggers</w:t>
      </w:r>
      <w:bookmarkEnd w:id="72"/>
    </w:p>
    <w:p w14:paraId="7C6D7BE4" w14:textId="77777777" w:rsidR="001646E3" w:rsidRDefault="001646E3" w:rsidP="00284E84">
      <w:pPr>
        <w:spacing w:after="0" w:line="240" w:lineRule="auto"/>
        <w:jc w:val="center"/>
        <w:rPr>
          <w:rFonts w:ascii="Times New Roman" w:hAnsi="Times New Roman" w:cs="Times New Roman"/>
          <w:i/>
          <w:sz w:val="18"/>
          <w:szCs w:val="18"/>
        </w:rPr>
      </w:pPr>
    </w:p>
    <w:p w14:paraId="0F36D2B1" w14:textId="77777777" w:rsidR="001646E3" w:rsidRDefault="001646E3" w:rsidP="00284E84">
      <w:pPr>
        <w:spacing w:after="0" w:line="240" w:lineRule="auto"/>
        <w:jc w:val="center"/>
        <w:rPr>
          <w:rFonts w:ascii="Times New Roman" w:hAnsi="Times New Roman" w:cs="Times New Roman"/>
          <w:i/>
          <w:sz w:val="18"/>
          <w:szCs w:val="18"/>
        </w:rPr>
      </w:pPr>
    </w:p>
    <w:p w14:paraId="453D8354" w14:textId="77777777" w:rsidR="00284E84" w:rsidRDefault="00284E84" w:rsidP="00284E84">
      <w:pPr>
        <w:spacing w:after="0" w:line="240" w:lineRule="auto"/>
        <w:jc w:val="center"/>
        <w:rPr>
          <w:rFonts w:ascii="Times New Roman" w:eastAsia="Times New Roman" w:hAnsi="Times New Roman" w:cs="Times New Roman"/>
        </w:rPr>
      </w:pPr>
    </w:p>
    <w:p w14:paraId="63E3FBBD" w14:textId="77777777"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 xml:space="preserve"> The representative rule set includes failed-authentication thresholds, geographic authentication anomalies, large-outbound-transfer alerts, encoded-PowerShell execution anomalies, and database-query-volume spikes, all consistent with baseline detection capabilities documented in the SOC literature (Nagaraj, 2023; </w:t>
      </w:r>
      <w:proofErr w:type="spellStart"/>
      <w:r w:rsidRPr="00092A99">
        <w:rPr>
          <w:rFonts w:ascii="Times New Roman" w:eastAsia="Arial" w:hAnsi="Times New Roman" w:cs="Times New Roman"/>
        </w:rPr>
        <w:t>Jangampet</w:t>
      </w:r>
      <w:proofErr w:type="spellEnd"/>
      <w:r w:rsidRPr="00092A99">
        <w:rPr>
          <w:rFonts w:ascii="Times New Roman" w:eastAsia="Arial" w:hAnsi="Times New Roman" w:cs="Times New Roman"/>
        </w:rPr>
        <w:t xml:space="preserve"> et al., 2024). For each scenario, the baseline procedure records total alert volume, true-positive rate, and simulated triage time, the comparison reference point against which the enriched results are evaluated (</w:t>
      </w:r>
      <w:proofErr w:type="spellStart"/>
      <w:r w:rsidRPr="00092A99">
        <w:rPr>
          <w:rFonts w:ascii="Times New Roman" w:eastAsia="Arial" w:hAnsi="Times New Roman" w:cs="Times New Roman"/>
        </w:rPr>
        <w:t>Sundaramurthy</w:t>
      </w:r>
      <w:proofErr w:type="spellEnd"/>
      <w:r w:rsidRPr="00092A99">
        <w:rPr>
          <w:rFonts w:ascii="Times New Roman" w:eastAsia="Arial" w:hAnsi="Times New Roman" w:cs="Times New Roman"/>
        </w:rPr>
        <w:t xml:space="preserve"> et al., 2014).</w:t>
      </w:r>
    </w:p>
    <w:p w14:paraId="3C3D73C7" w14:textId="77777777"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 xml:space="preserve">In Stage 5, the complete PII Context Framework configuration, the Asset Inventory Registry, the taxonomy tier assignments, and the attack-complexity scoring logic, </w:t>
      </w:r>
      <w:proofErr w:type="gramStart"/>
      <w:r w:rsidRPr="00092A99">
        <w:rPr>
          <w:rFonts w:ascii="Times New Roman" w:eastAsia="Arial" w:hAnsi="Times New Roman" w:cs="Times New Roman"/>
        </w:rPr>
        <w:t>is</w:t>
      </w:r>
      <w:proofErr w:type="gramEnd"/>
      <w:r w:rsidRPr="00092A99">
        <w:rPr>
          <w:rFonts w:ascii="Times New Roman" w:eastAsia="Arial" w:hAnsi="Times New Roman" w:cs="Times New Roman"/>
        </w:rPr>
        <w:t xml:space="preserve"> loaded into Logstash, and each dataset is re-ingested through the enriched pipeline (Elastic N.V., 2026b). This produces a parallel set of Elasticsearch indices containing the original ECS fields plus the populated </w:t>
      </w:r>
      <w:proofErr w:type="spellStart"/>
      <w:proofErr w:type="gramStart"/>
      <w:r w:rsidRPr="00092A99">
        <w:rPr>
          <w:rFonts w:ascii="Times New Roman" w:eastAsia="Arial" w:hAnsi="Times New Roman" w:cs="Times New Roman"/>
        </w:rPr>
        <w:t>pii.context</w:t>
      </w:r>
      <w:proofErr w:type="spellEnd"/>
      <w:proofErr w:type="gramEnd"/>
      <w:r w:rsidRPr="00092A99">
        <w:rPr>
          <w:rFonts w:ascii="Times New Roman" w:eastAsia="Arial" w:hAnsi="Times New Roman" w:cs="Times New Roman"/>
        </w:rPr>
        <w:t xml:space="preserve"> fields, enabling direct field-level comparison against the identical underlying events (Elastic N.V., 2026a). Aggregation queries then classify each alert into low (&lt; 40), medium (40–59), or high (≥ 60) priority from its base score, and apply the promotion criteria to elevate alerts reflecting a confirmed PII attack to critical priority, replicating the operational workflow in which low-priority alerts are deferred for batch review (</w:t>
      </w:r>
      <w:proofErr w:type="spellStart"/>
      <w:r w:rsidRPr="00092A99">
        <w:rPr>
          <w:rFonts w:ascii="Times New Roman" w:eastAsia="Arial" w:hAnsi="Times New Roman" w:cs="Times New Roman"/>
        </w:rPr>
        <w:t>Jangampet</w:t>
      </w:r>
      <w:proofErr w:type="spellEnd"/>
      <w:r w:rsidRPr="00092A99">
        <w:rPr>
          <w:rFonts w:ascii="Times New Roman" w:eastAsia="Arial" w:hAnsi="Times New Roman" w:cs="Times New Roman"/>
        </w:rPr>
        <w:t xml:space="preserve"> et al., 2024; Crowley, 2024). For metric computation, the analyst's actionable high-priority queue is condition-specific: in the baseline condition it comprises the high and critical tiers jointly (base score ≥ 60), the best prioritization a context-blind SOC can make, whereas in the enriched condition it is the promoted critical tier, the confirmed-PII-attack queue the framework surfaces for immediate response—preserving comparability with the binary escalation decision embedded in the performance metrics.</w:t>
      </w:r>
    </w:p>
    <w:p w14:paraId="1C8F6546" w14:textId="77777777" w:rsidR="00233385" w:rsidRDefault="00233385" w:rsidP="001646E3">
      <w:pPr>
        <w:spacing w:line="480" w:lineRule="auto"/>
        <w:ind w:left="630"/>
      </w:pPr>
    </w:p>
    <w:p w14:paraId="442CE8F3" w14:textId="77777777" w:rsidR="00284E84" w:rsidRPr="00557441" w:rsidRDefault="00284E84" w:rsidP="00557441">
      <w:pPr>
        <w:pStyle w:val="Heading3"/>
        <w:numPr>
          <w:ilvl w:val="0"/>
          <w:numId w:val="0"/>
        </w:numPr>
        <w:ind w:left="540"/>
      </w:pPr>
      <w:bookmarkStart w:id="73" w:name="_Toc236431672"/>
      <w:r>
        <w:t>3.8.2 Primary Performance Metrics</w:t>
      </w:r>
      <w:bookmarkEnd w:id="73"/>
    </w:p>
    <w:p w14:paraId="09F186CD" w14:textId="0BB7016A" w:rsidR="00284E84" w:rsidRPr="00092A99" w:rsidRDefault="0018448D"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Five primary metrics measure the framework's impact on the three hypothesized dimensions of triage speed (H1), alert-noise reduction (H2), and early detection within the attack chain (H3) (</w:t>
      </w:r>
      <w:proofErr w:type="spellStart"/>
      <w:r w:rsidRPr="00092A99">
        <w:rPr>
          <w:rFonts w:ascii="Times New Roman" w:eastAsia="Arial" w:hAnsi="Times New Roman" w:cs="Times New Roman"/>
        </w:rPr>
        <w:t>Sundaramurthy</w:t>
      </w:r>
      <w:proofErr w:type="spellEnd"/>
      <w:r w:rsidRPr="00092A99">
        <w:rPr>
          <w:rFonts w:ascii="Times New Roman" w:eastAsia="Arial" w:hAnsi="Times New Roman" w:cs="Times New Roman"/>
        </w:rPr>
        <w:t xml:space="preserve"> et al., 2014; Greitzer &amp; Ferryman, 2013): (1) high-priority alert volume, the number of alerts classified high-priority in each condition; (2) true-positive rate at high priority, the proportion of high-priority alerts that correctly correspond to malicious activity; (3) simulated triage time per true-positive detection, the average analyst time to correctly identify a true positive as requiring escalation; (4) false-positive rate at high priority; and (5) early-detection rate, the proportion of scenarios in which an early-stage indicator</w:t>
      </w:r>
      <w:r w:rsidR="0060340D">
        <w:rPr>
          <w:rFonts w:ascii="Times New Roman" w:eastAsia="Arial" w:hAnsi="Times New Roman" w:cs="Times New Roman"/>
        </w:rPr>
        <w:t xml:space="preserve">, </w:t>
      </w:r>
      <w:r w:rsidRPr="00092A99">
        <w:rPr>
          <w:rFonts w:ascii="Times New Roman" w:eastAsia="Arial" w:hAnsi="Times New Roman" w:cs="Times New Roman"/>
        </w:rPr>
        <w:t>for example, a lateral-movement event early in the Scenario 5 timeline</w:t>
      </w:r>
      <w:r w:rsidR="0060340D">
        <w:rPr>
          <w:rFonts w:ascii="Times New Roman" w:eastAsia="Arial" w:hAnsi="Times New Roman" w:cs="Times New Roman"/>
        </w:rPr>
        <w:t xml:space="preserve">, </w:t>
      </w:r>
      <w:r w:rsidRPr="00092A99">
        <w:rPr>
          <w:rFonts w:ascii="Times New Roman" w:eastAsia="Arial" w:hAnsi="Times New Roman" w:cs="Times New Roman"/>
        </w:rPr>
        <w:t>receives a high-priority score before the bulk-exfiltration phase generates more obvious indicators (Strom et al., 2018; Sloan, 2025).</w:t>
      </w:r>
      <w:r w:rsidR="00284E84" w:rsidRPr="00092A99">
        <w:rPr>
          <w:rFonts w:ascii="Times New Roman" w:eastAsia="Arial" w:hAnsi="Times New Roman" w:cs="Times New Roman"/>
        </w:rPr>
        <w:t>Triage-time measurements use a standardized protocol administered to trained analyst evaluators who assess alerts from both conditions in randomized, blinded order, without being told which condition each alert is drawn from; triage time is recorded from presentation of the alert to the documented triage decision.</w:t>
      </w:r>
    </w:p>
    <w:p w14:paraId="11CD15C1" w14:textId="77777777" w:rsidR="00DF6629" w:rsidRDefault="00DF6629" w:rsidP="00557441">
      <w:pPr>
        <w:spacing w:line="480" w:lineRule="auto"/>
        <w:ind w:left="630"/>
      </w:pPr>
    </w:p>
    <w:p w14:paraId="03C85832" w14:textId="77777777" w:rsidR="00284E84" w:rsidRPr="00557441" w:rsidRDefault="00284E84" w:rsidP="00557441">
      <w:pPr>
        <w:pStyle w:val="Heading3"/>
        <w:numPr>
          <w:ilvl w:val="0"/>
          <w:numId w:val="0"/>
        </w:numPr>
        <w:ind w:left="450"/>
      </w:pPr>
      <w:bookmarkStart w:id="74" w:name="_Toc236431673"/>
      <w:r>
        <w:t>3.8.3 Secondary Validation Metrics</w:t>
      </w:r>
      <w:bookmarkEnd w:id="74"/>
    </w:p>
    <w:p w14:paraId="37EC29CA" w14:textId="255F7851" w:rsidR="00233385"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 xml:space="preserve">Secondary metrics provide additional evidence of the framework's operational characteristics. The alert-distribution-shift metric measures the change in the proportion of alerts across priority tiers between conditions, quantifying how far PII enrichment </w:t>
      </w:r>
      <w:r w:rsidRPr="00092A99">
        <w:rPr>
          <w:rFonts w:ascii="Times New Roman" w:eastAsia="Arial" w:hAnsi="Times New Roman" w:cs="Times New Roman"/>
        </w:rPr>
        <w:lastRenderedPageBreak/>
        <w:t xml:space="preserve">concentrates the high-priority tier around true positives (Pendleton et al., 2016). The PII-exposure-coverage rate confirms that the Asset Inventory Registry covers the assets implicated in the test scenarios. The promotion-precision metric evaluates whether alerts promoted to critical are significantly more likely to be true positives than alerts remaining at their base priority, confirming that the promotion logic isolates confirmed attacks targeting PII rather than uniformly escalating alerts. </w:t>
      </w:r>
      <w:r w:rsidR="0018448D" w:rsidRPr="00092A99">
        <w:rPr>
          <w:rFonts w:ascii="Times New Roman" w:eastAsia="Arial" w:hAnsi="Times New Roman" w:cs="Times New Roman"/>
        </w:rPr>
        <w:t xml:space="preserve">The </w:t>
      </w:r>
      <w:r w:rsidR="007443DD" w:rsidRPr="00092A99">
        <w:rPr>
          <w:rFonts w:ascii="Times New Roman" w:eastAsia="Arial" w:hAnsi="Times New Roman" w:cs="Times New Roman"/>
        </w:rPr>
        <w:t>early detection</w:t>
      </w:r>
      <w:r w:rsidR="0018448D" w:rsidRPr="00092A99">
        <w:rPr>
          <w:rFonts w:ascii="Times New Roman" w:eastAsia="Arial" w:hAnsi="Times New Roman" w:cs="Times New Roman"/>
        </w:rPr>
        <w:t xml:space="preserve"> rate, which bears directly on H3, is treated as a primary rather than a secondary metric and is defined in Section 3.8.2.</w:t>
      </w:r>
    </w:p>
    <w:p w14:paraId="7A0C09FD" w14:textId="77777777" w:rsidR="0018448D" w:rsidRDefault="0018448D" w:rsidP="00557441">
      <w:pPr>
        <w:spacing w:line="480" w:lineRule="auto"/>
        <w:ind w:left="630"/>
      </w:pPr>
    </w:p>
    <w:p w14:paraId="3AE8266C" w14:textId="77777777" w:rsidR="00284E84" w:rsidRPr="00557441" w:rsidRDefault="00284E84" w:rsidP="00557441">
      <w:pPr>
        <w:pStyle w:val="Heading3"/>
        <w:numPr>
          <w:ilvl w:val="0"/>
          <w:numId w:val="0"/>
        </w:numPr>
        <w:ind w:left="450"/>
      </w:pPr>
      <w:bookmarkStart w:id="75" w:name="_Toc236431674"/>
      <w:r>
        <w:t>3.8.4 Statistical Analysis Approach</w:t>
      </w:r>
      <w:bookmarkEnd w:id="75"/>
    </w:p>
    <w:p w14:paraId="7716CC48" w14:textId="77777777" w:rsidR="00284E84" w:rsidRPr="00092A99" w:rsidRDefault="0018448D"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t xml:space="preserve">Quantitative analysis employs descriptive statistics for all metrics and, where sample sizes permit, inferential tests for the primary metrics and for promotion precision (Agresti &amp; Franklin, 2018). </w:t>
      </w:r>
      <w:r w:rsidR="00284E84" w:rsidRPr="00092A99">
        <w:rPr>
          <w:rFonts w:ascii="Times New Roman" w:eastAsia="Arial" w:hAnsi="Times New Roman" w:cs="Times New Roman"/>
        </w:rPr>
        <w:t>A paired t-test compares simulated triage times between conditions using a within-subjects design that controls for evaluator-level variability, and Cohen's d is reported as the effect size to assess practical as well as statistical significance (Cohen, 1988). The difference in true-positive rate at high priority is assessed with a two-proportion z-test, and the promotion-precision analysis uses a two-proportion z-test comparing the true-positive rate among alerts promoted to critical with that among alerts remaining at their base priority (Agresti &amp; Franklin, 2018).</w:t>
      </w:r>
      <w:r w:rsidRPr="00092A99">
        <w:rPr>
          <w:rFonts w:ascii="Times New Roman" w:eastAsia="Arial" w:hAnsi="Times New Roman" w:cs="Times New Roman"/>
        </w:rPr>
        <w:t xml:space="preserve"> Because the early-detection rate is computed over only five scenarios, it is reported descriptively, with the detection point for each scenario tabulated against the attack timeline rather than tested inferentially.</w:t>
      </w:r>
    </w:p>
    <w:p w14:paraId="40A7D833" w14:textId="792C497D" w:rsidR="00284E84" w:rsidRPr="00092A99" w:rsidRDefault="00D6427E"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lastRenderedPageBreak/>
        <w:t>So</w:t>
      </w:r>
      <w:r w:rsidR="00092A99">
        <w:rPr>
          <w:rFonts w:ascii="Times New Roman" w:eastAsia="Arial" w:hAnsi="Times New Roman" w:cs="Times New Roman"/>
        </w:rPr>
        <w:t>,</w:t>
      </w:r>
      <w:r w:rsidRPr="00092A99">
        <w:rPr>
          <w:rFonts w:ascii="Times New Roman" w:eastAsia="Arial" w:hAnsi="Times New Roman" w:cs="Times New Roman"/>
        </w:rPr>
        <w:t xml:space="preserve"> it is recognized that the small number of distinct scenarios and the controlled nature of the synthetic environment limit the generalizability of statistical inferences (Peffers et al., 2007; Venable et al., 2016). Accordingly, the primary contribution of the analysis is not population-level generalization but proof-of-concept evidence that the framework produces measurable, directionally consistent improvements in SOC triage effectiveness across a diverse set of PII-targeting scenarios. </w:t>
      </w:r>
    </w:p>
    <w:p w14:paraId="021DE1B1" w14:textId="77777777" w:rsidR="00C41D4C" w:rsidRDefault="00C41D4C" w:rsidP="00557441">
      <w:pPr>
        <w:spacing w:line="480" w:lineRule="auto"/>
        <w:ind w:left="630"/>
      </w:pPr>
    </w:p>
    <w:p w14:paraId="4F67E983" w14:textId="77777777" w:rsidR="00284E84" w:rsidRDefault="00284E84" w:rsidP="00284E84">
      <w:pPr>
        <w:pStyle w:val="Heading2"/>
        <w:spacing w:before="200" w:after="60"/>
      </w:pPr>
      <w:bookmarkStart w:id="76" w:name="_Toc236431675"/>
      <w:r>
        <w:rPr>
          <w:rFonts w:eastAsia="Times New Roman" w:cs="Times New Roman"/>
          <w:szCs w:val="24"/>
        </w:rPr>
        <w:t>3.9 Ethical Considerations and Research Limitations</w:t>
      </w:r>
      <w:bookmarkEnd w:id="76"/>
    </w:p>
    <w:p w14:paraId="607638DB" w14:textId="77777777" w:rsidR="00284E84" w:rsidRDefault="00284E84" w:rsidP="00092A99">
      <w:pPr>
        <w:spacing w:line="480" w:lineRule="auto"/>
        <w:ind w:firstLine="540"/>
        <w:rPr>
          <w:rFonts w:ascii="Times New Roman" w:eastAsia="Times New Roman" w:hAnsi="Times New Roman" w:cs="Times New Roman"/>
        </w:rPr>
      </w:pPr>
      <w:r>
        <w:rPr>
          <w:rFonts w:ascii="Times New Roman" w:eastAsia="Times New Roman" w:hAnsi="Times New Roman" w:cs="Times New Roman"/>
        </w:rPr>
        <w:t xml:space="preserve">This research is conducted exclusively with synthetic data generated for the study. No real customer PII, production security logs, or actual financial-institution data is used at any stage, and the synthetic scenarios do not reference specific ongoing investigations, real threat actors, or breach incidents beyond the published case studies analyzed in Chapter 2. This design eliminates the ethical concerns associated with exposing or misusing sensitive personal data (Hevner et al., 2004). The attack techniques are derived from publicly available sources, the MITRE ATT&amp;CK knowledge base (Strom et al., 2018; MITRE Corporation, 2026), peer-reviewed literature, and documented breach post-mortems, and are presented at a level of abstraction appropriate to academic contribution; they do not constitute operational attack instructions. However, they do an accurate job of providing real-world attack accuracy for a SOC that provides confidence in testing and potential validation of the hypotheses. </w:t>
      </w:r>
    </w:p>
    <w:p w14:paraId="32701A7A" w14:textId="77777777" w:rsidR="00C41D4C" w:rsidRDefault="00C41D4C" w:rsidP="00557441">
      <w:pPr>
        <w:spacing w:line="480" w:lineRule="auto"/>
        <w:ind w:left="360"/>
      </w:pPr>
    </w:p>
    <w:p w14:paraId="11B489E6" w14:textId="77777777" w:rsidR="00284E84" w:rsidRPr="007D2464" w:rsidRDefault="00284E84" w:rsidP="00676EA9">
      <w:pPr>
        <w:pStyle w:val="Heading3"/>
        <w:numPr>
          <w:ilvl w:val="0"/>
          <w:numId w:val="0"/>
        </w:numPr>
        <w:ind w:left="450"/>
      </w:pPr>
      <w:bookmarkStart w:id="77" w:name="_Toc236431676"/>
      <w:r>
        <w:t>3.9.1 Research Limitations</w:t>
      </w:r>
      <w:bookmarkEnd w:id="77"/>
    </w:p>
    <w:p w14:paraId="561AEC48" w14:textId="77777777" w:rsidR="00284E84" w:rsidRPr="00092A99" w:rsidRDefault="00284E84" w:rsidP="00092A99">
      <w:pPr>
        <w:spacing w:after="200" w:line="480" w:lineRule="auto"/>
        <w:ind w:left="540" w:firstLine="360"/>
        <w:rPr>
          <w:rFonts w:ascii="Times New Roman" w:eastAsia="Arial" w:hAnsi="Times New Roman" w:cs="Times New Roman"/>
        </w:rPr>
      </w:pPr>
      <w:r w:rsidRPr="00092A99">
        <w:rPr>
          <w:rFonts w:ascii="Times New Roman" w:eastAsia="Arial" w:hAnsi="Times New Roman" w:cs="Times New Roman"/>
        </w:rPr>
        <w:lastRenderedPageBreak/>
        <w:t>Several limitations must be acknowledged. First, synthetic data, while necessary for ethical and practical reasons, cannot fully replicate the noise characteristics, temporal patterns, and operational context of production log streams (Sommer &amp; Paxson, 2010; Ring et al., 2019); future work should validate the framework against de-identified production data from consenting institutions. Second, the single-node ELK deployment does not replicate the scale or distributed architecture of enterprise SIEM platforms, so the computational efficiency of the scoring engine at enterprise volume remains to be validated (Pahl &amp; Jamshidi, 2016). Third, the five scenarios, though representative of major PII-targeting categories, cannot encompass the full diversity of adversary techniques, and the framework's performance against novel techniques excluded by the ATT&amp;CK-derived design cannot be assessed here (Strom et al., 2018). Fourth, the simulated triage-time measurements rely on a limited pool of analyst evaluators and may not generalize across all experience levels and organizational contexts (</w:t>
      </w:r>
      <w:proofErr w:type="spellStart"/>
      <w:r w:rsidRPr="00092A99">
        <w:rPr>
          <w:rFonts w:ascii="Times New Roman" w:eastAsia="Arial" w:hAnsi="Times New Roman" w:cs="Times New Roman"/>
        </w:rPr>
        <w:t>Sundaramurthy</w:t>
      </w:r>
      <w:proofErr w:type="spellEnd"/>
      <w:r w:rsidRPr="00092A99">
        <w:rPr>
          <w:rFonts w:ascii="Times New Roman" w:eastAsia="Arial" w:hAnsi="Times New Roman" w:cs="Times New Roman"/>
        </w:rPr>
        <w:t xml:space="preserve"> et al., 2014). Fifth, the scoring and promotion model is calibrated for this specific environment and scenario set; organizations deploying it will need to recalibrate the base-tier thresholds and promotion criteria to their own asset landscape, regulatory requirements, and risk tolerance, with guidance provided in Chapter 5 (Hubbard &amp; Seiersen, 2023; Pendleton et al., 2016).</w:t>
      </w:r>
    </w:p>
    <w:p w14:paraId="61E77B0B" w14:textId="77777777" w:rsidR="001646E3" w:rsidRDefault="001646E3" w:rsidP="007D2464">
      <w:pPr>
        <w:tabs>
          <w:tab w:val="left" w:pos="630"/>
        </w:tabs>
        <w:spacing w:line="480" w:lineRule="auto"/>
        <w:ind w:left="630" w:hanging="90"/>
      </w:pPr>
    </w:p>
    <w:p w14:paraId="08683CA0" w14:textId="77777777" w:rsidR="00284E84" w:rsidRDefault="00284E84" w:rsidP="00284E84">
      <w:pPr>
        <w:pStyle w:val="Heading2"/>
        <w:spacing w:before="200" w:after="60"/>
      </w:pPr>
      <w:bookmarkStart w:id="78" w:name="_Toc236431677"/>
      <w:r>
        <w:rPr>
          <w:rFonts w:eastAsia="Times New Roman" w:cs="Times New Roman"/>
          <w:szCs w:val="24"/>
        </w:rPr>
        <w:t>3.10 Chapter Summary</w:t>
      </w:r>
      <w:bookmarkEnd w:id="78"/>
    </w:p>
    <w:p w14:paraId="21EA819F" w14:textId="649DDEF0" w:rsidR="00284E84" w:rsidRDefault="00284E84" w:rsidP="00092A99">
      <w:pPr>
        <w:spacing w:line="480" w:lineRule="auto"/>
        <w:ind w:firstLine="540"/>
      </w:pPr>
      <w:r>
        <w:rPr>
          <w:rFonts w:ascii="Times New Roman" w:eastAsia="Times New Roman" w:hAnsi="Times New Roman" w:cs="Times New Roman"/>
        </w:rPr>
        <w:t xml:space="preserve">This chapter presented the methodology for designing, implementing, and validating the PII Context Framework. The research adopts a design science paradigm, following the six-activity process depicted in Figure 3.2, with a controlled, comparative evaluation strategy executed across the five sequential stages of Figure 3.1 (Hevner et al., 2004; Peffers et al., 2007; </w:t>
      </w:r>
      <w:r>
        <w:rPr>
          <w:rFonts w:ascii="Times New Roman" w:eastAsia="Times New Roman" w:hAnsi="Times New Roman" w:cs="Times New Roman"/>
        </w:rPr>
        <w:lastRenderedPageBreak/>
        <w:t>Venable et al., 2016), investigating three research questions and three hypotheses by processing identical synthetic attack data under a baseline condition without PII context and an enriched condition with it. The experimental design holds the data, detection rules, evaluators, and interface constant across conditions so that measured differences are attributable to the framework alone. Two graphical models anchor the study: the end-to-end methodology pipeline (Figure 3.3) and the base-score and context-based promotion conceptual model (Figure 3.4).</w:t>
      </w:r>
    </w:p>
    <w:p w14:paraId="3C7B6CC8" w14:textId="177E7BF9" w:rsidR="00284E84" w:rsidRDefault="00284E84" w:rsidP="00092A99">
      <w:pPr>
        <w:spacing w:line="480" w:lineRule="auto"/>
        <w:ind w:firstLine="540"/>
        <w:rPr>
          <w:rFonts w:ascii="Times New Roman" w:eastAsia="Times New Roman" w:hAnsi="Times New Roman" w:cs="Times New Roman"/>
        </w:rPr>
      </w:pPr>
      <w:r>
        <w:rPr>
          <w:rFonts w:ascii="Times New Roman" w:eastAsia="Times New Roman" w:hAnsi="Times New Roman" w:cs="Times New Roman"/>
        </w:rPr>
        <w:t>The datasets comprise five synthetic scenarios spanning Remote Access Trojan, credential harvesting, insider threat, SQL injection, and ransomware double-extortion campaigns, with the RAT scenario implemented first as the proof of concept that validates the full pipeline. The techniques and tools, a containerized ELK stack normalized to ECS, Logstash enrichment, Kibana dashboards and alerting (Figure 3.10; Table 3.1), and the four-component PII Context Framework (Table 3.2), operationalize the integration of data sensitivity into the alert lifecycle that Chapter 2 identified as the missing link between data governance and security operations (McCallister et al., 2010; Pendleton et al., 2016). The testing procedures, anchored by four primary metrics and supported by secondary statistical analyses (Cohen, 1988; Agresti &amp; Franklin, 2018), apply the baseline rule set of Table 3.4 and are designed to generate evidence directly relevant to triage-speed improvement, alert-noise reduction, and early-detection accuracy. The results of this validation are reported and interpreted in Chapter 4, and Chapter 5 synthesizes them into implementation recommendations and directions for future research (Venable et al., 2016).</w:t>
      </w:r>
    </w:p>
    <w:p w14:paraId="2A0E676F" w14:textId="77777777" w:rsidR="00670227" w:rsidRDefault="00670227" w:rsidP="007D2464">
      <w:pPr>
        <w:spacing w:line="480" w:lineRule="auto"/>
        <w:ind w:left="540"/>
        <w:rPr>
          <w:rFonts w:ascii="Times New Roman" w:eastAsia="Times New Roman" w:hAnsi="Times New Roman" w:cs="Times New Roman"/>
        </w:rPr>
      </w:pPr>
    </w:p>
    <w:p w14:paraId="52E78652" w14:textId="77777777" w:rsidR="00670227" w:rsidRDefault="00670227" w:rsidP="007D2464">
      <w:pPr>
        <w:spacing w:line="480" w:lineRule="auto"/>
        <w:ind w:left="540"/>
        <w:rPr>
          <w:rFonts w:ascii="Times New Roman" w:eastAsia="Times New Roman" w:hAnsi="Times New Roman" w:cs="Times New Roman"/>
        </w:rPr>
      </w:pPr>
    </w:p>
    <w:p w14:paraId="6608FB16" w14:textId="1F3C2401" w:rsidR="00284E84" w:rsidRDefault="00284E84" w:rsidP="00284E84">
      <w:pPr>
        <w:pStyle w:val="Heading1"/>
        <w:spacing w:before="240" w:after="120"/>
      </w:pPr>
      <w:bookmarkStart w:id="79" w:name="_Toc236431678"/>
      <w:r>
        <w:rPr>
          <w:rFonts w:ascii="Times New Roman" w:eastAsia="Times New Roman" w:hAnsi="Times New Roman" w:cs="Times New Roman"/>
          <w:sz w:val="28"/>
          <w:szCs w:val="28"/>
        </w:rPr>
        <w:lastRenderedPageBreak/>
        <w:t>References</w:t>
      </w:r>
      <w:bookmarkEnd w:id="79"/>
    </w:p>
    <w:p w14:paraId="0195714F" w14:textId="77777777" w:rsidR="00942B17" w:rsidRPr="00942B17" w:rsidRDefault="00284E84" w:rsidP="00942B17">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Agresti, A., &amp; Franklin, C. (2018). </w:t>
      </w:r>
      <w:r>
        <w:rPr>
          <w:rFonts w:ascii="Times New Roman" w:eastAsia="Times New Roman" w:hAnsi="Times New Roman" w:cs="Times New Roman"/>
          <w:i/>
          <w:iCs/>
        </w:rPr>
        <w:t>Statistics: The art and science of learning from data</w:t>
      </w:r>
      <w:r>
        <w:rPr>
          <w:rFonts w:ascii="Times New Roman" w:eastAsia="Times New Roman" w:hAnsi="Times New Roman" w:cs="Times New Roman"/>
        </w:rPr>
        <w:t xml:space="preserve"> (4th ed.). Pearson</w:t>
      </w:r>
      <w:hyperlink r:id="rId36" w:history="1">
        <w:r>
          <w:rPr>
            <w:rStyle w:val="Hyperlink"/>
            <w:rFonts w:ascii="Times New Roman" w:eastAsia="Times New Roman" w:hAnsi="Times New Roman" w:cs="Times New Roman"/>
          </w:rPr>
          <w:t>. https://wrlc-gwu.primo.exlibrisgroup.com/permalink/01WRLC_GWA/1pqr5/alma9911571454304101</w:t>
        </w:r>
      </w:hyperlink>
    </w:p>
    <w:p w14:paraId="5D288FE8" w14:textId="77777777" w:rsidR="00284E84" w:rsidRDefault="00284E84" w:rsidP="00284E84">
      <w:pPr>
        <w:spacing w:line="480" w:lineRule="auto"/>
        <w:ind w:left="720" w:hanging="720"/>
      </w:pPr>
      <w:r>
        <w:rPr>
          <w:rFonts w:ascii="Times New Roman" w:eastAsia="Times New Roman" w:hAnsi="Times New Roman" w:cs="Times New Roman"/>
        </w:rPr>
        <w:t xml:space="preserve">Akinsola, F., Ogwueleka, F., &amp; </w:t>
      </w:r>
      <w:proofErr w:type="spellStart"/>
      <w:r>
        <w:rPr>
          <w:rFonts w:ascii="Times New Roman" w:eastAsia="Times New Roman" w:hAnsi="Times New Roman" w:cs="Times New Roman"/>
        </w:rPr>
        <w:t>Mbanaso</w:t>
      </w:r>
      <w:proofErr w:type="spellEnd"/>
      <w:r>
        <w:rPr>
          <w:rFonts w:ascii="Times New Roman" w:eastAsia="Times New Roman" w:hAnsi="Times New Roman" w:cs="Times New Roman"/>
        </w:rPr>
        <w:t xml:space="preserve">, U. (2025). A comprehensive survey of insider threat landscape and detection indicators. </w:t>
      </w:r>
      <w:proofErr w:type="spellStart"/>
      <w:r>
        <w:rPr>
          <w:rFonts w:ascii="Times New Roman" w:eastAsia="Times New Roman" w:hAnsi="Times New Roman" w:cs="Times New Roman"/>
          <w:i/>
          <w:iCs/>
        </w:rPr>
        <w:t>Kwaghe</w:t>
      </w:r>
      <w:proofErr w:type="spellEnd"/>
      <w:r>
        <w:rPr>
          <w:rFonts w:ascii="Times New Roman" w:eastAsia="Times New Roman" w:hAnsi="Times New Roman" w:cs="Times New Roman"/>
          <w:i/>
          <w:iCs/>
        </w:rPr>
        <w:t xml:space="preserve"> International Journal of Engineering and Information Technology.</w:t>
      </w:r>
      <w:r>
        <w:rPr>
          <w:rFonts w:ascii="Times New Roman" w:eastAsia="Times New Roman" w:hAnsi="Times New Roman" w:cs="Times New Roman"/>
        </w:rPr>
        <w:t xml:space="preserve"> </w:t>
      </w:r>
      <w:hyperlink r:id="rId37" w:history="1">
        <w:r>
          <w:rPr>
            <w:rFonts w:ascii="Times New Roman" w:eastAsia="Times New Roman" w:hAnsi="Times New Roman" w:cs="Times New Roman"/>
            <w:color w:val="1155CC"/>
            <w:u w:val="single"/>
          </w:rPr>
          <w:t>https://www.researchgate.net/publication/396836137_A_Comprehensive_Survey_of_Insider_Threat_Landscape_and_Detection_Indicators</w:t>
        </w:r>
      </w:hyperlink>
    </w:p>
    <w:p w14:paraId="78259790" w14:textId="77777777" w:rsidR="00284E84" w:rsidRDefault="00284E84" w:rsidP="00284E84">
      <w:pPr>
        <w:spacing w:line="480" w:lineRule="auto"/>
        <w:ind w:left="720" w:hanging="720"/>
      </w:pPr>
      <w:r>
        <w:rPr>
          <w:rFonts w:ascii="Times New Roman" w:eastAsia="Times New Roman" w:hAnsi="Times New Roman" w:cs="Times New Roman"/>
        </w:rPr>
        <w:t xml:space="preserve">Akula, V. (2024). </w:t>
      </w:r>
      <w:r>
        <w:rPr>
          <w:rFonts w:ascii="Times New Roman" w:eastAsia="Times New Roman" w:hAnsi="Times New Roman" w:cs="Times New Roman"/>
          <w:i/>
          <w:iCs/>
        </w:rPr>
        <w:t>SIEM: The heartbeat of a modern SOC.</w:t>
      </w:r>
      <w:r>
        <w:rPr>
          <w:rFonts w:ascii="Times New Roman" w:eastAsia="Times New Roman" w:hAnsi="Times New Roman" w:cs="Times New Roman"/>
        </w:rPr>
        <w:t xml:space="preserve"> </w:t>
      </w:r>
      <w:proofErr w:type="spellStart"/>
      <w:r>
        <w:rPr>
          <w:rFonts w:ascii="Times New Roman" w:eastAsia="Times New Roman" w:hAnsi="Times New Roman" w:cs="Times New Roman"/>
        </w:rPr>
        <w:t>CloudifyOps</w:t>
      </w:r>
      <w:proofErr w:type="spellEnd"/>
      <w:r>
        <w:rPr>
          <w:rFonts w:ascii="Times New Roman" w:eastAsia="Times New Roman" w:hAnsi="Times New Roman" w:cs="Times New Roman"/>
        </w:rPr>
        <w:t xml:space="preserve">. Medium. </w:t>
      </w:r>
      <w:hyperlink r:id="rId38" w:history="1">
        <w:r>
          <w:rPr>
            <w:rFonts w:ascii="Times New Roman" w:eastAsia="Times New Roman" w:hAnsi="Times New Roman" w:cs="Times New Roman"/>
            <w:color w:val="1155CC"/>
            <w:u w:val="single"/>
          </w:rPr>
          <w:t>https://medium.com/@CloudifyOps/siem-the-heartbeat-of-a-modern-soc-7ad73131bca8</w:t>
        </w:r>
      </w:hyperlink>
    </w:p>
    <w:p w14:paraId="55346446" w14:textId="77777777" w:rsidR="00284E84" w:rsidRDefault="00284E84" w:rsidP="00284E84">
      <w:pPr>
        <w:spacing w:line="480" w:lineRule="auto"/>
        <w:ind w:left="720" w:hanging="720"/>
      </w:pPr>
      <w:proofErr w:type="spellStart"/>
      <w:r>
        <w:rPr>
          <w:rFonts w:ascii="Times New Roman" w:eastAsia="Times New Roman" w:hAnsi="Times New Roman" w:cs="Times New Roman"/>
        </w:rPr>
        <w:t>AmpcusCyber</w:t>
      </w:r>
      <w:proofErr w:type="spellEnd"/>
      <w:r>
        <w:rPr>
          <w:rFonts w:ascii="Times New Roman" w:eastAsia="Times New Roman" w:hAnsi="Times New Roman" w:cs="Times New Roman"/>
        </w:rPr>
        <w:t xml:space="preserve">. (2026). </w:t>
      </w:r>
      <w:r>
        <w:rPr>
          <w:rFonts w:ascii="Times New Roman" w:eastAsia="Times New Roman" w:hAnsi="Times New Roman" w:cs="Times New Roman"/>
          <w:i/>
          <w:iCs/>
        </w:rPr>
        <w:t>What is SIEM? Centralized visibility for modern threats.</w:t>
      </w:r>
      <w:r>
        <w:rPr>
          <w:rFonts w:ascii="Times New Roman" w:eastAsia="Times New Roman" w:hAnsi="Times New Roman" w:cs="Times New Roman"/>
        </w:rPr>
        <w:t xml:space="preserve"> </w:t>
      </w:r>
      <w:hyperlink r:id="rId39" w:history="1">
        <w:r>
          <w:rPr>
            <w:rFonts w:ascii="Times New Roman" w:eastAsia="Times New Roman" w:hAnsi="Times New Roman" w:cs="Times New Roman"/>
            <w:color w:val="1155CC"/>
            <w:u w:val="single"/>
          </w:rPr>
          <w:t>https://www.ampcuscyber.com/knowledge-hub/what-is-siem-centralized-visibility-for-modern-threats/</w:t>
        </w:r>
      </w:hyperlink>
    </w:p>
    <w:p w14:paraId="55F7C019" w14:textId="77777777" w:rsidR="00284E84" w:rsidRDefault="00284E84" w:rsidP="00284E84">
      <w:pPr>
        <w:spacing w:line="480" w:lineRule="auto"/>
        <w:ind w:left="720" w:hanging="720"/>
      </w:pPr>
      <w:r>
        <w:rPr>
          <w:rFonts w:ascii="Times New Roman" w:eastAsia="Times New Roman" w:hAnsi="Times New Roman" w:cs="Times New Roman"/>
        </w:rPr>
        <w:t xml:space="preserve">Anderson, R., Barton, C., Böhme, R., Clayton, R., van Eeten, M. J. G., Levi, M., Moore, T., &amp; Savage, S. (2013). Measuring the cost of cybercrime. In R. Böhme (Ed.), </w:t>
      </w:r>
      <w:r>
        <w:rPr>
          <w:rFonts w:ascii="Times New Roman" w:eastAsia="Times New Roman" w:hAnsi="Times New Roman" w:cs="Times New Roman"/>
          <w:i/>
          <w:iCs/>
        </w:rPr>
        <w:t>The economics of information security and privacy</w:t>
      </w:r>
      <w:r>
        <w:rPr>
          <w:rFonts w:ascii="Times New Roman" w:eastAsia="Times New Roman" w:hAnsi="Times New Roman" w:cs="Times New Roman"/>
        </w:rPr>
        <w:t xml:space="preserve"> (pp. 265–300). Springer. </w:t>
      </w:r>
      <w:hyperlink r:id="rId40" w:history="1">
        <w:r>
          <w:rPr>
            <w:rStyle w:val="Hyperlink"/>
            <w:rFonts w:ascii="Times New Roman" w:eastAsia="Times New Roman" w:hAnsi="Times New Roman" w:cs="Times New Roman"/>
          </w:rPr>
          <w:t>https://link.springer.com/chapter/10.1007/978-3-642-39498-0_12</w:t>
        </w:r>
      </w:hyperlink>
    </w:p>
    <w:p w14:paraId="1C9163CA" w14:textId="77777777" w:rsidR="00284E84" w:rsidRDefault="00284E84" w:rsidP="00284E84">
      <w:pPr>
        <w:spacing w:line="480" w:lineRule="auto"/>
        <w:ind w:left="720" w:hanging="720"/>
      </w:pPr>
      <w:r>
        <w:rPr>
          <w:rFonts w:ascii="Times New Roman" w:eastAsia="Times New Roman" w:hAnsi="Times New Roman" w:cs="Times New Roman"/>
        </w:rPr>
        <w:t xml:space="preserve">Applebaum, A., Miller, D., Strom, B., Korban, C., &amp; Wolf, R. (2016). Intelligent, automated red team emulation. In </w:t>
      </w:r>
      <w:r>
        <w:rPr>
          <w:rFonts w:ascii="Times New Roman" w:eastAsia="Times New Roman" w:hAnsi="Times New Roman" w:cs="Times New Roman"/>
          <w:i/>
          <w:iCs/>
        </w:rPr>
        <w:t>Proceedings of the 32nd Annual Conference on Computer Security Applications</w:t>
      </w:r>
      <w:r>
        <w:rPr>
          <w:rFonts w:ascii="Times New Roman" w:eastAsia="Times New Roman" w:hAnsi="Times New Roman" w:cs="Times New Roman"/>
        </w:rPr>
        <w:t xml:space="preserve"> (pp. 363–373). Association for Computing Machinery. </w:t>
      </w:r>
      <w:hyperlink r:id="rId41" w:history="1">
        <w:r>
          <w:rPr>
            <w:rFonts w:ascii="Times New Roman" w:eastAsia="Times New Roman" w:hAnsi="Times New Roman" w:cs="Times New Roman"/>
            <w:color w:val="1155CC"/>
            <w:u w:val="single"/>
          </w:rPr>
          <w:t>https://doi.org/10.1145/2991079.2991111</w:t>
        </w:r>
      </w:hyperlink>
    </w:p>
    <w:p w14:paraId="10ADF4A8"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Ben-Ari, D. (2025). </w:t>
      </w:r>
      <w:r>
        <w:rPr>
          <w:rFonts w:ascii="Times New Roman" w:eastAsia="Times New Roman" w:hAnsi="Times New Roman" w:cs="Times New Roman"/>
          <w:i/>
          <w:iCs/>
        </w:rPr>
        <w:t>TransUnion data breach.</w:t>
      </w:r>
      <w:r>
        <w:rPr>
          <w:rFonts w:ascii="Times New Roman" w:eastAsia="Times New Roman" w:hAnsi="Times New Roman" w:cs="Times New Roman"/>
        </w:rPr>
        <w:t xml:space="preserve"> </w:t>
      </w:r>
      <w:proofErr w:type="spellStart"/>
      <w:r>
        <w:rPr>
          <w:rFonts w:ascii="Times New Roman" w:eastAsia="Times New Roman" w:hAnsi="Times New Roman" w:cs="Times New Roman"/>
        </w:rPr>
        <w:t>Panorays</w:t>
      </w:r>
      <w:proofErr w:type="spellEnd"/>
      <w:r>
        <w:rPr>
          <w:rFonts w:ascii="Times New Roman" w:eastAsia="Times New Roman" w:hAnsi="Times New Roman" w:cs="Times New Roman"/>
        </w:rPr>
        <w:t xml:space="preserve">. </w:t>
      </w:r>
      <w:hyperlink r:id="rId42" w:history="1">
        <w:r>
          <w:rPr>
            <w:rFonts w:ascii="Times New Roman" w:eastAsia="Times New Roman" w:hAnsi="Times New Roman" w:cs="Times New Roman"/>
            <w:color w:val="1155CC"/>
            <w:u w:val="single"/>
          </w:rPr>
          <w:t>https://panorays.com/blog/transunion-data-breach/</w:t>
        </w:r>
      </w:hyperlink>
    </w:p>
    <w:p w14:paraId="7C8F9450" w14:textId="77777777" w:rsidR="00284E84" w:rsidRDefault="00284E84" w:rsidP="00284E84">
      <w:pPr>
        <w:spacing w:line="480" w:lineRule="auto"/>
        <w:ind w:left="720" w:hanging="720"/>
      </w:pPr>
      <w:r>
        <w:rPr>
          <w:rFonts w:ascii="Times New Roman" w:eastAsia="Times New Roman" w:hAnsi="Times New Roman" w:cs="Times New Roman"/>
        </w:rPr>
        <w:t xml:space="preserve">Bhatia, R. (2025). The future of SIEM: How AI and ML are rewriting threat detection. </w:t>
      </w:r>
      <w:r>
        <w:rPr>
          <w:rFonts w:ascii="Times New Roman" w:eastAsia="Times New Roman" w:hAnsi="Times New Roman" w:cs="Times New Roman"/>
          <w:i/>
          <w:iCs/>
        </w:rPr>
        <w:t>Journal of Computer Science and Technology Studies.</w:t>
      </w:r>
      <w:r>
        <w:rPr>
          <w:rFonts w:ascii="Times New Roman" w:eastAsia="Times New Roman" w:hAnsi="Times New Roman" w:cs="Times New Roman"/>
        </w:rPr>
        <w:t xml:space="preserve"> </w:t>
      </w:r>
      <w:hyperlink r:id="rId43" w:history="1">
        <w:r>
          <w:rPr>
            <w:rFonts w:ascii="Times New Roman" w:eastAsia="Times New Roman" w:hAnsi="Times New Roman" w:cs="Times New Roman"/>
            <w:color w:val="1155CC"/>
            <w:u w:val="single"/>
          </w:rPr>
          <w:t>https://al-kindipublishers.org/index.php/jcsts/article/view/10288</w:t>
        </w:r>
      </w:hyperlink>
    </w:p>
    <w:p w14:paraId="2B39C59D" w14:textId="77777777" w:rsidR="00284E84" w:rsidRDefault="00284E84" w:rsidP="00284E84">
      <w:pPr>
        <w:spacing w:line="480" w:lineRule="auto"/>
        <w:ind w:left="720" w:hanging="720"/>
      </w:pPr>
      <w:r>
        <w:rPr>
          <w:rFonts w:ascii="Times New Roman" w:eastAsia="Times New Roman" w:hAnsi="Times New Roman" w:cs="Times New Roman"/>
        </w:rPr>
        <w:t xml:space="preserve">Bradley, T. (2026, March 18). </w:t>
      </w:r>
      <w:r>
        <w:rPr>
          <w:rFonts w:ascii="Times New Roman" w:eastAsia="Times New Roman" w:hAnsi="Times New Roman" w:cs="Times New Roman"/>
          <w:i/>
          <w:iCs/>
        </w:rPr>
        <w:t>Your SOC is investigating less than half its alerts every day.</w:t>
      </w:r>
      <w:r>
        <w:rPr>
          <w:rFonts w:ascii="Times New Roman" w:eastAsia="Times New Roman" w:hAnsi="Times New Roman" w:cs="Times New Roman"/>
        </w:rPr>
        <w:t xml:space="preserve"> Forbes. </w:t>
      </w:r>
      <w:hyperlink r:id="rId44" w:history="1">
        <w:r>
          <w:rPr>
            <w:rFonts w:ascii="Times New Roman" w:eastAsia="Times New Roman" w:hAnsi="Times New Roman" w:cs="Times New Roman"/>
            <w:color w:val="1155CC"/>
            <w:u w:val="single"/>
          </w:rPr>
          <w:t>https://www.forbes.com/sites/tonybradley/2026/03/18/your-soc-is-investigating-less-than-half-its-alerts-every-day/</w:t>
        </w:r>
      </w:hyperlink>
    </w:p>
    <w:p w14:paraId="625ED7F2" w14:textId="77777777" w:rsidR="00284E84" w:rsidRDefault="00284E84" w:rsidP="00284E84">
      <w:pPr>
        <w:spacing w:line="480" w:lineRule="auto"/>
        <w:ind w:left="720" w:hanging="720"/>
      </w:pPr>
      <w:proofErr w:type="spellStart"/>
      <w:r>
        <w:rPr>
          <w:rFonts w:ascii="Times New Roman" w:eastAsia="Times New Roman" w:hAnsi="Times New Roman" w:cs="Times New Roman"/>
        </w:rPr>
        <w:t>Brahmam</w:t>
      </w:r>
      <w:proofErr w:type="spellEnd"/>
      <w:r>
        <w:rPr>
          <w:rFonts w:ascii="Times New Roman" w:eastAsia="Times New Roman" w:hAnsi="Times New Roman" w:cs="Times New Roman"/>
        </w:rPr>
        <w:t xml:space="preserve">, N. Y. (2023). </w:t>
      </w:r>
      <w:r>
        <w:rPr>
          <w:rFonts w:ascii="Times New Roman" w:eastAsia="Times New Roman" w:hAnsi="Times New Roman" w:cs="Times New Roman"/>
          <w:i/>
          <w:iCs/>
        </w:rPr>
        <w:t>Understanding the significance of Elastic Common Schema (ECS) in modern data management.</w:t>
      </w:r>
      <w:r>
        <w:rPr>
          <w:rFonts w:ascii="Times New Roman" w:eastAsia="Times New Roman" w:hAnsi="Times New Roman" w:cs="Times New Roman"/>
        </w:rPr>
        <w:t xml:space="preserve"> Medium. </w:t>
      </w:r>
      <w:hyperlink r:id="rId45" w:history="1">
        <w:r>
          <w:rPr>
            <w:rFonts w:ascii="Times New Roman" w:eastAsia="Times New Roman" w:hAnsi="Times New Roman" w:cs="Times New Roman"/>
            <w:color w:val="1155CC"/>
            <w:u w:val="single"/>
          </w:rPr>
          <w:t>https://medium.com/@nag9sri/understanding-the-significance-of-elastic-common-schema-ecs-in-modern-data-management-ad42165177fc</w:t>
        </w:r>
      </w:hyperlink>
    </w:p>
    <w:p w14:paraId="6B8F5CCB" w14:textId="77777777" w:rsidR="00284E84" w:rsidRDefault="00284E84" w:rsidP="00284E84">
      <w:pPr>
        <w:spacing w:line="480" w:lineRule="auto"/>
        <w:ind w:left="720" w:hanging="720"/>
      </w:pPr>
      <w:r>
        <w:rPr>
          <w:rFonts w:ascii="Times New Roman" w:eastAsia="Times New Roman" w:hAnsi="Times New Roman" w:cs="Times New Roman"/>
        </w:rPr>
        <w:t xml:space="preserve">Campbell, K., Gordon, L. A., Loeb, M. P., &amp; Zhou, L. (2003). The economic cost of publicly announced information security breaches: Empirical evidence from the stock market. </w:t>
      </w:r>
      <w:r>
        <w:rPr>
          <w:rFonts w:ascii="Times New Roman" w:eastAsia="Times New Roman" w:hAnsi="Times New Roman" w:cs="Times New Roman"/>
          <w:i/>
          <w:iCs/>
        </w:rPr>
        <w:t>Journal of Computer Security, 11</w:t>
      </w:r>
      <w:r>
        <w:rPr>
          <w:rFonts w:ascii="Times New Roman" w:eastAsia="Times New Roman" w:hAnsi="Times New Roman" w:cs="Times New Roman"/>
        </w:rPr>
        <w:t xml:space="preserve">(3), 431–448. </w:t>
      </w:r>
      <w:hyperlink r:id="rId46" w:history="1">
        <w:r>
          <w:rPr>
            <w:rStyle w:val="Hyperlink"/>
            <w:rFonts w:ascii="Times New Roman" w:eastAsia="Times New Roman" w:hAnsi="Times New Roman" w:cs="Times New Roman"/>
          </w:rPr>
          <w:t>https://journals.sagepub.com/doi/abs/10.3233/JCS-2003-11308</w:t>
        </w:r>
      </w:hyperlink>
    </w:p>
    <w:p w14:paraId="75E7B794" w14:textId="77777777" w:rsidR="00284E84" w:rsidRDefault="00284E84" w:rsidP="00284E84">
      <w:pPr>
        <w:spacing w:line="480" w:lineRule="auto"/>
        <w:ind w:left="720" w:hanging="720"/>
      </w:pPr>
      <w:r>
        <w:rPr>
          <w:rFonts w:ascii="Times New Roman" w:eastAsia="Times New Roman" w:hAnsi="Times New Roman" w:cs="Times New Roman"/>
        </w:rPr>
        <w:t xml:space="preserve">The Canadian Press. (2021). </w:t>
      </w:r>
      <w:r>
        <w:rPr>
          <w:rFonts w:ascii="Times New Roman" w:eastAsia="Times New Roman" w:hAnsi="Times New Roman" w:cs="Times New Roman"/>
          <w:i/>
          <w:iCs/>
        </w:rPr>
        <w:t>Desjardins settles 2019 data breach class-action lawsuit for up to nearly $201M.</w:t>
      </w:r>
      <w:r>
        <w:rPr>
          <w:rFonts w:ascii="Times New Roman" w:eastAsia="Times New Roman" w:hAnsi="Times New Roman" w:cs="Times New Roman"/>
        </w:rPr>
        <w:t xml:space="preserve"> CBC News. </w:t>
      </w:r>
      <w:hyperlink r:id="rId47" w:history="1">
        <w:r>
          <w:rPr>
            <w:rFonts w:ascii="Times New Roman" w:eastAsia="Times New Roman" w:hAnsi="Times New Roman" w:cs="Times New Roman"/>
            <w:color w:val="1155CC"/>
            <w:u w:val="single"/>
          </w:rPr>
          <w:t>https://www.cbc.ca/news/canada/montreal/desjardins-data-breach-lawsuit-settlement-1.6288428</w:t>
        </w:r>
      </w:hyperlink>
    </w:p>
    <w:p w14:paraId="557A8EE4"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Caporal, J. (2026, January 12). </w:t>
      </w:r>
      <w:r>
        <w:rPr>
          <w:rFonts w:ascii="Times New Roman" w:eastAsia="Times New Roman" w:hAnsi="Times New Roman" w:cs="Times New Roman"/>
          <w:i/>
          <w:iCs/>
        </w:rPr>
        <w:t>Identity theft and credit card fraud statistics for 2025.</w:t>
      </w:r>
      <w:r>
        <w:rPr>
          <w:rFonts w:ascii="Times New Roman" w:eastAsia="Times New Roman" w:hAnsi="Times New Roman" w:cs="Times New Roman"/>
        </w:rPr>
        <w:t xml:space="preserve"> The Motley Fool. </w:t>
      </w:r>
      <w:hyperlink r:id="rId48" w:history="1">
        <w:r w:rsidR="00857326">
          <w:rPr>
            <w:rFonts w:ascii="Times New Roman" w:eastAsia="Times New Roman" w:hAnsi="Times New Roman" w:cs="Times New Roman"/>
            <w:color w:val="1155CC"/>
            <w:u w:val="single"/>
          </w:rPr>
          <w:t>https://www.fool.com/money/research/identity-theft-credit-card-fraud-statistics/</w:t>
        </w:r>
      </w:hyperlink>
    </w:p>
    <w:p w14:paraId="59C8B0D8"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Cavusoglu, H., Mishra, B., &amp; Raghunathan, S. (2004). The effect of internet security breach announcements on market value: Capital market reactions for breached firms and internet security developers. </w:t>
      </w:r>
      <w:r>
        <w:rPr>
          <w:rFonts w:ascii="Times New Roman" w:eastAsia="Times New Roman" w:hAnsi="Times New Roman" w:cs="Times New Roman"/>
          <w:i/>
          <w:iCs/>
        </w:rPr>
        <w:t>International Journal of Electronic Commerce, 9</w:t>
      </w:r>
      <w:r>
        <w:rPr>
          <w:rFonts w:ascii="Times New Roman" w:eastAsia="Times New Roman" w:hAnsi="Times New Roman" w:cs="Times New Roman"/>
        </w:rPr>
        <w:t xml:space="preserve">(1), 70–104. </w:t>
      </w:r>
      <w:hyperlink r:id="rId49" w:history="1">
        <w:r>
          <w:rPr>
            <w:rStyle w:val="Hyperlink"/>
            <w:rFonts w:ascii="Times New Roman" w:eastAsia="Times New Roman" w:hAnsi="Times New Roman" w:cs="Times New Roman"/>
          </w:rPr>
          <w:t>https://www.tandfonline.com/doi/abs/10.1080/10864415.2004.11044320</w:t>
        </w:r>
      </w:hyperlink>
    </w:p>
    <w:p w14:paraId="03353D84"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Cingolani, A., &amp; Zamparini, M. (2019). </w:t>
      </w:r>
      <w:r>
        <w:rPr>
          <w:rFonts w:ascii="Times New Roman" w:eastAsia="Times New Roman" w:hAnsi="Times New Roman" w:cs="Times New Roman"/>
          <w:i/>
          <w:iCs/>
        </w:rPr>
        <w:t>Heartland data breach analysis</w:t>
      </w:r>
      <w:r>
        <w:rPr>
          <w:rFonts w:ascii="Times New Roman" w:eastAsia="Times New Roman" w:hAnsi="Times New Roman" w:cs="Times New Roman"/>
        </w:rPr>
        <w:t xml:space="preserve"> [Technical report]. Sapienza University of Rome. </w:t>
      </w:r>
      <w:hyperlink r:id="rId50" w:history="1">
        <w:r w:rsidR="00857326">
          <w:rPr>
            <w:rFonts w:ascii="Times New Roman" w:eastAsia="Times New Roman" w:hAnsi="Times New Roman" w:cs="Times New Roman"/>
            <w:color w:val="1155CC"/>
            <w:u w:val="single"/>
          </w:rPr>
          <w:t>https://www.researchgate.net/publication/346975125_Heartland_Data_Breach_Analysis</w:t>
        </w:r>
      </w:hyperlink>
    </w:p>
    <w:p w14:paraId="2C85ABC6" w14:textId="77777777" w:rsidR="00320E56" w:rsidRPr="00320E56" w:rsidRDefault="00284E84" w:rsidP="00320E56">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Cohen, J. (1988). </w:t>
      </w:r>
      <w:r>
        <w:rPr>
          <w:rFonts w:ascii="Times New Roman" w:eastAsia="Times New Roman" w:hAnsi="Times New Roman" w:cs="Times New Roman"/>
          <w:i/>
          <w:iCs/>
        </w:rPr>
        <w:t>Statistical power analysis for the behavioral sciences</w:t>
      </w:r>
      <w:r>
        <w:rPr>
          <w:rFonts w:ascii="Times New Roman" w:eastAsia="Times New Roman" w:hAnsi="Times New Roman" w:cs="Times New Roman"/>
        </w:rPr>
        <w:t xml:space="preserve"> (2nd ed.). Lawrence Erlbaum Associates</w:t>
      </w:r>
      <w:hyperlink r:id="rId51" w:history="1">
        <w:r>
          <w:rPr>
            <w:rStyle w:val="Hyperlink"/>
            <w:rFonts w:ascii="Times New Roman" w:eastAsia="Times New Roman" w:hAnsi="Times New Roman" w:cs="Times New Roman"/>
          </w:rPr>
          <w:t>. https://wrlc-gwu.primo.exlibrisgroup.com/permalink/01WRLC_GWA/1pqr5/alma9910693267604101</w:t>
        </w:r>
      </w:hyperlink>
    </w:p>
    <w:p w14:paraId="1F1B94F7"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Common Vulnerabilities and Exposures Database. (2024). </w:t>
      </w:r>
      <w:r>
        <w:rPr>
          <w:rFonts w:ascii="Times New Roman" w:eastAsia="Times New Roman" w:hAnsi="Times New Roman" w:cs="Times New Roman"/>
          <w:i/>
          <w:iCs/>
        </w:rPr>
        <w:t>CVE-2017-5638.</w:t>
      </w:r>
      <w:r>
        <w:rPr>
          <w:rFonts w:ascii="Times New Roman" w:eastAsia="Times New Roman" w:hAnsi="Times New Roman" w:cs="Times New Roman"/>
        </w:rPr>
        <w:t xml:space="preserve"> CVE.org. </w:t>
      </w:r>
      <w:hyperlink r:id="rId52" w:history="1">
        <w:r w:rsidR="00857326">
          <w:rPr>
            <w:rFonts w:ascii="Times New Roman" w:eastAsia="Times New Roman" w:hAnsi="Times New Roman" w:cs="Times New Roman"/>
            <w:color w:val="1155CC"/>
            <w:u w:val="single"/>
          </w:rPr>
          <w:t>https://www.cve.org/CVERecord?id=CVE-2017-5638</w:t>
        </w:r>
      </w:hyperlink>
    </w:p>
    <w:p w14:paraId="002E7D89" w14:textId="77777777" w:rsidR="00284E84" w:rsidRDefault="00284E84" w:rsidP="00284E84">
      <w:pPr>
        <w:spacing w:line="480" w:lineRule="auto"/>
        <w:ind w:left="720" w:hanging="720"/>
      </w:pPr>
      <w:r>
        <w:rPr>
          <w:rFonts w:ascii="Times New Roman" w:eastAsia="Times New Roman" w:hAnsi="Times New Roman" w:cs="Times New Roman"/>
        </w:rPr>
        <w:t xml:space="preserve">Crowley, C. (2024). </w:t>
      </w:r>
      <w:r>
        <w:rPr>
          <w:rFonts w:ascii="Times New Roman" w:eastAsia="Times New Roman" w:hAnsi="Times New Roman" w:cs="Times New Roman"/>
          <w:i/>
          <w:iCs/>
        </w:rPr>
        <w:t>SANS 2024 SOC survey: Facing top challenges.</w:t>
      </w:r>
      <w:r>
        <w:rPr>
          <w:rFonts w:ascii="Times New Roman" w:eastAsia="Times New Roman" w:hAnsi="Times New Roman" w:cs="Times New Roman"/>
        </w:rPr>
        <w:t xml:space="preserve"> SANS Institute. </w:t>
      </w:r>
      <w:hyperlink r:id="rId53" w:history="1">
        <w:r>
          <w:rPr>
            <w:rFonts w:ascii="Times New Roman" w:eastAsia="Times New Roman" w:hAnsi="Times New Roman" w:cs="Times New Roman"/>
            <w:color w:val="1155CC"/>
            <w:u w:val="single"/>
          </w:rPr>
          <w:t>https://www.sans.org/white-papers/sans-2024-soc-survey-facing-top-challenges-security-operations</w:t>
        </w:r>
      </w:hyperlink>
    </w:p>
    <w:p w14:paraId="12928DEB" w14:textId="77777777" w:rsidR="00284E84" w:rsidRDefault="00284E84" w:rsidP="00284E84">
      <w:pPr>
        <w:spacing w:line="480" w:lineRule="auto"/>
        <w:ind w:left="720" w:hanging="720"/>
      </w:pPr>
      <w:r>
        <w:rPr>
          <w:rFonts w:ascii="Times New Roman" w:eastAsia="Times New Roman" w:hAnsi="Times New Roman" w:cs="Times New Roman"/>
        </w:rPr>
        <w:t xml:space="preserve">Cybersecurity and Infrastructure Security Agency. (2017). </w:t>
      </w:r>
      <w:r>
        <w:rPr>
          <w:rFonts w:ascii="Times New Roman" w:eastAsia="Times New Roman" w:hAnsi="Times New Roman" w:cs="Times New Roman"/>
          <w:i/>
          <w:iCs/>
        </w:rPr>
        <w:t>Defining insider threats.</w:t>
      </w:r>
      <w:r>
        <w:rPr>
          <w:rFonts w:ascii="Times New Roman" w:eastAsia="Times New Roman" w:hAnsi="Times New Roman" w:cs="Times New Roman"/>
        </w:rPr>
        <w:t xml:space="preserve"> CISA. </w:t>
      </w:r>
      <w:hyperlink r:id="rId54" w:history="1">
        <w:r>
          <w:rPr>
            <w:rFonts w:ascii="Times New Roman" w:eastAsia="Times New Roman" w:hAnsi="Times New Roman" w:cs="Times New Roman"/>
            <w:color w:val="1155CC"/>
            <w:u w:val="single"/>
          </w:rPr>
          <w:t>https://www.cisa.gov/topics/physical-security/insider-threat-mitigation/defining-insider-threats</w:t>
        </w:r>
      </w:hyperlink>
    </w:p>
    <w:p w14:paraId="1643D04B" w14:textId="5DDEE21F" w:rsidR="00115E3B" w:rsidRDefault="00115E3B" w:rsidP="006869B7">
      <w:pPr>
        <w:spacing w:after="240" w:line="360" w:lineRule="auto"/>
        <w:ind w:left="720"/>
        <w:rPr>
          <w:rFonts w:ascii="Times New Roman" w:eastAsia="Times New Roman" w:hAnsi="Times New Roman" w:cs="Times New Roman"/>
        </w:rPr>
      </w:pPr>
      <w:proofErr w:type="spellStart"/>
      <w:r>
        <w:rPr>
          <w:rFonts w:ascii="Times New Roman" w:eastAsia="Times New Roman" w:hAnsi="Times New Roman" w:cs="Times New Roman"/>
        </w:rPr>
        <w:t>Deepwatch</w:t>
      </w:r>
      <w:proofErr w:type="spellEnd"/>
      <w:r>
        <w:rPr>
          <w:rFonts w:ascii="Times New Roman" w:eastAsia="Times New Roman" w:hAnsi="Times New Roman" w:cs="Times New Roman"/>
        </w:rPr>
        <w:t xml:space="preserve"> Inc. (2026). </w:t>
      </w:r>
      <w:r>
        <w:rPr>
          <w:rFonts w:ascii="Times New Roman" w:eastAsia="Times New Roman" w:hAnsi="Times New Roman" w:cs="Times New Roman"/>
          <w:i/>
        </w:rPr>
        <w:t>Glossary: Security telemetry</w:t>
      </w:r>
      <w:r>
        <w:rPr>
          <w:rFonts w:ascii="Times New Roman" w:eastAsia="Times New Roman" w:hAnsi="Times New Roman" w:cs="Times New Roman"/>
        </w:rPr>
        <w:t xml:space="preserve">. </w:t>
      </w:r>
      <w:hyperlink r:id="rId55" w:history="1">
        <w:r w:rsidR="006869B7" w:rsidRPr="004E733C">
          <w:rPr>
            <w:rStyle w:val="Hyperlink"/>
            <w:rFonts w:ascii="Times New Roman" w:eastAsia="Times New Roman" w:hAnsi="Times New Roman" w:cs="Times New Roman"/>
          </w:rPr>
          <w:t>https://www.deepwatch.com/glossary/security-telemetry/</w:t>
        </w:r>
      </w:hyperlink>
    </w:p>
    <w:p w14:paraId="429A7BA0"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Dempsey, K., Chawla, N., Johnson, A., et al. (2011). </w:t>
      </w:r>
      <w:r>
        <w:rPr>
          <w:rFonts w:ascii="Times New Roman" w:eastAsia="Times New Roman" w:hAnsi="Times New Roman" w:cs="Times New Roman"/>
          <w:i/>
          <w:iCs/>
        </w:rPr>
        <w:t>Information security continuous monitoring (ISCM) for federal information systems and organizations</w:t>
      </w:r>
      <w:r>
        <w:rPr>
          <w:rFonts w:ascii="Times New Roman" w:eastAsia="Times New Roman" w:hAnsi="Times New Roman" w:cs="Times New Roman"/>
        </w:rPr>
        <w:t xml:space="preserve"> (NIST Special Publication 800-137). U.S. Department of Commerce. </w:t>
      </w:r>
      <w:hyperlink r:id="rId56" w:history="1">
        <w:r>
          <w:rPr>
            <w:rFonts w:ascii="Times New Roman" w:eastAsia="Times New Roman" w:hAnsi="Times New Roman" w:cs="Times New Roman"/>
            <w:color w:val="1155CC"/>
            <w:u w:val="single"/>
          </w:rPr>
          <w:t>https://nvlpubs.nist.gov/nistpubs/legacy/sp/nistspecialpublication800-137.pdf</w:t>
        </w:r>
      </w:hyperlink>
    </w:p>
    <w:p w14:paraId="3B8593AC" w14:textId="77777777" w:rsidR="00284E84" w:rsidRDefault="00284E84" w:rsidP="00284E84">
      <w:pPr>
        <w:spacing w:line="480" w:lineRule="auto"/>
        <w:ind w:left="720" w:hanging="720"/>
      </w:pPr>
      <w:r>
        <w:rPr>
          <w:rFonts w:ascii="Times New Roman" w:eastAsia="Times New Roman" w:hAnsi="Times New Roman" w:cs="Times New Roman"/>
        </w:rPr>
        <w:t xml:space="preserve">Detken, K.-O., Rix, T., Kleiner, C., Hellmann, B., &amp; </w:t>
      </w:r>
      <w:proofErr w:type="spellStart"/>
      <w:r>
        <w:rPr>
          <w:rFonts w:ascii="Times New Roman" w:eastAsia="Times New Roman" w:hAnsi="Times New Roman" w:cs="Times New Roman"/>
        </w:rPr>
        <w:t>Renners</w:t>
      </w:r>
      <w:proofErr w:type="spellEnd"/>
      <w:r>
        <w:rPr>
          <w:rFonts w:ascii="Times New Roman" w:eastAsia="Times New Roman" w:hAnsi="Times New Roman" w:cs="Times New Roman"/>
        </w:rPr>
        <w:t xml:space="preserve">, L. (2015). SIEM approach for a higher level of IT security in enterprise networks. In </w:t>
      </w:r>
      <w:r>
        <w:rPr>
          <w:rFonts w:ascii="Times New Roman" w:eastAsia="Times New Roman" w:hAnsi="Times New Roman" w:cs="Times New Roman"/>
          <w:i/>
          <w:iCs/>
        </w:rPr>
        <w:t>2015 IEEE 8th International Conference on Intelligent Data Acquisition and Advanced Computing Systems (IDAACS)</w:t>
      </w:r>
      <w:r>
        <w:rPr>
          <w:rFonts w:ascii="Times New Roman" w:eastAsia="Times New Roman" w:hAnsi="Times New Roman" w:cs="Times New Roman"/>
        </w:rPr>
        <w:t xml:space="preserve"> (pp. 322–327). IEEE. </w:t>
      </w:r>
      <w:hyperlink r:id="rId57" w:history="1">
        <w:r>
          <w:rPr>
            <w:rFonts w:ascii="Times New Roman" w:eastAsia="Times New Roman" w:hAnsi="Times New Roman" w:cs="Times New Roman"/>
            <w:color w:val="1155CC"/>
            <w:u w:val="single"/>
          </w:rPr>
          <w:t>https://doi.org/10.1109/IDAACS.2015.7340752</w:t>
        </w:r>
      </w:hyperlink>
    </w:p>
    <w:p w14:paraId="0E7F1291" w14:textId="77777777" w:rsidR="00284E84" w:rsidRDefault="00284E84" w:rsidP="00284E84">
      <w:pPr>
        <w:spacing w:line="480" w:lineRule="auto"/>
        <w:ind w:left="720" w:hanging="720"/>
      </w:pPr>
      <w:r>
        <w:rPr>
          <w:rFonts w:ascii="Times New Roman" w:eastAsia="Times New Roman" w:hAnsi="Times New Roman" w:cs="Times New Roman"/>
        </w:rPr>
        <w:t xml:space="preserve">Dhanaraj, A. (2023). </w:t>
      </w:r>
      <w:r>
        <w:rPr>
          <w:rFonts w:ascii="Times New Roman" w:eastAsia="Times New Roman" w:hAnsi="Times New Roman" w:cs="Times New Roman"/>
          <w:i/>
          <w:iCs/>
        </w:rPr>
        <w:t>Putting zero trust architecture into financial institutions.</w:t>
      </w:r>
      <w:r>
        <w:rPr>
          <w:rFonts w:ascii="Times New Roman" w:eastAsia="Times New Roman" w:hAnsi="Times New Roman" w:cs="Times New Roman"/>
        </w:rPr>
        <w:t xml:space="preserve"> Cloud Security Alliance. </w:t>
      </w:r>
      <w:hyperlink r:id="rId58" w:history="1">
        <w:r>
          <w:rPr>
            <w:rFonts w:ascii="Times New Roman" w:eastAsia="Times New Roman" w:hAnsi="Times New Roman" w:cs="Times New Roman"/>
            <w:color w:val="1155CC"/>
            <w:u w:val="single"/>
          </w:rPr>
          <w:t>https://cloudsecurityalliance.org/blog/2023/09/27/putting-zero-trust-architecture-into-financial-institutions</w:t>
        </w:r>
      </w:hyperlink>
    </w:p>
    <w:p w14:paraId="3BF7F96D" w14:textId="77777777" w:rsidR="00284E84" w:rsidRDefault="00284E84" w:rsidP="00284E84">
      <w:pPr>
        <w:spacing w:line="480" w:lineRule="auto"/>
        <w:ind w:left="720" w:hanging="720"/>
      </w:pPr>
      <w:r>
        <w:rPr>
          <w:rFonts w:ascii="Times New Roman" w:eastAsia="Times New Roman" w:hAnsi="Times New Roman" w:cs="Times New Roman"/>
        </w:rPr>
        <w:t xml:space="preserve">Elastic N.V. (2026a). </w:t>
      </w:r>
      <w:r>
        <w:rPr>
          <w:rFonts w:ascii="Times New Roman" w:eastAsia="Times New Roman" w:hAnsi="Times New Roman" w:cs="Times New Roman"/>
          <w:i/>
          <w:iCs/>
        </w:rPr>
        <w:t>Elasticsearch guide [8.x].</w:t>
      </w:r>
      <w:r>
        <w:rPr>
          <w:rFonts w:ascii="Times New Roman" w:eastAsia="Times New Roman" w:hAnsi="Times New Roman" w:cs="Times New Roman"/>
        </w:rPr>
        <w:t xml:space="preserve"> </w:t>
      </w:r>
      <w:hyperlink r:id="rId59" w:history="1">
        <w:r>
          <w:rPr>
            <w:rFonts w:ascii="Times New Roman" w:eastAsia="Times New Roman" w:hAnsi="Times New Roman" w:cs="Times New Roman"/>
            <w:color w:val="1155CC"/>
            <w:u w:val="single"/>
          </w:rPr>
          <w:t>https://www.elastic.co/docs/reference/elasticsearch</w:t>
        </w:r>
      </w:hyperlink>
    </w:p>
    <w:p w14:paraId="33289FA4" w14:textId="77777777" w:rsidR="00284E84" w:rsidRDefault="00284E84" w:rsidP="00284E84">
      <w:pPr>
        <w:spacing w:line="480" w:lineRule="auto"/>
        <w:ind w:left="720" w:hanging="720"/>
      </w:pPr>
      <w:r>
        <w:rPr>
          <w:rFonts w:ascii="Times New Roman" w:eastAsia="Times New Roman" w:hAnsi="Times New Roman" w:cs="Times New Roman"/>
        </w:rPr>
        <w:t xml:space="preserve">Elastic N.V. (2026b). </w:t>
      </w:r>
      <w:r>
        <w:rPr>
          <w:rFonts w:ascii="Times New Roman" w:eastAsia="Times New Roman" w:hAnsi="Times New Roman" w:cs="Times New Roman"/>
          <w:i/>
          <w:iCs/>
        </w:rPr>
        <w:t>Logstash reference [8.x]: Filter plugins — translate.</w:t>
      </w:r>
      <w:r>
        <w:rPr>
          <w:rFonts w:ascii="Times New Roman" w:eastAsia="Times New Roman" w:hAnsi="Times New Roman" w:cs="Times New Roman"/>
        </w:rPr>
        <w:t xml:space="preserve"> </w:t>
      </w:r>
      <w:hyperlink r:id="rId60" w:history="1">
        <w:r>
          <w:rPr>
            <w:rFonts w:ascii="Times New Roman" w:eastAsia="Times New Roman" w:hAnsi="Times New Roman" w:cs="Times New Roman"/>
            <w:color w:val="1155CC"/>
            <w:u w:val="single"/>
          </w:rPr>
          <w:t>https://www.elastic.co/docs/reference/logstash/plugins/plugins-filters-translate</w:t>
        </w:r>
      </w:hyperlink>
    </w:p>
    <w:p w14:paraId="388136A3" w14:textId="77777777" w:rsidR="00284E84" w:rsidRDefault="00284E84" w:rsidP="00284E84">
      <w:pPr>
        <w:spacing w:line="480" w:lineRule="auto"/>
        <w:ind w:left="720" w:hanging="720"/>
      </w:pPr>
      <w:r>
        <w:rPr>
          <w:rFonts w:ascii="Times New Roman" w:eastAsia="Times New Roman" w:hAnsi="Times New Roman" w:cs="Times New Roman"/>
        </w:rPr>
        <w:t xml:space="preserve">Elastic N.V. (2026c). </w:t>
      </w:r>
      <w:r>
        <w:rPr>
          <w:rFonts w:ascii="Times New Roman" w:eastAsia="Times New Roman" w:hAnsi="Times New Roman" w:cs="Times New Roman"/>
          <w:i/>
          <w:iCs/>
        </w:rPr>
        <w:t>Kibana guide [8.x]: Alerting.</w:t>
      </w:r>
      <w:r>
        <w:rPr>
          <w:rFonts w:ascii="Times New Roman" w:eastAsia="Times New Roman" w:hAnsi="Times New Roman" w:cs="Times New Roman"/>
        </w:rPr>
        <w:t xml:space="preserve"> </w:t>
      </w:r>
      <w:hyperlink r:id="rId61" w:history="1">
        <w:r>
          <w:rPr>
            <w:rFonts w:ascii="Times New Roman" w:eastAsia="Times New Roman" w:hAnsi="Times New Roman" w:cs="Times New Roman"/>
            <w:color w:val="1155CC"/>
            <w:u w:val="single"/>
          </w:rPr>
          <w:t>https://www.elastic.co/docs/explore-analyze/alerting/alerts/alerting-getting-started</w:t>
        </w:r>
      </w:hyperlink>
    </w:p>
    <w:p w14:paraId="5019DFCF" w14:textId="77777777" w:rsidR="00284E84" w:rsidRDefault="00284E84" w:rsidP="00284E84">
      <w:pPr>
        <w:spacing w:line="480" w:lineRule="auto"/>
        <w:ind w:left="720" w:hanging="720"/>
      </w:pPr>
      <w:r>
        <w:rPr>
          <w:rFonts w:ascii="Times New Roman" w:eastAsia="Times New Roman" w:hAnsi="Times New Roman" w:cs="Times New Roman"/>
        </w:rPr>
        <w:t xml:space="preserve">Elastic N.V. (2026d). </w:t>
      </w:r>
      <w:r>
        <w:rPr>
          <w:rFonts w:ascii="Times New Roman" w:eastAsia="Times New Roman" w:hAnsi="Times New Roman" w:cs="Times New Roman"/>
          <w:i/>
          <w:iCs/>
        </w:rPr>
        <w:t>Elastic Common Schema (ECS) reference.</w:t>
      </w:r>
      <w:r>
        <w:rPr>
          <w:rFonts w:ascii="Times New Roman" w:eastAsia="Times New Roman" w:hAnsi="Times New Roman" w:cs="Times New Roman"/>
        </w:rPr>
        <w:t xml:space="preserve"> </w:t>
      </w:r>
      <w:hyperlink r:id="rId62" w:history="1">
        <w:r>
          <w:rPr>
            <w:rFonts w:ascii="Times New Roman" w:eastAsia="Times New Roman" w:hAnsi="Times New Roman" w:cs="Times New Roman"/>
            <w:color w:val="1155CC"/>
            <w:u w:val="single"/>
          </w:rPr>
          <w:t>https://www.elastic.co/docs/reference/ecs/ecs-using-ecs</w:t>
        </w:r>
      </w:hyperlink>
    </w:p>
    <w:p w14:paraId="0BABE4D0"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El-</w:t>
      </w:r>
      <w:proofErr w:type="spellStart"/>
      <w:r>
        <w:rPr>
          <w:rFonts w:ascii="Times New Roman" w:eastAsia="Times New Roman" w:hAnsi="Times New Roman" w:cs="Times New Roman"/>
        </w:rPr>
        <w:t>Metwaly</w:t>
      </w:r>
      <w:proofErr w:type="spellEnd"/>
      <w:r>
        <w:rPr>
          <w:rFonts w:ascii="Times New Roman" w:eastAsia="Times New Roman" w:hAnsi="Times New Roman" w:cs="Times New Roman"/>
        </w:rPr>
        <w:t xml:space="preserve">, A. E. S., Abdelfattah, M. A., Maher, N. M., Hamed, M., Tayel, E. M., Al-Rifai, M. A., &amp; </w:t>
      </w:r>
      <w:proofErr w:type="spellStart"/>
      <w:r>
        <w:rPr>
          <w:rFonts w:ascii="Times New Roman" w:eastAsia="Times New Roman" w:hAnsi="Times New Roman" w:cs="Times New Roman"/>
        </w:rPr>
        <w:t>Takieldeen</w:t>
      </w:r>
      <w:proofErr w:type="spellEnd"/>
      <w:r>
        <w:rPr>
          <w:rFonts w:ascii="Times New Roman" w:eastAsia="Times New Roman" w:hAnsi="Times New Roman" w:cs="Times New Roman"/>
        </w:rPr>
        <w:t xml:space="preserve">, A. E. (2024). Remote access trojan (RAT) attack: A stealthy cyber </w:t>
      </w:r>
      <w:r>
        <w:rPr>
          <w:rFonts w:ascii="Times New Roman" w:eastAsia="Times New Roman" w:hAnsi="Times New Roman" w:cs="Times New Roman"/>
        </w:rPr>
        <w:lastRenderedPageBreak/>
        <w:t xml:space="preserve">threat posing severe security risks. In </w:t>
      </w:r>
      <w:r>
        <w:rPr>
          <w:rFonts w:ascii="Times New Roman" w:eastAsia="Times New Roman" w:hAnsi="Times New Roman" w:cs="Times New Roman"/>
          <w:i/>
          <w:iCs/>
        </w:rPr>
        <w:t>2024 International Telecommunications Conference (ITC-Egypt)</w:t>
      </w:r>
      <w:r>
        <w:rPr>
          <w:rFonts w:ascii="Times New Roman" w:eastAsia="Times New Roman" w:hAnsi="Times New Roman" w:cs="Times New Roman"/>
        </w:rPr>
        <w:t xml:space="preserve"> (pp. 1–5). IEEE. </w:t>
      </w:r>
      <w:hyperlink r:id="rId63" w:history="1">
        <w:r w:rsidR="00857326">
          <w:rPr>
            <w:rFonts w:ascii="Times New Roman" w:eastAsia="Times New Roman" w:hAnsi="Times New Roman" w:cs="Times New Roman"/>
            <w:color w:val="1155CC"/>
            <w:u w:val="single"/>
          </w:rPr>
          <w:t>https://ieeexplore.ieee.org/document/10620482</w:t>
        </w:r>
      </w:hyperlink>
    </w:p>
    <w:p w14:paraId="5C75C685" w14:textId="77777777" w:rsidR="00284E84" w:rsidRDefault="00284E84" w:rsidP="00284E84">
      <w:pPr>
        <w:spacing w:line="480" w:lineRule="auto"/>
        <w:ind w:left="720" w:hanging="720"/>
      </w:pPr>
      <w:r>
        <w:rPr>
          <w:rFonts w:ascii="Times New Roman" w:eastAsia="Times New Roman" w:hAnsi="Times New Roman" w:cs="Times New Roman"/>
        </w:rPr>
        <w:t xml:space="preserve">ENISA. (2025, February). </w:t>
      </w:r>
      <w:r>
        <w:rPr>
          <w:rFonts w:ascii="Times New Roman" w:eastAsia="Times New Roman" w:hAnsi="Times New Roman" w:cs="Times New Roman"/>
          <w:i/>
          <w:iCs/>
        </w:rPr>
        <w:t>ENISA threat landscape: Finance sector.</w:t>
      </w:r>
      <w:r>
        <w:rPr>
          <w:rFonts w:ascii="Times New Roman" w:eastAsia="Times New Roman" w:hAnsi="Times New Roman" w:cs="Times New Roman"/>
        </w:rPr>
        <w:t xml:space="preserve"> European Union Agency for Cybersecurity. </w:t>
      </w:r>
      <w:hyperlink r:id="rId64" w:history="1">
        <w:r>
          <w:rPr>
            <w:rStyle w:val="Hyperlink"/>
            <w:rFonts w:ascii="Times New Roman" w:eastAsia="Times New Roman" w:hAnsi="Times New Roman" w:cs="Times New Roman"/>
          </w:rPr>
          <w:t>https://www.enisa.europa.eu/sites/default/files/2025-02/Finance%20TL%202024_Final.pdf</w:t>
        </w:r>
      </w:hyperlink>
    </w:p>
    <w:p w14:paraId="2D4DB6AE" w14:textId="77777777" w:rsidR="00284E84" w:rsidRDefault="00284E84" w:rsidP="00284E84">
      <w:pPr>
        <w:spacing w:line="480" w:lineRule="auto"/>
        <w:ind w:left="720" w:hanging="720"/>
      </w:pPr>
      <w:r>
        <w:rPr>
          <w:rFonts w:ascii="Times New Roman" w:eastAsia="Times New Roman" w:hAnsi="Times New Roman" w:cs="Times New Roman"/>
        </w:rPr>
        <w:t xml:space="preserve">Ennis, D. (2023). </w:t>
      </w:r>
      <w:r>
        <w:rPr>
          <w:rFonts w:ascii="Times New Roman" w:eastAsia="Times New Roman" w:hAnsi="Times New Roman" w:cs="Times New Roman"/>
          <w:i/>
          <w:iCs/>
        </w:rPr>
        <w:t>Fed ends Capital One breach-related enforcement action.</w:t>
      </w:r>
      <w:r>
        <w:rPr>
          <w:rFonts w:ascii="Times New Roman" w:eastAsia="Times New Roman" w:hAnsi="Times New Roman" w:cs="Times New Roman"/>
        </w:rPr>
        <w:t xml:space="preserve"> Cybersecurity Dive. </w:t>
      </w:r>
      <w:hyperlink r:id="rId65" w:history="1">
        <w:r>
          <w:rPr>
            <w:rFonts w:ascii="Times New Roman" w:eastAsia="Times New Roman" w:hAnsi="Times New Roman" w:cs="Times New Roman"/>
            <w:color w:val="1155CC"/>
            <w:u w:val="single"/>
          </w:rPr>
          <w:t>https://www.cybersecuritydive.com/news/fed-ends-capital-one-breach-action/686970/</w:t>
        </w:r>
      </w:hyperlink>
    </w:p>
    <w:p w14:paraId="090F3BCE" w14:textId="77777777" w:rsidR="00284E84" w:rsidRDefault="00284E84" w:rsidP="00284E84">
      <w:pPr>
        <w:spacing w:line="480" w:lineRule="auto"/>
        <w:ind w:left="720" w:hanging="720"/>
      </w:pPr>
      <w:r>
        <w:rPr>
          <w:rFonts w:ascii="Times New Roman" w:eastAsia="Times New Roman" w:hAnsi="Times New Roman" w:cs="Times New Roman"/>
        </w:rPr>
        <w:t xml:space="preserve">Fernandez, F. (2025). </w:t>
      </w:r>
      <w:r>
        <w:rPr>
          <w:rFonts w:ascii="Times New Roman" w:eastAsia="Times New Roman" w:hAnsi="Times New Roman" w:cs="Times New Roman"/>
          <w:i/>
          <w:iCs/>
        </w:rPr>
        <w:t>Top 10 ways to achieve remote code execution (RCE) on web applications.</w:t>
      </w:r>
      <w:r>
        <w:rPr>
          <w:rFonts w:ascii="Times New Roman" w:eastAsia="Times New Roman" w:hAnsi="Times New Roman" w:cs="Times New Roman"/>
        </w:rPr>
        <w:t xml:space="preserve"> Medium. </w:t>
      </w:r>
      <w:hyperlink r:id="rId66" w:history="1">
        <w:r>
          <w:rPr>
            <w:rFonts w:ascii="Times New Roman" w:eastAsia="Times New Roman" w:hAnsi="Times New Roman" w:cs="Times New Roman"/>
            <w:color w:val="1155CC"/>
            <w:u w:val="single"/>
          </w:rPr>
          <w:t>https://fdzdev.medium.com/top-10-ways-to-achieve-remote-code-execution-rce-on-web-applications-d923246b916b</w:t>
        </w:r>
      </w:hyperlink>
    </w:p>
    <w:p w14:paraId="28760104" w14:textId="77777777" w:rsidR="00284E84" w:rsidRDefault="00284E84" w:rsidP="00284E84">
      <w:pPr>
        <w:spacing w:line="480" w:lineRule="auto"/>
        <w:ind w:left="720" w:hanging="720"/>
      </w:pPr>
      <w:r>
        <w:rPr>
          <w:rFonts w:ascii="Times New Roman" w:eastAsia="Times New Roman" w:hAnsi="Times New Roman" w:cs="Times New Roman"/>
        </w:rPr>
        <w:t xml:space="preserve">Forrester Consulting. (2025, June). </w:t>
      </w:r>
      <w:r>
        <w:rPr>
          <w:rFonts w:ascii="Times New Roman" w:eastAsia="Times New Roman" w:hAnsi="Times New Roman" w:cs="Times New Roman"/>
          <w:i/>
          <w:iCs/>
        </w:rPr>
        <w:t>The Total Economic Impact of Microsoft Defender and Sentinel.</w:t>
      </w:r>
      <w:r>
        <w:rPr>
          <w:rFonts w:ascii="Times New Roman" w:eastAsia="Times New Roman" w:hAnsi="Times New Roman" w:cs="Times New Roman"/>
        </w:rPr>
        <w:t xml:space="preserve"> </w:t>
      </w:r>
      <w:hyperlink r:id="rId67" w:history="1">
        <w:r>
          <w:rPr>
            <w:rFonts w:ascii="Times New Roman" w:eastAsia="Times New Roman" w:hAnsi="Times New Roman" w:cs="Times New Roman"/>
            <w:color w:val="1155CC"/>
            <w:u w:val="single"/>
          </w:rPr>
          <w:t>https://tei.forrester.com/go/microsoft/defender/docs/TEI_of_MSFT_Defender_and_Sentinel_SIEM_PDF_vA.pdf</w:t>
        </w:r>
      </w:hyperlink>
    </w:p>
    <w:p w14:paraId="5211AC40" w14:textId="77777777" w:rsidR="00284E84" w:rsidRDefault="00284E84" w:rsidP="00284E84">
      <w:pPr>
        <w:spacing w:line="480" w:lineRule="auto"/>
        <w:ind w:left="720" w:hanging="720"/>
      </w:pPr>
      <w:r>
        <w:rPr>
          <w:rFonts w:ascii="Times New Roman" w:eastAsia="Times New Roman" w:hAnsi="Times New Roman" w:cs="Times New Roman"/>
        </w:rPr>
        <w:t xml:space="preserve">Gartner. (2022). </w:t>
      </w:r>
      <w:r>
        <w:rPr>
          <w:rFonts w:ascii="Times New Roman" w:eastAsia="Times New Roman" w:hAnsi="Times New Roman" w:cs="Times New Roman"/>
          <w:i/>
          <w:iCs/>
        </w:rPr>
        <w:t>Hype cycle for data security, 2022.</w:t>
      </w:r>
      <w:r>
        <w:rPr>
          <w:rFonts w:ascii="Times New Roman" w:eastAsia="Times New Roman" w:hAnsi="Times New Roman" w:cs="Times New Roman"/>
        </w:rPr>
        <w:t xml:space="preserve"> Gartner, Inc.</w:t>
      </w:r>
    </w:p>
    <w:p w14:paraId="0B09FD21" w14:textId="77777777" w:rsidR="00284E84" w:rsidRDefault="00284E84" w:rsidP="00284E84">
      <w:pPr>
        <w:spacing w:line="480" w:lineRule="auto"/>
        <w:ind w:left="720" w:hanging="720"/>
      </w:pPr>
      <w:r>
        <w:rPr>
          <w:rFonts w:ascii="Times New Roman" w:eastAsia="Times New Roman" w:hAnsi="Times New Roman" w:cs="Times New Roman"/>
        </w:rPr>
        <w:t xml:space="preserve">Greitzer, F. L., &amp; Ferryman, T. A. (2013). Methods and metrics for evaluating analytic insider threat tools. In </w:t>
      </w:r>
      <w:r>
        <w:rPr>
          <w:rFonts w:ascii="Times New Roman" w:eastAsia="Times New Roman" w:hAnsi="Times New Roman" w:cs="Times New Roman"/>
          <w:i/>
          <w:iCs/>
        </w:rPr>
        <w:t>2013 IEEE Security and Privacy Workshops</w:t>
      </w:r>
      <w:r>
        <w:rPr>
          <w:rFonts w:ascii="Times New Roman" w:eastAsia="Times New Roman" w:hAnsi="Times New Roman" w:cs="Times New Roman"/>
        </w:rPr>
        <w:t xml:space="preserve"> (pp. 90–97). IEEE. </w:t>
      </w:r>
      <w:hyperlink r:id="rId68" w:history="1">
        <w:r>
          <w:rPr>
            <w:rFonts w:ascii="Times New Roman" w:eastAsia="Times New Roman" w:hAnsi="Times New Roman" w:cs="Times New Roman"/>
            <w:color w:val="1155CC"/>
            <w:u w:val="single"/>
          </w:rPr>
          <w:t>https://doi.org/10.1109/SPW.2013.34</w:t>
        </w:r>
      </w:hyperlink>
    </w:p>
    <w:p w14:paraId="1940815B" w14:textId="77777777" w:rsidR="00284E84" w:rsidRDefault="00284E84" w:rsidP="00284E84">
      <w:pPr>
        <w:spacing w:line="480" w:lineRule="auto"/>
        <w:ind w:left="720" w:hanging="720"/>
      </w:pPr>
      <w:r>
        <w:rPr>
          <w:rFonts w:ascii="Times New Roman" w:eastAsia="Times New Roman" w:hAnsi="Times New Roman" w:cs="Times New Roman"/>
        </w:rPr>
        <w:t xml:space="preserve">Henry, K. (2025). </w:t>
      </w:r>
      <w:r>
        <w:rPr>
          <w:rFonts w:ascii="Times New Roman" w:eastAsia="Times New Roman" w:hAnsi="Times New Roman" w:cs="Times New Roman"/>
          <w:i/>
          <w:iCs/>
        </w:rPr>
        <w:t>Real-world PII examples: Everyday scenarios to help you understand personally identifiable information.</w:t>
      </w:r>
      <w:r>
        <w:rPr>
          <w:rFonts w:ascii="Times New Roman" w:eastAsia="Times New Roman" w:hAnsi="Times New Roman" w:cs="Times New Roman"/>
        </w:rPr>
        <w:t xml:space="preserve"> Accountable, Inc. </w:t>
      </w:r>
      <w:hyperlink r:id="rId69" w:history="1">
        <w:r>
          <w:rPr>
            <w:rFonts w:ascii="Times New Roman" w:eastAsia="Times New Roman" w:hAnsi="Times New Roman" w:cs="Times New Roman"/>
            <w:color w:val="1155CC"/>
            <w:u w:val="single"/>
          </w:rPr>
          <w:t>https://www.accountablehq.com/post/real-world-pii-examples-everyday-scenarios-to-help-you-understand-personally-identifiable-information</w:t>
        </w:r>
      </w:hyperlink>
    </w:p>
    <w:p w14:paraId="5AAF3388" w14:textId="77777777" w:rsidR="00284E84" w:rsidRDefault="00284E84" w:rsidP="00284E84">
      <w:pPr>
        <w:spacing w:line="480" w:lineRule="auto"/>
        <w:ind w:left="720" w:hanging="720"/>
      </w:pPr>
      <w:r>
        <w:rPr>
          <w:rFonts w:ascii="Times New Roman" w:eastAsia="Times New Roman" w:hAnsi="Times New Roman" w:cs="Times New Roman"/>
        </w:rPr>
        <w:t xml:space="preserve">Hevner, A. R., March, S. T., Park, J., &amp; Ram, S. (2004). Design science in information systems research. </w:t>
      </w:r>
      <w:r>
        <w:rPr>
          <w:rFonts w:ascii="Times New Roman" w:eastAsia="Times New Roman" w:hAnsi="Times New Roman" w:cs="Times New Roman"/>
          <w:i/>
          <w:iCs/>
        </w:rPr>
        <w:t>MIS Quarterly, 28</w:t>
      </w:r>
      <w:r>
        <w:rPr>
          <w:rFonts w:ascii="Times New Roman" w:eastAsia="Times New Roman" w:hAnsi="Times New Roman" w:cs="Times New Roman"/>
        </w:rPr>
        <w:t xml:space="preserve">(1), 75–105. </w:t>
      </w:r>
      <w:hyperlink r:id="rId70" w:history="1">
        <w:r>
          <w:rPr>
            <w:rFonts w:ascii="Times New Roman" w:eastAsia="Times New Roman" w:hAnsi="Times New Roman" w:cs="Times New Roman"/>
            <w:color w:val="1155CC"/>
            <w:u w:val="single"/>
          </w:rPr>
          <w:t>https://doi.org/10.2307/25148625</w:t>
        </w:r>
      </w:hyperlink>
    </w:p>
    <w:p w14:paraId="0E58E072" w14:textId="77777777" w:rsidR="00284E84" w:rsidRDefault="00284E84" w:rsidP="00284E84">
      <w:pPr>
        <w:spacing w:line="480" w:lineRule="auto"/>
        <w:ind w:left="720" w:hanging="720"/>
      </w:pPr>
      <w:r>
        <w:rPr>
          <w:rFonts w:ascii="Times New Roman" w:eastAsia="Times New Roman" w:hAnsi="Times New Roman" w:cs="Times New Roman"/>
        </w:rPr>
        <w:t xml:space="preserve">Holt, T. J., &amp; Lampke, E. (2010). Exploring stolen data markets online: Products and market forces. </w:t>
      </w:r>
      <w:r>
        <w:rPr>
          <w:rFonts w:ascii="Times New Roman" w:eastAsia="Times New Roman" w:hAnsi="Times New Roman" w:cs="Times New Roman"/>
          <w:i/>
          <w:iCs/>
        </w:rPr>
        <w:t>Criminal Justice Studies, 23</w:t>
      </w:r>
      <w:r>
        <w:rPr>
          <w:rFonts w:ascii="Times New Roman" w:eastAsia="Times New Roman" w:hAnsi="Times New Roman" w:cs="Times New Roman"/>
        </w:rPr>
        <w:t>(1), 33–50.</w:t>
      </w:r>
      <w:r>
        <w:t xml:space="preserve"> </w:t>
      </w:r>
      <w:hyperlink r:id="rId71" w:history="1">
        <w:r>
          <w:rPr>
            <w:rStyle w:val="Hyperlink"/>
            <w:rFonts w:ascii="Times New Roman" w:eastAsia="Times New Roman" w:hAnsi="Times New Roman" w:cs="Times New Roman"/>
          </w:rPr>
          <w:t>https://www.researchgate.net/publication/249027953_Exploring_stolen_data_markets_online_Products_and_market_forces</w:t>
        </w:r>
      </w:hyperlink>
    </w:p>
    <w:p w14:paraId="02A72872" w14:textId="77777777" w:rsidR="00284E84" w:rsidRDefault="00284E84" w:rsidP="00284E84">
      <w:pPr>
        <w:spacing w:line="480" w:lineRule="auto"/>
        <w:ind w:left="720" w:hanging="720"/>
      </w:pPr>
      <w:r>
        <w:rPr>
          <w:rFonts w:ascii="Times New Roman" w:eastAsia="Times New Roman" w:hAnsi="Times New Roman" w:cs="Times New Roman"/>
        </w:rPr>
        <w:t xml:space="preserve">Hubbard, D. W., &amp; Seiersen, R. (2023). </w:t>
      </w:r>
      <w:r>
        <w:rPr>
          <w:rFonts w:ascii="Times New Roman" w:eastAsia="Times New Roman" w:hAnsi="Times New Roman" w:cs="Times New Roman"/>
          <w:i/>
          <w:iCs/>
        </w:rPr>
        <w:t>How to measure anything in cybersecurity risk</w:t>
      </w:r>
      <w:r>
        <w:rPr>
          <w:rFonts w:ascii="Times New Roman" w:eastAsia="Times New Roman" w:hAnsi="Times New Roman" w:cs="Times New Roman"/>
        </w:rPr>
        <w:t xml:space="preserve"> (2nd ed.). John Wiley &amp; Sons. </w:t>
      </w:r>
      <w:hyperlink r:id="rId72" w:history="1">
        <w:r>
          <w:rPr>
            <w:rFonts w:ascii="Times New Roman" w:eastAsia="Times New Roman" w:hAnsi="Times New Roman" w:cs="Times New Roman"/>
            <w:color w:val="1155CC"/>
            <w:u w:val="single"/>
          </w:rPr>
          <w:t>https://doi.org/10.1002/9781119892335</w:t>
        </w:r>
      </w:hyperlink>
    </w:p>
    <w:p w14:paraId="61C74546" w14:textId="77777777" w:rsidR="00284E84" w:rsidRDefault="00284E84" w:rsidP="00284E84">
      <w:pPr>
        <w:spacing w:line="480" w:lineRule="auto"/>
        <w:ind w:left="720" w:hanging="720"/>
      </w:pPr>
      <w:r>
        <w:rPr>
          <w:rFonts w:ascii="Times New Roman" w:eastAsia="Times New Roman" w:hAnsi="Times New Roman" w:cs="Times New Roman"/>
        </w:rPr>
        <w:t xml:space="preserve">Hutchings, A., &amp; Holt, T. J. (2015). A crime script analysis of the online stolen data market. </w:t>
      </w:r>
      <w:r>
        <w:rPr>
          <w:rFonts w:ascii="Times New Roman" w:eastAsia="Times New Roman" w:hAnsi="Times New Roman" w:cs="Times New Roman"/>
          <w:i/>
          <w:iCs/>
        </w:rPr>
        <w:t>The British Journal of Criminology, 55</w:t>
      </w:r>
      <w:r>
        <w:rPr>
          <w:rFonts w:ascii="Times New Roman" w:eastAsia="Times New Roman" w:hAnsi="Times New Roman" w:cs="Times New Roman"/>
        </w:rPr>
        <w:t xml:space="preserve">(3), 596–614. </w:t>
      </w:r>
      <w:hyperlink r:id="rId73" w:history="1">
        <w:r>
          <w:rPr>
            <w:rFonts w:ascii="Times New Roman" w:eastAsia="Times New Roman" w:hAnsi="Times New Roman" w:cs="Times New Roman"/>
            <w:color w:val="1155CC"/>
            <w:u w:val="single"/>
          </w:rPr>
          <w:t>https://doi.org/10.1093/bjc/azu106</w:t>
        </w:r>
      </w:hyperlink>
    </w:p>
    <w:p w14:paraId="34B9808D" w14:textId="77777777" w:rsidR="00284E84" w:rsidRDefault="00284E84" w:rsidP="00284E84">
      <w:pPr>
        <w:spacing w:line="480" w:lineRule="auto"/>
        <w:ind w:left="720" w:hanging="720"/>
      </w:pPr>
      <w:r>
        <w:rPr>
          <w:rFonts w:ascii="Times New Roman" w:eastAsia="Times New Roman" w:hAnsi="Times New Roman" w:cs="Times New Roman"/>
        </w:rPr>
        <w:t xml:space="preserve">IBM Security &amp; </w:t>
      </w:r>
      <w:proofErr w:type="spellStart"/>
      <w:r>
        <w:rPr>
          <w:rFonts w:ascii="Times New Roman" w:eastAsia="Times New Roman" w:hAnsi="Times New Roman" w:cs="Times New Roman"/>
        </w:rPr>
        <w:t>Ponemon</w:t>
      </w:r>
      <w:proofErr w:type="spellEnd"/>
      <w:r>
        <w:rPr>
          <w:rFonts w:ascii="Times New Roman" w:eastAsia="Times New Roman" w:hAnsi="Times New Roman" w:cs="Times New Roman"/>
        </w:rPr>
        <w:t xml:space="preserve"> Institute. (2025). </w:t>
      </w:r>
      <w:r>
        <w:rPr>
          <w:rFonts w:ascii="Times New Roman" w:eastAsia="Times New Roman" w:hAnsi="Times New Roman" w:cs="Times New Roman"/>
          <w:i/>
          <w:iCs/>
        </w:rPr>
        <w:t>Cost of a data breach report 2025.</w:t>
      </w:r>
      <w:r>
        <w:rPr>
          <w:rFonts w:ascii="Times New Roman" w:eastAsia="Times New Roman" w:hAnsi="Times New Roman" w:cs="Times New Roman"/>
        </w:rPr>
        <w:t xml:space="preserve"> IBM. </w:t>
      </w:r>
      <w:hyperlink r:id="rId74" w:history="1">
        <w:r>
          <w:rPr>
            <w:rFonts w:ascii="Times New Roman" w:eastAsia="Times New Roman" w:hAnsi="Times New Roman" w:cs="Times New Roman"/>
            <w:color w:val="1155CC"/>
            <w:u w:val="single"/>
          </w:rPr>
          <w:t>https://www.ibm.com/reports/data-breach</w:t>
        </w:r>
      </w:hyperlink>
    </w:p>
    <w:p w14:paraId="4B855DD7" w14:textId="77777777" w:rsidR="00284E84" w:rsidRDefault="00284E84" w:rsidP="00284E84">
      <w:pPr>
        <w:spacing w:line="480" w:lineRule="auto"/>
        <w:ind w:left="720" w:hanging="720"/>
      </w:pPr>
      <w:proofErr w:type="spellStart"/>
      <w:r>
        <w:rPr>
          <w:rFonts w:ascii="Times New Roman" w:eastAsia="Times New Roman" w:hAnsi="Times New Roman" w:cs="Times New Roman"/>
        </w:rPr>
        <w:t>InstaTunnel</w:t>
      </w:r>
      <w:proofErr w:type="spellEnd"/>
      <w:r>
        <w:rPr>
          <w:rFonts w:ascii="Times New Roman" w:eastAsia="Times New Roman" w:hAnsi="Times New Roman" w:cs="Times New Roman"/>
        </w:rPr>
        <w:t xml:space="preserve"> Engineering. (2025). </w:t>
      </w:r>
      <w:r>
        <w:rPr>
          <w:rFonts w:ascii="Times New Roman" w:eastAsia="Times New Roman" w:hAnsi="Times New Roman" w:cs="Times New Roman"/>
          <w:i/>
          <w:iCs/>
        </w:rPr>
        <w:t>Security misconfiguration: The 90% problem that never goes away.</w:t>
      </w:r>
      <w:r>
        <w:rPr>
          <w:rFonts w:ascii="Times New Roman" w:eastAsia="Times New Roman" w:hAnsi="Times New Roman" w:cs="Times New Roman"/>
        </w:rPr>
        <w:t xml:space="preserve"> Medium. </w:t>
      </w:r>
      <w:hyperlink r:id="rId75" w:history="1">
        <w:r>
          <w:rPr>
            <w:rFonts w:ascii="Times New Roman" w:eastAsia="Times New Roman" w:hAnsi="Times New Roman" w:cs="Times New Roman"/>
            <w:color w:val="1155CC"/>
            <w:u w:val="single"/>
          </w:rPr>
          <w:t>https://medium.com/@instatunnel/security-misconfiguration-the-90-problem-that-never-goes-away-087643f01a41</w:t>
        </w:r>
      </w:hyperlink>
    </w:p>
    <w:p w14:paraId="566DD8EC" w14:textId="77777777" w:rsidR="00284E84" w:rsidRDefault="00284E84" w:rsidP="00284E84">
      <w:pPr>
        <w:spacing w:line="480" w:lineRule="auto"/>
        <w:ind w:left="720" w:hanging="720"/>
      </w:pPr>
      <w:r>
        <w:rPr>
          <w:rFonts w:ascii="Times New Roman" w:eastAsia="Times New Roman" w:hAnsi="Times New Roman" w:cs="Times New Roman"/>
        </w:rPr>
        <w:t xml:space="preserve">Institute of Data. (2024). </w:t>
      </w:r>
      <w:r>
        <w:rPr>
          <w:rFonts w:ascii="Times New Roman" w:eastAsia="Times New Roman" w:hAnsi="Times New Roman" w:cs="Times New Roman"/>
          <w:i/>
          <w:iCs/>
        </w:rPr>
        <w:t>Techniques and tools for web scraping to harvest data.</w:t>
      </w:r>
      <w:r>
        <w:rPr>
          <w:rFonts w:ascii="Times New Roman" w:eastAsia="Times New Roman" w:hAnsi="Times New Roman" w:cs="Times New Roman"/>
        </w:rPr>
        <w:t xml:space="preserve"> </w:t>
      </w:r>
      <w:hyperlink r:id="rId76" w:history="1">
        <w:r>
          <w:rPr>
            <w:rFonts w:ascii="Times New Roman" w:eastAsia="Times New Roman" w:hAnsi="Times New Roman" w:cs="Times New Roman"/>
            <w:color w:val="1155CC"/>
            <w:u w:val="single"/>
          </w:rPr>
          <w:t>https://www.institutedata.com/us/blog/techniques-and-tools-for-web-scraping-to-harvest-data/</w:t>
        </w:r>
      </w:hyperlink>
    </w:p>
    <w:p w14:paraId="4F27AB14" w14:textId="77777777" w:rsidR="00284E84" w:rsidRDefault="00284E84" w:rsidP="00284E84">
      <w:pPr>
        <w:spacing w:line="480" w:lineRule="auto"/>
        <w:ind w:left="720" w:hanging="720"/>
      </w:pPr>
      <w:proofErr w:type="spellStart"/>
      <w:r>
        <w:rPr>
          <w:rFonts w:ascii="Times New Roman" w:eastAsia="Times New Roman" w:hAnsi="Times New Roman" w:cs="Times New Roman"/>
        </w:rPr>
        <w:lastRenderedPageBreak/>
        <w:t>Jangampet</w:t>
      </w:r>
      <w:proofErr w:type="spellEnd"/>
      <w:r>
        <w:rPr>
          <w:rFonts w:ascii="Times New Roman" w:eastAsia="Times New Roman" w:hAnsi="Times New Roman" w:cs="Times New Roman"/>
        </w:rPr>
        <w:t xml:space="preserve">, V. D., </w:t>
      </w:r>
      <w:proofErr w:type="spellStart"/>
      <w:r>
        <w:rPr>
          <w:rFonts w:ascii="Times New Roman" w:eastAsia="Times New Roman" w:hAnsi="Times New Roman" w:cs="Times New Roman"/>
        </w:rPr>
        <w:t>Desetty</w:t>
      </w:r>
      <w:proofErr w:type="spellEnd"/>
      <w:r>
        <w:rPr>
          <w:rFonts w:ascii="Times New Roman" w:eastAsia="Times New Roman" w:hAnsi="Times New Roman" w:cs="Times New Roman"/>
        </w:rPr>
        <w:t xml:space="preserve">, A. G., et al. (2024). The impact of Security Orchestration, Automation, and Response (SOAR) on Security Operations Center (SOC) efficiency: A comprehensive analysis. </w:t>
      </w:r>
      <w:r>
        <w:rPr>
          <w:rFonts w:ascii="Times New Roman" w:eastAsia="Times New Roman" w:hAnsi="Times New Roman" w:cs="Times New Roman"/>
          <w:i/>
          <w:iCs/>
        </w:rPr>
        <w:t>Turkish Journal of Computer and Mathematics Education (TURCOMAT).</w:t>
      </w:r>
      <w:r>
        <w:rPr>
          <w:rFonts w:ascii="Times New Roman" w:eastAsia="Times New Roman" w:hAnsi="Times New Roman" w:cs="Times New Roman"/>
        </w:rPr>
        <w:t xml:space="preserve"> </w:t>
      </w:r>
      <w:hyperlink r:id="rId77" w:history="1">
        <w:r>
          <w:rPr>
            <w:rFonts w:ascii="Times New Roman" w:eastAsia="Times New Roman" w:hAnsi="Times New Roman" w:cs="Times New Roman"/>
            <w:color w:val="1155CC"/>
            <w:u w:val="single"/>
          </w:rPr>
          <w:t>https://www.researchgate.net/publication/376811058_The_Impact_of_Security_Orchestration_Automation_and_Response_SOAR_on_Security_Operations_Center_SOC_Efficiency_A_Comprehensive_Analysis</w:t>
        </w:r>
      </w:hyperlink>
    </w:p>
    <w:p w14:paraId="3FDAF3D6" w14:textId="77777777" w:rsidR="00284E84" w:rsidRDefault="00284E84" w:rsidP="00284E84">
      <w:pPr>
        <w:spacing w:line="480" w:lineRule="auto"/>
        <w:ind w:left="720" w:hanging="720"/>
      </w:pPr>
      <w:r>
        <w:rPr>
          <w:rFonts w:ascii="Times New Roman" w:eastAsia="Times New Roman" w:hAnsi="Times New Roman" w:cs="Times New Roman"/>
        </w:rPr>
        <w:t xml:space="preserve">Jeng, A. (2015). </w:t>
      </w:r>
      <w:r>
        <w:rPr>
          <w:rFonts w:ascii="Times New Roman" w:eastAsia="Times New Roman" w:hAnsi="Times New Roman" w:cs="Times New Roman"/>
          <w:i/>
          <w:iCs/>
        </w:rPr>
        <w:t>Minimizing damage from J.P. Morgan's data breach.</w:t>
      </w:r>
      <w:r>
        <w:rPr>
          <w:rFonts w:ascii="Times New Roman" w:eastAsia="Times New Roman" w:hAnsi="Times New Roman" w:cs="Times New Roman"/>
        </w:rPr>
        <w:t xml:space="preserve"> Global Information Assurance Certification (GIAC). </w:t>
      </w:r>
      <w:hyperlink r:id="rId78" w:history="1">
        <w:r>
          <w:rPr>
            <w:rFonts w:ascii="Times New Roman" w:eastAsia="Times New Roman" w:hAnsi="Times New Roman" w:cs="Times New Roman"/>
            <w:color w:val="1155CC"/>
            <w:u w:val="single"/>
          </w:rPr>
          <w:t>https://www.giac.org/paper/gsec/36190/minimizing-damage-jp-morgans-data-breach/143120</w:t>
        </w:r>
      </w:hyperlink>
    </w:p>
    <w:p w14:paraId="4DC91CDA" w14:textId="77777777" w:rsidR="00284E84" w:rsidRDefault="00284E84" w:rsidP="00284E84">
      <w:pPr>
        <w:spacing w:line="480" w:lineRule="auto"/>
        <w:ind w:left="720" w:hanging="720"/>
      </w:pPr>
      <w:r>
        <w:rPr>
          <w:rFonts w:ascii="Times New Roman" w:eastAsia="Times New Roman" w:hAnsi="Times New Roman" w:cs="Times New Roman"/>
        </w:rPr>
        <w:t xml:space="preserve">Kirin, I. (2017). </w:t>
      </w:r>
      <w:r>
        <w:rPr>
          <w:rFonts w:ascii="Times New Roman" w:eastAsia="Times New Roman" w:hAnsi="Times New Roman" w:cs="Times New Roman"/>
          <w:i/>
          <w:iCs/>
        </w:rPr>
        <w:t>Shadow IT: Data protection and cloud security.</w:t>
      </w:r>
      <w:r>
        <w:rPr>
          <w:rFonts w:ascii="Times New Roman" w:eastAsia="Times New Roman" w:hAnsi="Times New Roman" w:cs="Times New Roman"/>
        </w:rPr>
        <w:t xml:space="preserve"> Zagreb School of Economics and Management. </w:t>
      </w:r>
      <w:hyperlink r:id="rId79" w:history="1">
        <w:r>
          <w:rPr>
            <w:rFonts w:ascii="Times New Roman" w:eastAsia="Times New Roman" w:hAnsi="Times New Roman" w:cs="Times New Roman"/>
            <w:color w:val="1155CC"/>
            <w:u w:val="single"/>
          </w:rPr>
          <w:t>https://papers.ssrn.com/sol3/papers.cfm?abstract_id=3020880</w:t>
        </w:r>
      </w:hyperlink>
    </w:p>
    <w:p w14:paraId="3764B54E"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Klepper, D. (2025, October 22). </w:t>
      </w:r>
      <w:r>
        <w:rPr>
          <w:rFonts w:ascii="Times New Roman" w:eastAsia="Times New Roman" w:hAnsi="Times New Roman" w:cs="Times New Roman"/>
          <w:i/>
          <w:iCs/>
        </w:rPr>
        <w:t>North Korea has stolen billions in cryptocurrency and tech firm salaries, report says.</w:t>
      </w:r>
      <w:r>
        <w:rPr>
          <w:rFonts w:ascii="Times New Roman" w:eastAsia="Times New Roman" w:hAnsi="Times New Roman" w:cs="Times New Roman"/>
        </w:rPr>
        <w:t xml:space="preserve"> Associated Press. </w:t>
      </w:r>
      <w:hyperlink r:id="rId80" w:history="1">
        <w:r w:rsidR="00857326">
          <w:rPr>
            <w:rFonts w:ascii="Times New Roman" w:eastAsia="Times New Roman" w:hAnsi="Times New Roman" w:cs="Times New Roman"/>
            <w:color w:val="1155CC"/>
            <w:u w:val="single"/>
          </w:rPr>
          <w:t>https://apnews.com/article/north-korea-cyber-nuclear-russia-un-sanctions-28b6681541a62d809c52e0f2625febc9</w:t>
        </w:r>
      </w:hyperlink>
    </w:p>
    <w:p w14:paraId="2D8C5092" w14:textId="77777777" w:rsidR="00284E84" w:rsidRDefault="00284E84" w:rsidP="00284E84">
      <w:pPr>
        <w:spacing w:line="480" w:lineRule="auto"/>
        <w:ind w:left="720" w:hanging="720"/>
      </w:pPr>
      <w:r>
        <w:rPr>
          <w:rFonts w:ascii="Times New Roman" w:eastAsia="Times New Roman" w:hAnsi="Times New Roman" w:cs="Times New Roman"/>
        </w:rPr>
        <w:t xml:space="preserve">Komal, A., &amp; Madan, V. (2023). Cloud migration and security: A comprehensive analysis. </w:t>
      </w:r>
      <w:r>
        <w:rPr>
          <w:rFonts w:ascii="Times New Roman" w:eastAsia="Times New Roman" w:hAnsi="Times New Roman" w:cs="Times New Roman"/>
          <w:i/>
          <w:iCs/>
        </w:rPr>
        <w:t>International Journal of Cloud Computing, 4</w:t>
      </w:r>
      <w:r>
        <w:rPr>
          <w:rFonts w:ascii="Times New Roman" w:eastAsia="Times New Roman" w:hAnsi="Times New Roman" w:cs="Times New Roman"/>
        </w:rPr>
        <w:t xml:space="preserve">(1). </w:t>
      </w:r>
      <w:hyperlink r:id="rId81" w:history="1">
        <w:r>
          <w:rPr>
            <w:rFonts w:ascii="Times New Roman" w:eastAsia="Times New Roman" w:hAnsi="Times New Roman" w:cs="Times New Roman"/>
            <w:color w:val="1155CC"/>
            <w:u w:val="single"/>
          </w:rPr>
          <w:t>https://www.researchgate.net/publication/386573360_Cloud_Migration_and_Security_A_Comprehensive_Analysis</w:t>
        </w:r>
      </w:hyperlink>
    </w:p>
    <w:p w14:paraId="7AFBC5B4" w14:textId="77777777" w:rsidR="00284E84" w:rsidRDefault="00284E84" w:rsidP="00284E84">
      <w:pPr>
        <w:spacing w:line="480" w:lineRule="auto"/>
        <w:ind w:left="720" w:hanging="720"/>
      </w:pPr>
      <w:r>
        <w:rPr>
          <w:rFonts w:ascii="Times New Roman" w:eastAsia="Times New Roman" w:hAnsi="Times New Roman" w:cs="Times New Roman"/>
        </w:rPr>
        <w:t xml:space="preserve">Krebs, B. (2019). </w:t>
      </w:r>
      <w:r>
        <w:rPr>
          <w:rFonts w:ascii="Times New Roman" w:eastAsia="Times New Roman" w:hAnsi="Times New Roman" w:cs="Times New Roman"/>
          <w:i/>
          <w:iCs/>
        </w:rPr>
        <w:t>First American Financial Corp. leaked hundreds of millions of title insurance records.</w:t>
      </w:r>
      <w:r>
        <w:rPr>
          <w:rFonts w:ascii="Times New Roman" w:eastAsia="Times New Roman" w:hAnsi="Times New Roman" w:cs="Times New Roman"/>
        </w:rPr>
        <w:t xml:space="preserve"> Krebs on Security. </w:t>
      </w:r>
      <w:hyperlink r:id="rId82" w:history="1">
        <w:r>
          <w:rPr>
            <w:rFonts w:ascii="Times New Roman" w:eastAsia="Times New Roman" w:hAnsi="Times New Roman" w:cs="Times New Roman"/>
            <w:color w:val="1155CC"/>
            <w:u w:val="single"/>
          </w:rPr>
          <w:t>https://krebsonsecurity.com/2019/05/first-american-financial-corp-leaked-hundreds-of-millions-of-title-insurance-records/</w:t>
        </w:r>
      </w:hyperlink>
    </w:p>
    <w:p w14:paraId="27DC9456"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Lab1. (2025). </w:t>
      </w:r>
      <w:r>
        <w:rPr>
          <w:rFonts w:ascii="Times New Roman" w:eastAsia="Times New Roman" w:hAnsi="Times New Roman" w:cs="Times New Roman"/>
          <w:i/>
          <w:iCs/>
        </w:rPr>
        <w:t>Anatomy of a breach report.</w:t>
      </w:r>
      <w:r>
        <w:rPr>
          <w:rFonts w:ascii="Times New Roman" w:eastAsia="Times New Roman" w:hAnsi="Times New Roman" w:cs="Times New Roman"/>
        </w:rPr>
        <w:t xml:space="preserve"> Lab 1, Inc. </w:t>
      </w:r>
      <w:hyperlink r:id="rId83" w:history="1">
        <w:r>
          <w:rPr>
            <w:rFonts w:ascii="Times New Roman" w:eastAsia="Times New Roman" w:hAnsi="Times New Roman" w:cs="Times New Roman"/>
            <w:color w:val="1155CC"/>
            <w:u w:val="single"/>
          </w:rPr>
          <w:t>https://lab-1.com/anatomy</w:t>
        </w:r>
      </w:hyperlink>
    </w:p>
    <w:p w14:paraId="54336A27" w14:textId="77777777" w:rsidR="00284E84" w:rsidRDefault="00284E84" w:rsidP="00284E84">
      <w:pPr>
        <w:spacing w:line="480" w:lineRule="auto"/>
        <w:ind w:left="720" w:hanging="720"/>
      </w:pPr>
      <w:r>
        <w:rPr>
          <w:rFonts w:ascii="Times New Roman" w:eastAsia="Times New Roman" w:hAnsi="Times New Roman" w:cs="Times New Roman"/>
        </w:rPr>
        <w:t xml:space="preserve">Mandiant. (2025). </w:t>
      </w:r>
      <w:r>
        <w:rPr>
          <w:rFonts w:ascii="Times New Roman" w:eastAsia="Times New Roman" w:hAnsi="Times New Roman" w:cs="Times New Roman"/>
          <w:i/>
          <w:iCs/>
        </w:rPr>
        <w:t>M-Trends 2025 report.</w:t>
      </w:r>
      <w:r>
        <w:rPr>
          <w:rFonts w:ascii="Times New Roman" w:eastAsia="Times New Roman" w:hAnsi="Times New Roman" w:cs="Times New Roman"/>
        </w:rPr>
        <w:t xml:space="preserve"> Mandiant, Google Cloud. </w:t>
      </w:r>
      <w:hyperlink r:id="rId84" w:history="1">
        <w:r>
          <w:rPr>
            <w:rFonts w:ascii="Times New Roman" w:eastAsia="Times New Roman" w:hAnsi="Times New Roman" w:cs="Times New Roman"/>
            <w:color w:val="1155CC"/>
            <w:u w:val="single"/>
          </w:rPr>
          <w:t>https://services.google.com/fh/files/misc/m-trends-2025-en.pdf</w:t>
        </w:r>
      </w:hyperlink>
    </w:p>
    <w:p w14:paraId="537C3BE0" w14:textId="77777777" w:rsidR="00284E84" w:rsidRDefault="00284E84" w:rsidP="00284E84">
      <w:pPr>
        <w:spacing w:line="480" w:lineRule="auto"/>
        <w:ind w:left="720" w:hanging="720"/>
      </w:pPr>
      <w:r>
        <w:rPr>
          <w:rFonts w:ascii="Times New Roman" w:eastAsia="Times New Roman" w:hAnsi="Times New Roman" w:cs="Times New Roman"/>
        </w:rPr>
        <w:t xml:space="preserve">McCallister, E., Grance, T., &amp; Scarfone, K. (2010). </w:t>
      </w:r>
      <w:r>
        <w:rPr>
          <w:rFonts w:ascii="Times New Roman" w:eastAsia="Times New Roman" w:hAnsi="Times New Roman" w:cs="Times New Roman"/>
          <w:i/>
          <w:iCs/>
        </w:rPr>
        <w:t>Guide to protecting the confidentiality of personally identifiable information (PII)</w:t>
      </w:r>
      <w:r>
        <w:rPr>
          <w:rFonts w:ascii="Times New Roman" w:eastAsia="Times New Roman" w:hAnsi="Times New Roman" w:cs="Times New Roman"/>
        </w:rPr>
        <w:t xml:space="preserve"> (NIST Special Publication 800-122). National Institute of Standards and Technology. </w:t>
      </w:r>
      <w:hyperlink r:id="rId85" w:history="1">
        <w:r>
          <w:rPr>
            <w:rFonts w:ascii="Times New Roman" w:eastAsia="Times New Roman" w:hAnsi="Times New Roman" w:cs="Times New Roman"/>
            <w:color w:val="1155CC"/>
            <w:u w:val="single"/>
          </w:rPr>
          <w:t>https://doi.org/10.6028/NIST.SP.800-122</w:t>
        </w:r>
      </w:hyperlink>
    </w:p>
    <w:p w14:paraId="6011D4D1" w14:textId="77777777" w:rsidR="00284E84" w:rsidRDefault="00284E84" w:rsidP="00284E84">
      <w:pPr>
        <w:spacing w:line="480" w:lineRule="auto"/>
        <w:ind w:left="720" w:hanging="720"/>
      </w:pPr>
      <w:r>
        <w:rPr>
          <w:rFonts w:ascii="Times New Roman" w:eastAsia="Times New Roman" w:hAnsi="Times New Roman" w:cs="Times New Roman"/>
        </w:rPr>
        <w:t xml:space="preserve">McDonald, G. (2025). </w:t>
      </w:r>
      <w:r>
        <w:rPr>
          <w:rFonts w:ascii="Times New Roman" w:eastAsia="Times New Roman" w:hAnsi="Times New Roman" w:cs="Times New Roman"/>
          <w:i/>
          <w:iCs/>
        </w:rPr>
        <w:t>Security operations center roles and responsibilities.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Trellix</w:t>
      </w:r>
      <w:proofErr w:type="spellEnd"/>
      <w:r>
        <w:rPr>
          <w:rFonts w:ascii="Times New Roman" w:eastAsia="Times New Roman" w:hAnsi="Times New Roman" w:cs="Times New Roman"/>
        </w:rPr>
        <w:t xml:space="preserve">, Inc. </w:t>
      </w:r>
      <w:hyperlink r:id="rId86" w:history="1">
        <w:r>
          <w:rPr>
            <w:rFonts w:ascii="Times New Roman" w:eastAsia="Times New Roman" w:hAnsi="Times New Roman" w:cs="Times New Roman"/>
            <w:color w:val="1155CC"/>
            <w:u w:val="single"/>
          </w:rPr>
          <w:t>https://www.trellix.com/security-awareness/operations/what-is-soc/</w:t>
        </w:r>
      </w:hyperlink>
    </w:p>
    <w:p w14:paraId="271E4AF7" w14:textId="77777777" w:rsidR="00284E84" w:rsidRDefault="00284E84" w:rsidP="00284E84">
      <w:pPr>
        <w:spacing w:line="480" w:lineRule="auto"/>
        <w:ind w:left="720" w:hanging="720"/>
      </w:pPr>
      <w:r>
        <w:rPr>
          <w:rFonts w:ascii="Times New Roman" w:eastAsia="Times New Roman" w:hAnsi="Times New Roman" w:cs="Times New Roman"/>
        </w:rPr>
        <w:t xml:space="preserve">McGlasson, L. (2010). </w:t>
      </w:r>
      <w:r>
        <w:rPr>
          <w:rFonts w:ascii="Times New Roman" w:eastAsia="Times New Roman" w:hAnsi="Times New Roman" w:cs="Times New Roman"/>
          <w:i/>
          <w:iCs/>
        </w:rPr>
        <w:t>Heartland, Discover settle for $5 million.</w:t>
      </w:r>
      <w:r>
        <w:rPr>
          <w:rFonts w:ascii="Times New Roman" w:eastAsia="Times New Roman" w:hAnsi="Times New Roman" w:cs="Times New Roman"/>
        </w:rPr>
        <w:t xml:space="preserve"> Bank Info Security. </w:t>
      </w:r>
      <w:hyperlink r:id="rId87" w:history="1">
        <w:r>
          <w:rPr>
            <w:rFonts w:ascii="Times New Roman" w:eastAsia="Times New Roman" w:hAnsi="Times New Roman" w:cs="Times New Roman"/>
            <w:color w:val="1155CC"/>
            <w:u w:val="single"/>
          </w:rPr>
          <w:t>https://www.bankinfosecurity.com/heartland-discover-settle-for-5-million-a-2598</w:t>
        </w:r>
      </w:hyperlink>
    </w:p>
    <w:p w14:paraId="502EB4EE" w14:textId="77777777" w:rsidR="00284E84" w:rsidRDefault="00284E84" w:rsidP="00284E84">
      <w:pPr>
        <w:spacing w:line="480" w:lineRule="auto"/>
        <w:ind w:left="720" w:hanging="720"/>
      </w:pPr>
      <w:r>
        <w:rPr>
          <w:rFonts w:ascii="Times New Roman" w:eastAsia="Times New Roman" w:hAnsi="Times New Roman" w:cs="Times New Roman"/>
        </w:rPr>
        <w:t xml:space="preserve">McIntosh, T., </w:t>
      </w:r>
      <w:proofErr w:type="spellStart"/>
      <w:r>
        <w:rPr>
          <w:rFonts w:ascii="Times New Roman" w:eastAsia="Times New Roman" w:hAnsi="Times New Roman" w:cs="Times New Roman"/>
        </w:rPr>
        <w:t>Susnjak</w:t>
      </w:r>
      <w:proofErr w:type="spellEnd"/>
      <w:r>
        <w:rPr>
          <w:rFonts w:ascii="Times New Roman" w:eastAsia="Times New Roman" w:hAnsi="Times New Roman" w:cs="Times New Roman"/>
        </w:rPr>
        <w:t xml:space="preserve">, T., Liu, T., Xu, D., Watters, P., Liu, D., Hao, Y., Ng, A., &amp; </w:t>
      </w:r>
      <w:proofErr w:type="spellStart"/>
      <w:r>
        <w:rPr>
          <w:rFonts w:ascii="Times New Roman" w:eastAsia="Times New Roman" w:hAnsi="Times New Roman" w:cs="Times New Roman"/>
        </w:rPr>
        <w:t>Halgamuge</w:t>
      </w:r>
      <w:proofErr w:type="spellEnd"/>
      <w:r>
        <w:rPr>
          <w:rFonts w:ascii="Times New Roman" w:eastAsia="Times New Roman" w:hAnsi="Times New Roman" w:cs="Times New Roman"/>
        </w:rPr>
        <w:t xml:space="preserve">, M. (2024). Ransomware reloaded: Re-examining its trend, research and mitigation in the era of data exfiltration. </w:t>
      </w:r>
      <w:r>
        <w:rPr>
          <w:rFonts w:ascii="Times New Roman" w:eastAsia="Times New Roman" w:hAnsi="Times New Roman" w:cs="Times New Roman"/>
          <w:i/>
          <w:iCs/>
        </w:rPr>
        <w:t>ACM Computing Surveys, 57</w:t>
      </w:r>
      <w:r>
        <w:rPr>
          <w:rFonts w:ascii="Times New Roman" w:eastAsia="Times New Roman" w:hAnsi="Times New Roman" w:cs="Times New Roman"/>
        </w:rPr>
        <w:t xml:space="preserve">(1), Article 18. </w:t>
      </w:r>
      <w:hyperlink r:id="rId88" w:history="1">
        <w:r>
          <w:rPr>
            <w:rFonts w:ascii="Times New Roman" w:eastAsia="Times New Roman" w:hAnsi="Times New Roman" w:cs="Times New Roman"/>
            <w:color w:val="1155CC"/>
            <w:u w:val="single"/>
          </w:rPr>
          <w:t>https://doi.org/10.1145/3691340</w:t>
        </w:r>
      </w:hyperlink>
    </w:p>
    <w:p w14:paraId="2ADFE814" w14:textId="77777777" w:rsidR="00284E84" w:rsidRDefault="00284E84" w:rsidP="00284E84">
      <w:pPr>
        <w:spacing w:line="480" w:lineRule="auto"/>
        <w:ind w:left="720" w:hanging="720"/>
      </w:pPr>
      <w:r>
        <w:rPr>
          <w:rFonts w:ascii="Times New Roman" w:eastAsia="Times New Roman" w:hAnsi="Times New Roman" w:cs="Times New Roman"/>
        </w:rPr>
        <w:t xml:space="preserve">Merkel, D. (2014). Docker: Lightweight Linux containers for consistent development and deployment. </w:t>
      </w:r>
      <w:r>
        <w:rPr>
          <w:rFonts w:ascii="Times New Roman" w:eastAsia="Times New Roman" w:hAnsi="Times New Roman" w:cs="Times New Roman"/>
          <w:i/>
          <w:iCs/>
        </w:rPr>
        <w:t>Linux Journal, 2014</w:t>
      </w:r>
      <w:r>
        <w:rPr>
          <w:rFonts w:ascii="Times New Roman" w:eastAsia="Times New Roman" w:hAnsi="Times New Roman" w:cs="Times New Roman"/>
        </w:rPr>
        <w:t xml:space="preserve">(239), Article 2. </w:t>
      </w:r>
      <w:hyperlink r:id="rId89" w:history="1">
        <w:r>
          <w:rPr>
            <w:rFonts w:ascii="Times New Roman" w:eastAsia="Times New Roman" w:hAnsi="Times New Roman" w:cs="Times New Roman"/>
            <w:color w:val="1155CC"/>
            <w:u w:val="single"/>
          </w:rPr>
          <w:t>https://dl.acm.org/doi/10.5555/2600239.2600241</w:t>
        </w:r>
      </w:hyperlink>
    </w:p>
    <w:p w14:paraId="6AD70408" w14:textId="77777777" w:rsidR="00284E84" w:rsidRDefault="00284E84" w:rsidP="00284E84">
      <w:pPr>
        <w:spacing w:line="480" w:lineRule="auto"/>
        <w:ind w:left="720" w:hanging="720"/>
      </w:pPr>
      <w:r>
        <w:rPr>
          <w:rFonts w:ascii="Times New Roman" w:eastAsia="Times New Roman" w:hAnsi="Times New Roman" w:cs="Times New Roman"/>
        </w:rPr>
        <w:t xml:space="preserve">Meurs, T., Junger, M., Tews, E., &amp; Abhishta, A. (2022). Ransomware: How attacker's effort, victim characteristics and context influence ransom requested, payment and financial loss. In </w:t>
      </w:r>
      <w:r>
        <w:rPr>
          <w:rFonts w:ascii="Times New Roman" w:eastAsia="Times New Roman" w:hAnsi="Times New Roman" w:cs="Times New Roman"/>
          <w:i/>
          <w:iCs/>
        </w:rPr>
        <w:t>17th APWG Symposium on Electronic Crime Research (</w:t>
      </w:r>
      <w:proofErr w:type="spellStart"/>
      <w:r>
        <w:rPr>
          <w:rFonts w:ascii="Times New Roman" w:eastAsia="Times New Roman" w:hAnsi="Times New Roman" w:cs="Times New Roman"/>
          <w:i/>
          <w:iCs/>
        </w:rPr>
        <w:t>eCrime</w:t>
      </w:r>
      <w:proofErr w:type="spellEnd"/>
      <w:r>
        <w:rPr>
          <w:rFonts w:ascii="Times New Roman" w:eastAsia="Times New Roman" w:hAnsi="Times New Roman" w:cs="Times New Roman"/>
          <w:i/>
          <w:iCs/>
        </w:rPr>
        <w:t xml:space="preserve"> 2022)</w:t>
      </w:r>
      <w:r>
        <w:rPr>
          <w:rFonts w:ascii="Times New Roman" w:eastAsia="Times New Roman" w:hAnsi="Times New Roman" w:cs="Times New Roman"/>
        </w:rPr>
        <w:t xml:space="preserve"> (pp. 1–13). IEEE. </w:t>
      </w:r>
      <w:hyperlink r:id="rId90" w:history="1">
        <w:r>
          <w:rPr>
            <w:rFonts w:ascii="Times New Roman" w:eastAsia="Times New Roman" w:hAnsi="Times New Roman" w:cs="Times New Roman"/>
            <w:color w:val="1155CC"/>
            <w:u w:val="single"/>
          </w:rPr>
          <w:t>https://doi.org/10.1109/eCrime57793.2022.10142138</w:t>
        </w:r>
      </w:hyperlink>
    </w:p>
    <w:p w14:paraId="55C28CA8"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Microsoft Corporation. (n.d.). </w:t>
      </w:r>
      <w:r>
        <w:rPr>
          <w:rFonts w:ascii="Times New Roman" w:eastAsia="Times New Roman" w:hAnsi="Times New Roman" w:cs="Times New Roman"/>
          <w:i/>
          <w:iCs/>
        </w:rPr>
        <w:t>What is a SOC?</w:t>
      </w:r>
      <w:r>
        <w:rPr>
          <w:rFonts w:ascii="Times New Roman" w:eastAsia="Times New Roman" w:hAnsi="Times New Roman" w:cs="Times New Roman"/>
        </w:rPr>
        <w:t xml:space="preserve"> Microsoft Security. Retrieved June 20, 2026. </w:t>
      </w:r>
      <w:hyperlink r:id="rId91" w:history="1">
        <w:r>
          <w:rPr>
            <w:rFonts w:ascii="Times New Roman" w:eastAsia="Times New Roman" w:hAnsi="Times New Roman" w:cs="Times New Roman"/>
            <w:color w:val="1155CC"/>
            <w:u w:val="single"/>
          </w:rPr>
          <w:t>https://www.microsoft.com/en-us/security/business/security-101/what-is-a-security-operations-center-soc</w:t>
        </w:r>
      </w:hyperlink>
    </w:p>
    <w:p w14:paraId="239AFCA6" w14:textId="77777777" w:rsidR="00857326" w:rsidRDefault="00000000">
      <w:pPr>
        <w:spacing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rPr>
        <w:t>Miloslavskaya</w:t>
      </w:r>
      <w:proofErr w:type="spellEnd"/>
      <w:r>
        <w:rPr>
          <w:rFonts w:ascii="Times New Roman" w:eastAsia="Times New Roman" w:hAnsi="Times New Roman" w:cs="Times New Roman"/>
        </w:rPr>
        <w:t xml:space="preserve">, N. G. (2018). Analysis of SIEM systems and their usage in security operations and security intelligence centers. In A. V. </w:t>
      </w:r>
      <w:proofErr w:type="spellStart"/>
      <w:r>
        <w:rPr>
          <w:rFonts w:ascii="Times New Roman" w:eastAsia="Times New Roman" w:hAnsi="Times New Roman" w:cs="Times New Roman"/>
        </w:rPr>
        <w:t>Samsonovich</w:t>
      </w:r>
      <w:proofErr w:type="spellEnd"/>
      <w:r>
        <w:rPr>
          <w:rFonts w:ascii="Times New Roman" w:eastAsia="Times New Roman" w:hAnsi="Times New Roman" w:cs="Times New Roman"/>
        </w:rPr>
        <w:t xml:space="preserve"> &amp; V. V. Klimov (Eds.), </w:t>
      </w:r>
      <w:r>
        <w:rPr>
          <w:rFonts w:ascii="Times New Roman" w:eastAsia="Times New Roman" w:hAnsi="Times New Roman" w:cs="Times New Roman"/>
          <w:i/>
          <w:iCs/>
        </w:rPr>
        <w:t>Biologically inspired cognitive architectures (BICA) for young scientists</w:t>
      </w:r>
      <w:r>
        <w:rPr>
          <w:rFonts w:ascii="Times New Roman" w:eastAsia="Times New Roman" w:hAnsi="Times New Roman" w:cs="Times New Roman"/>
        </w:rPr>
        <w:t xml:space="preserve"> (Advances in Intelligent Systems and Computing, Vol. 636, pp. 282–288). Springer. </w:t>
      </w:r>
      <w:hyperlink r:id="rId92" w:history="1">
        <w:r w:rsidR="00857326">
          <w:rPr>
            <w:rFonts w:ascii="Times New Roman" w:eastAsia="Times New Roman" w:hAnsi="Times New Roman" w:cs="Times New Roman"/>
            <w:color w:val="1155CC"/>
            <w:u w:val="single"/>
          </w:rPr>
          <w:t>https://www.researchgate.net/publication/318708872_Analysis_of_SIEM_Systems_and_Their_Usage_in_Security_Operations_and_Security_Intelligence_Centers</w:t>
        </w:r>
      </w:hyperlink>
    </w:p>
    <w:p w14:paraId="0BDB2A33" w14:textId="77777777" w:rsidR="00284E84" w:rsidRDefault="00284E84" w:rsidP="00284E84">
      <w:pPr>
        <w:spacing w:line="480" w:lineRule="auto"/>
        <w:ind w:left="720" w:hanging="720"/>
      </w:pPr>
      <w:r>
        <w:rPr>
          <w:rFonts w:ascii="Times New Roman" w:eastAsia="Times New Roman" w:hAnsi="Times New Roman" w:cs="Times New Roman"/>
        </w:rPr>
        <w:t xml:space="preserve">MITRE Corporation. (2026). </w:t>
      </w:r>
      <w:r>
        <w:rPr>
          <w:rFonts w:ascii="Times New Roman" w:eastAsia="Times New Roman" w:hAnsi="Times New Roman" w:cs="Times New Roman"/>
          <w:i/>
          <w:iCs/>
        </w:rPr>
        <w:t>MITRE ATT&amp;CK.</w:t>
      </w:r>
      <w:r>
        <w:rPr>
          <w:rFonts w:ascii="Times New Roman" w:eastAsia="Times New Roman" w:hAnsi="Times New Roman" w:cs="Times New Roman"/>
        </w:rPr>
        <w:t xml:space="preserve"> </w:t>
      </w:r>
      <w:hyperlink r:id="rId93" w:history="1">
        <w:r>
          <w:rPr>
            <w:rFonts w:ascii="Times New Roman" w:eastAsia="Times New Roman" w:hAnsi="Times New Roman" w:cs="Times New Roman"/>
            <w:color w:val="1155CC"/>
            <w:u w:val="single"/>
          </w:rPr>
          <w:t>https://attack.mitre.org/</w:t>
        </w:r>
      </w:hyperlink>
    </w:p>
    <w:p w14:paraId="71EE9B59" w14:textId="77777777" w:rsidR="00284E84" w:rsidRDefault="00284E84" w:rsidP="00284E84">
      <w:pPr>
        <w:spacing w:line="480" w:lineRule="auto"/>
        <w:ind w:left="720" w:hanging="720"/>
      </w:pPr>
      <w:r>
        <w:rPr>
          <w:rFonts w:ascii="Times New Roman" w:eastAsia="Times New Roman" w:hAnsi="Times New Roman" w:cs="Times New Roman"/>
        </w:rPr>
        <w:t xml:space="preserve">Morgan, S. (2025). </w:t>
      </w:r>
      <w:r>
        <w:rPr>
          <w:rFonts w:ascii="Times New Roman" w:eastAsia="Times New Roman" w:hAnsi="Times New Roman" w:cs="Times New Roman"/>
          <w:i/>
          <w:iCs/>
        </w:rPr>
        <w:t>The world will store 200 zettabytes of data by 2025.</w:t>
      </w:r>
      <w:r>
        <w:rPr>
          <w:rFonts w:ascii="Times New Roman" w:eastAsia="Times New Roman" w:hAnsi="Times New Roman" w:cs="Times New Roman"/>
        </w:rPr>
        <w:t xml:space="preserve"> Cybercrime Magazine. </w:t>
      </w:r>
      <w:hyperlink r:id="rId94" w:history="1">
        <w:r>
          <w:rPr>
            <w:rFonts w:ascii="Times New Roman" w:eastAsia="Times New Roman" w:hAnsi="Times New Roman" w:cs="Times New Roman"/>
            <w:color w:val="1155CC"/>
            <w:u w:val="single"/>
          </w:rPr>
          <w:t>https://cybersecurityventures.com/the-world-will-store-200-zettabytes-of-data-by-2025/</w:t>
        </w:r>
      </w:hyperlink>
    </w:p>
    <w:p w14:paraId="69CAA7B4" w14:textId="77777777" w:rsidR="00284E84" w:rsidRDefault="00284E84" w:rsidP="00284E84">
      <w:pPr>
        <w:spacing w:line="480" w:lineRule="auto"/>
        <w:ind w:left="720" w:hanging="720"/>
      </w:pPr>
      <w:r>
        <w:rPr>
          <w:rFonts w:ascii="Times New Roman" w:eastAsia="Times New Roman" w:hAnsi="Times New Roman" w:cs="Times New Roman"/>
        </w:rPr>
        <w:t xml:space="preserve">Nagaraj, K. (2023). </w:t>
      </w:r>
      <w:r>
        <w:rPr>
          <w:rFonts w:ascii="Times New Roman" w:eastAsia="Times New Roman" w:hAnsi="Times New Roman" w:cs="Times New Roman"/>
          <w:i/>
          <w:iCs/>
        </w:rPr>
        <w:t>User and Entity Behavior Analytics (UEBA): Enhancing cybersecurity through advanced insights.</w:t>
      </w:r>
      <w:r>
        <w:rPr>
          <w:rFonts w:ascii="Times New Roman" w:eastAsia="Times New Roman" w:hAnsi="Times New Roman" w:cs="Times New Roman"/>
        </w:rPr>
        <w:t xml:space="preserve"> Medium. </w:t>
      </w:r>
      <w:hyperlink r:id="rId95" w:history="1">
        <w:r>
          <w:rPr>
            <w:rFonts w:ascii="Times New Roman" w:eastAsia="Times New Roman" w:hAnsi="Times New Roman" w:cs="Times New Roman"/>
            <w:color w:val="1155CC"/>
            <w:u w:val="single"/>
          </w:rPr>
          <w:t>https://medium.com/infosecmatrix/user-and-entity-behavior-analytics-ueba-enhancing-cybersecurity-through-advanced-insights-70c0ccd03f35</w:t>
        </w:r>
      </w:hyperlink>
    </w:p>
    <w:p w14:paraId="1E90A6B1" w14:textId="77777777" w:rsidR="00284E84" w:rsidRDefault="00284E84" w:rsidP="00284E84">
      <w:pPr>
        <w:spacing w:line="480" w:lineRule="auto"/>
        <w:ind w:left="720" w:hanging="720"/>
      </w:pPr>
      <w:r>
        <w:rPr>
          <w:rFonts w:ascii="Times New Roman" w:eastAsia="Times New Roman" w:hAnsi="Times New Roman" w:cs="Times New Roman"/>
        </w:rPr>
        <w:t xml:space="preserve">National Institute of Standards and Technology. (2012). </w:t>
      </w:r>
      <w:r>
        <w:rPr>
          <w:rFonts w:ascii="Times New Roman" w:eastAsia="Times New Roman" w:hAnsi="Times New Roman" w:cs="Times New Roman"/>
          <w:i/>
          <w:iCs/>
        </w:rPr>
        <w:t>Guide for conducting risk assessments</w:t>
      </w:r>
      <w:r>
        <w:rPr>
          <w:rFonts w:ascii="Times New Roman" w:eastAsia="Times New Roman" w:hAnsi="Times New Roman" w:cs="Times New Roman"/>
        </w:rPr>
        <w:t xml:space="preserve"> (NIST Special Publication 800-30, Rev. 1). U.S. Department of Commerce. </w:t>
      </w:r>
      <w:hyperlink r:id="rId96" w:history="1">
        <w:r>
          <w:rPr>
            <w:rFonts w:ascii="Times New Roman" w:eastAsia="Times New Roman" w:hAnsi="Times New Roman" w:cs="Times New Roman"/>
            <w:color w:val="1155CC"/>
            <w:u w:val="single"/>
          </w:rPr>
          <w:t>https://doi.org/10.6028/NIST.SP.800-30r1</w:t>
        </w:r>
      </w:hyperlink>
    </w:p>
    <w:p w14:paraId="2E57A945" w14:textId="77777777" w:rsidR="00284E84" w:rsidRDefault="00284E84" w:rsidP="00284E84">
      <w:pPr>
        <w:spacing w:line="480" w:lineRule="auto"/>
        <w:ind w:left="720" w:hanging="720"/>
      </w:pPr>
      <w:r>
        <w:rPr>
          <w:rFonts w:ascii="Times New Roman" w:eastAsia="Times New Roman" w:hAnsi="Times New Roman" w:cs="Times New Roman"/>
        </w:rPr>
        <w:t xml:space="preserve">Office of the Privacy Commissioner of Canada. (2020). </w:t>
      </w:r>
      <w:r>
        <w:rPr>
          <w:rFonts w:ascii="Times New Roman" w:eastAsia="Times New Roman" w:hAnsi="Times New Roman" w:cs="Times New Roman"/>
          <w:i/>
          <w:iCs/>
        </w:rPr>
        <w:t xml:space="preserve">Investigation into Desjardins' compliance with PIPEDA following a breach of personal information between 2017 and </w:t>
      </w:r>
      <w:r>
        <w:rPr>
          <w:rFonts w:ascii="Times New Roman" w:eastAsia="Times New Roman" w:hAnsi="Times New Roman" w:cs="Times New Roman"/>
          <w:i/>
          <w:iCs/>
        </w:rPr>
        <w:lastRenderedPageBreak/>
        <w:t>2019.</w:t>
      </w:r>
      <w:r>
        <w:rPr>
          <w:rFonts w:ascii="Times New Roman" w:eastAsia="Times New Roman" w:hAnsi="Times New Roman" w:cs="Times New Roman"/>
        </w:rPr>
        <w:t xml:space="preserve"> </w:t>
      </w:r>
      <w:hyperlink r:id="rId97" w:history="1">
        <w:r>
          <w:rPr>
            <w:rFonts w:ascii="Times New Roman" w:eastAsia="Times New Roman" w:hAnsi="Times New Roman" w:cs="Times New Roman"/>
            <w:color w:val="1155CC"/>
            <w:u w:val="single"/>
          </w:rPr>
          <w:t>https://www.priv.gc.ca/en/opc-actions-and-decisions/investigations/investigations-into-businesses/2020/pipeda-2020-005/</w:t>
        </w:r>
      </w:hyperlink>
    </w:p>
    <w:p w14:paraId="74059527" w14:textId="77777777" w:rsidR="00284E84" w:rsidRDefault="00284E84" w:rsidP="00284E84">
      <w:pPr>
        <w:spacing w:line="480" w:lineRule="auto"/>
        <w:ind w:left="720" w:hanging="720"/>
      </w:pPr>
      <w:r>
        <w:rPr>
          <w:rFonts w:ascii="Times New Roman" w:eastAsia="Times New Roman" w:hAnsi="Times New Roman" w:cs="Times New Roman"/>
        </w:rPr>
        <w:t xml:space="preserve">Okolie, S. A., Amadi, C. A., </w:t>
      </w:r>
      <w:proofErr w:type="spellStart"/>
      <w:r>
        <w:rPr>
          <w:rFonts w:ascii="Times New Roman" w:eastAsia="Times New Roman" w:hAnsi="Times New Roman" w:cs="Times New Roman"/>
        </w:rPr>
        <w:t>Odii</w:t>
      </w:r>
      <w:proofErr w:type="spellEnd"/>
      <w:r>
        <w:rPr>
          <w:rFonts w:ascii="Times New Roman" w:eastAsia="Times New Roman" w:hAnsi="Times New Roman" w:cs="Times New Roman"/>
        </w:rPr>
        <w:t xml:space="preserve">, et al. (2025). </w:t>
      </w:r>
      <w:r>
        <w:rPr>
          <w:rFonts w:ascii="Times New Roman" w:eastAsia="Times New Roman" w:hAnsi="Times New Roman" w:cs="Times New Roman"/>
          <w:i/>
          <w:iCs/>
        </w:rPr>
        <w:t>Anomaly detection in heterogeneous cybersecurity data.</w:t>
      </w:r>
      <w:r>
        <w:rPr>
          <w:rFonts w:ascii="Times New Roman" w:eastAsia="Times New Roman" w:hAnsi="Times New Roman" w:cs="Times New Roman"/>
        </w:rPr>
        <w:t xml:space="preserve"> ScienceDirect. </w:t>
      </w:r>
      <w:hyperlink r:id="rId98" w:history="1">
        <w:r>
          <w:rPr>
            <w:rFonts w:ascii="Times New Roman" w:eastAsia="Times New Roman" w:hAnsi="Times New Roman" w:cs="Times New Roman"/>
            <w:color w:val="1155CC"/>
            <w:u w:val="single"/>
          </w:rPr>
          <w:t>https://www.sciencedirect.com/science/article/pii/S2773186325002142</w:t>
        </w:r>
      </w:hyperlink>
    </w:p>
    <w:p w14:paraId="1537F840" w14:textId="77777777" w:rsidR="00284E84" w:rsidRDefault="00284E84" w:rsidP="00284E84">
      <w:pPr>
        <w:spacing w:line="480" w:lineRule="auto"/>
        <w:ind w:left="720" w:hanging="720"/>
      </w:pPr>
      <w:proofErr w:type="spellStart"/>
      <w:r>
        <w:rPr>
          <w:rFonts w:ascii="Times New Roman" w:eastAsia="Times New Roman" w:hAnsi="Times New Roman" w:cs="Times New Roman"/>
        </w:rPr>
        <w:t>Osholake</w:t>
      </w:r>
      <w:proofErr w:type="spellEnd"/>
      <w:r>
        <w:rPr>
          <w:rFonts w:ascii="Times New Roman" w:eastAsia="Times New Roman" w:hAnsi="Times New Roman" w:cs="Times New Roman"/>
        </w:rPr>
        <w:t xml:space="preserve">, S., </w:t>
      </w:r>
      <w:proofErr w:type="spellStart"/>
      <w:r>
        <w:rPr>
          <w:rFonts w:ascii="Times New Roman" w:eastAsia="Times New Roman" w:hAnsi="Times New Roman" w:cs="Times New Roman"/>
        </w:rPr>
        <w:t>Umealajekwu</w:t>
      </w:r>
      <w:proofErr w:type="spellEnd"/>
      <w:r>
        <w:rPr>
          <w:rFonts w:ascii="Times New Roman" w:eastAsia="Times New Roman" w:hAnsi="Times New Roman" w:cs="Times New Roman"/>
        </w:rPr>
        <w:t xml:space="preserve">, C., </w:t>
      </w:r>
      <w:proofErr w:type="spellStart"/>
      <w:r>
        <w:rPr>
          <w:rFonts w:ascii="Times New Roman" w:eastAsia="Times New Roman" w:hAnsi="Times New Roman" w:cs="Times New Roman"/>
        </w:rPr>
        <w:t>Edohen</w:t>
      </w:r>
      <w:proofErr w:type="spellEnd"/>
      <w:r>
        <w:rPr>
          <w:rFonts w:ascii="Times New Roman" w:eastAsia="Times New Roman" w:hAnsi="Times New Roman" w:cs="Times New Roman"/>
        </w:rPr>
        <w:t xml:space="preserve">, et al. (2024). Human-AI collaborative security operations: Optimizing SOC analyst cognitive load through augmented intelligence frameworks. </w:t>
      </w:r>
      <w:r>
        <w:rPr>
          <w:rFonts w:ascii="Times New Roman" w:eastAsia="Times New Roman" w:hAnsi="Times New Roman" w:cs="Times New Roman"/>
          <w:i/>
          <w:iCs/>
        </w:rPr>
        <w:t>IRE Journals, 8</w:t>
      </w:r>
      <w:r>
        <w:rPr>
          <w:rFonts w:ascii="Times New Roman" w:eastAsia="Times New Roman" w:hAnsi="Times New Roman" w:cs="Times New Roman"/>
        </w:rPr>
        <w:t xml:space="preserve">(6). </w:t>
      </w:r>
      <w:hyperlink r:id="rId99" w:history="1">
        <w:r>
          <w:rPr>
            <w:rFonts w:ascii="Times New Roman" w:eastAsia="Times New Roman" w:hAnsi="Times New Roman" w:cs="Times New Roman"/>
            <w:color w:val="1155CC"/>
            <w:u w:val="single"/>
          </w:rPr>
          <w:t>https://www.researchgate.net/publication/394123580_Human-AI_Collaborative_Security_Operations_Optimizing_SOC_Analyst_Cognitive_Load_Through_Augmented_Intelligence_Frameworks</w:t>
        </w:r>
      </w:hyperlink>
    </w:p>
    <w:p w14:paraId="1F3B6520" w14:textId="77777777" w:rsidR="00284E84" w:rsidRDefault="00284E84" w:rsidP="00284E84">
      <w:pPr>
        <w:spacing w:line="480" w:lineRule="auto"/>
        <w:ind w:left="720" w:hanging="720"/>
      </w:pPr>
      <w:r>
        <w:rPr>
          <w:rFonts w:ascii="Times New Roman" w:eastAsia="Times New Roman" w:hAnsi="Times New Roman" w:cs="Times New Roman"/>
        </w:rPr>
        <w:t xml:space="preserve">OWASP. (2023). </w:t>
      </w:r>
      <w:r>
        <w:rPr>
          <w:rFonts w:ascii="Times New Roman" w:eastAsia="Times New Roman" w:hAnsi="Times New Roman" w:cs="Times New Roman"/>
          <w:i/>
          <w:iCs/>
        </w:rPr>
        <w:t>API1:2023 Broken object level authorization.</w:t>
      </w:r>
      <w:r>
        <w:rPr>
          <w:rFonts w:ascii="Times New Roman" w:eastAsia="Times New Roman" w:hAnsi="Times New Roman" w:cs="Times New Roman"/>
        </w:rPr>
        <w:t xml:space="preserve"> Open Worldwide Application Security Project. </w:t>
      </w:r>
      <w:hyperlink r:id="rId100" w:history="1">
        <w:r>
          <w:rPr>
            <w:rFonts w:ascii="Times New Roman" w:eastAsia="Times New Roman" w:hAnsi="Times New Roman" w:cs="Times New Roman"/>
            <w:color w:val="1155CC"/>
            <w:u w:val="single"/>
          </w:rPr>
          <w:t>https://owasp.org/API-Security/editions/2023/en/0xa1-broken-object-level-authorization/</w:t>
        </w:r>
      </w:hyperlink>
    </w:p>
    <w:p w14:paraId="44A3471B" w14:textId="77777777" w:rsidR="00284E84" w:rsidRDefault="00284E84" w:rsidP="00284E84">
      <w:pPr>
        <w:spacing w:line="480" w:lineRule="auto"/>
        <w:ind w:left="720" w:hanging="720"/>
      </w:pPr>
      <w:r>
        <w:rPr>
          <w:rFonts w:ascii="Times New Roman" w:eastAsia="Times New Roman" w:hAnsi="Times New Roman" w:cs="Times New Roman"/>
        </w:rPr>
        <w:t xml:space="preserve">Pahl, C., &amp; Jamshidi, P. (2016). Microservices: A systematic mapping study. In </w:t>
      </w:r>
      <w:r>
        <w:rPr>
          <w:rFonts w:ascii="Times New Roman" w:eastAsia="Times New Roman" w:hAnsi="Times New Roman" w:cs="Times New Roman"/>
          <w:i/>
          <w:iCs/>
        </w:rPr>
        <w:t>Proceedings of the 6th International Conference on Cloud Computing and Services Science (CLOSER 2016)</w:t>
      </w:r>
      <w:r>
        <w:rPr>
          <w:rFonts w:ascii="Times New Roman" w:eastAsia="Times New Roman" w:hAnsi="Times New Roman" w:cs="Times New Roman"/>
        </w:rPr>
        <w:t xml:space="preserve"> (pp. 137–146). </w:t>
      </w:r>
      <w:proofErr w:type="spellStart"/>
      <w:r>
        <w:rPr>
          <w:rFonts w:ascii="Times New Roman" w:eastAsia="Times New Roman" w:hAnsi="Times New Roman" w:cs="Times New Roman"/>
        </w:rPr>
        <w:t>SciTePress</w:t>
      </w:r>
      <w:proofErr w:type="spellEnd"/>
      <w:r>
        <w:rPr>
          <w:rFonts w:ascii="Times New Roman" w:eastAsia="Times New Roman" w:hAnsi="Times New Roman" w:cs="Times New Roman"/>
        </w:rPr>
        <w:t xml:space="preserve">. </w:t>
      </w:r>
      <w:hyperlink r:id="rId101" w:history="1">
        <w:r>
          <w:rPr>
            <w:rFonts w:ascii="Times New Roman" w:eastAsia="Times New Roman" w:hAnsi="Times New Roman" w:cs="Times New Roman"/>
            <w:color w:val="1155CC"/>
            <w:u w:val="single"/>
          </w:rPr>
          <w:t>https://doi.org/10.5220/0005785501370146</w:t>
        </w:r>
      </w:hyperlink>
    </w:p>
    <w:p w14:paraId="46EB9F6A" w14:textId="77777777" w:rsidR="00284E84" w:rsidRDefault="00284E84" w:rsidP="00284E84">
      <w:pPr>
        <w:spacing w:line="480" w:lineRule="auto"/>
        <w:ind w:left="720" w:hanging="720"/>
      </w:pPr>
      <w:r>
        <w:rPr>
          <w:rFonts w:ascii="Times New Roman" w:eastAsia="Times New Roman" w:hAnsi="Times New Roman" w:cs="Times New Roman"/>
        </w:rPr>
        <w:t xml:space="preserve">Payment Card Industry Security Standards Council. (2022). </w:t>
      </w:r>
      <w:r>
        <w:rPr>
          <w:rFonts w:ascii="Times New Roman" w:eastAsia="Times New Roman" w:hAnsi="Times New Roman" w:cs="Times New Roman"/>
          <w:i/>
          <w:iCs/>
        </w:rPr>
        <w:t>Payment Card Industry Data Security Standard (PCI DSS): Requirements and testing procedures, version 4.0.</w:t>
      </w:r>
      <w:r>
        <w:rPr>
          <w:rFonts w:ascii="Times New Roman" w:eastAsia="Times New Roman" w:hAnsi="Times New Roman" w:cs="Times New Roman"/>
        </w:rPr>
        <w:t xml:space="preserve"> PCI Security Standards Council. </w:t>
      </w:r>
      <w:hyperlink r:id="rId102" w:history="1">
        <w:r>
          <w:rPr>
            <w:rFonts w:ascii="Times New Roman" w:eastAsia="Times New Roman" w:hAnsi="Times New Roman" w:cs="Times New Roman"/>
            <w:color w:val="1155CC"/>
            <w:u w:val="single"/>
          </w:rPr>
          <w:t>https://www.pcisecuritystandards.org/</w:t>
        </w:r>
      </w:hyperlink>
    </w:p>
    <w:p w14:paraId="584F7FB8"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Peffers, K., </w:t>
      </w:r>
      <w:proofErr w:type="spellStart"/>
      <w:r>
        <w:rPr>
          <w:rFonts w:ascii="Times New Roman" w:eastAsia="Times New Roman" w:hAnsi="Times New Roman" w:cs="Times New Roman"/>
        </w:rPr>
        <w:t>Tuunanen</w:t>
      </w:r>
      <w:proofErr w:type="spellEnd"/>
      <w:r>
        <w:rPr>
          <w:rFonts w:ascii="Times New Roman" w:eastAsia="Times New Roman" w:hAnsi="Times New Roman" w:cs="Times New Roman"/>
        </w:rPr>
        <w:t xml:space="preserve">, T., Rothenberger, M. A., &amp; Chatterjee, S. (2007). A design science research methodology for information systems research. </w:t>
      </w:r>
      <w:r>
        <w:rPr>
          <w:rFonts w:ascii="Times New Roman" w:eastAsia="Times New Roman" w:hAnsi="Times New Roman" w:cs="Times New Roman"/>
          <w:i/>
          <w:iCs/>
        </w:rPr>
        <w:t>Journal of Management Information Systems, 24</w:t>
      </w:r>
      <w:r>
        <w:rPr>
          <w:rFonts w:ascii="Times New Roman" w:eastAsia="Times New Roman" w:hAnsi="Times New Roman" w:cs="Times New Roman"/>
        </w:rPr>
        <w:t xml:space="preserve">(3), 45–77. </w:t>
      </w:r>
      <w:hyperlink r:id="rId103" w:history="1">
        <w:r>
          <w:rPr>
            <w:rFonts w:ascii="Times New Roman" w:eastAsia="Times New Roman" w:hAnsi="Times New Roman" w:cs="Times New Roman"/>
            <w:color w:val="1155CC"/>
            <w:u w:val="single"/>
          </w:rPr>
          <w:t>https://doi.org/10.2753/MIS0742-1222240302</w:t>
        </w:r>
      </w:hyperlink>
    </w:p>
    <w:p w14:paraId="7CE3AA5B" w14:textId="77777777" w:rsidR="00284E84" w:rsidRDefault="00284E84" w:rsidP="00284E84">
      <w:pPr>
        <w:spacing w:line="480" w:lineRule="auto"/>
        <w:ind w:left="720" w:hanging="720"/>
      </w:pPr>
      <w:r>
        <w:rPr>
          <w:rFonts w:ascii="Times New Roman" w:eastAsia="Times New Roman" w:hAnsi="Times New Roman" w:cs="Times New Roman"/>
        </w:rPr>
        <w:t xml:space="preserve">Pendleton, M., Garcia-Lebron, R., Cho, J.-H., &amp; Xu, S. (2016). A survey on systems security metrics. </w:t>
      </w:r>
      <w:r>
        <w:rPr>
          <w:rFonts w:ascii="Times New Roman" w:eastAsia="Times New Roman" w:hAnsi="Times New Roman" w:cs="Times New Roman"/>
          <w:i/>
          <w:iCs/>
        </w:rPr>
        <w:t>ACM Computing Surveys, 49</w:t>
      </w:r>
      <w:r>
        <w:rPr>
          <w:rFonts w:ascii="Times New Roman" w:eastAsia="Times New Roman" w:hAnsi="Times New Roman" w:cs="Times New Roman"/>
        </w:rPr>
        <w:t xml:space="preserve">(4), Article 62, 1–35. </w:t>
      </w:r>
      <w:hyperlink r:id="rId104" w:history="1">
        <w:r>
          <w:rPr>
            <w:rFonts w:ascii="Times New Roman" w:eastAsia="Times New Roman" w:hAnsi="Times New Roman" w:cs="Times New Roman"/>
            <w:color w:val="1155CC"/>
            <w:u w:val="single"/>
          </w:rPr>
          <w:t>https://doi.org/10.1145/3005714</w:t>
        </w:r>
      </w:hyperlink>
    </w:p>
    <w:p w14:paraId="450B5035" w14:textId="77777777" w:rsidR="00284E84" w:rsidRDefault="00284E84" w:rsidP="00284E84">
      <w:pPr>
        <w:spacing w:line="480" w:lineRule="auto"/>
        <w:ind w:left="720" w:hanging="720"/>
      </w:pPr>
      <w:r>
        <w:rPr>
          <w:rFonts w:ascii="Times New Roman" w:eastAsia="Times New Roman" w:hAnsi="Times New Roman" w:cs="Times New Roman"/>
        </w:rPr>
        <w:t xml:space="preserve">Raghu. (2020). </w:t>
      </w:r>
      <w:r>
        <w:rPr>
          <w:rFonts w:ascii="Times New Roman" w:eastAsia="Times New Roman" w:hAnsi="Times New Roman" w:cs="Times New Roman"/>
          <w:i/>
          <w:iCs/>
        </w:rPr>
        <w:t>The JPMorgan Chase data breach (2014): When compromised credentials led to the largest bank hack in history.</w:t>
      </w:r>
      <w:r>
        <w:rPr>
          <w:rFonts w:ascii="Times New Roman" w:eastAsia="Times New Roman" w:hAnsi="Times New Roman" w:cs="Times New Roman"/>
        </w:rPr>
        <w:t xml:space="preserve"> A Security Guru. </w:t>
      </w:r>
      <w:hyperlink r:id="rId105" w:history="1">
        <w:r>
          <w:rPr>
            <w:rFonts w:ascii="Times New Roman" w:eastAsia="Times New Roman" w:hAnsi="Times New Roman" w:cs="Times New Roman"/>
            <w:color w:val="1155CC"/>
            <w:u w:val="single"/>
          </w:rPr>
          <w:t>https://asecurityguru.com/the-jpmorgan-chase-data-breach-2014-when-compromised-credentials-led-to-the-largest-bank-hack-in-history/</w:t>
        </w:r>
      </w:hyperlink>
    </w:p>
    <w:p w14:paraId="5E10D180" w14:textId="77777777" w:rsidR="00284E84" w:rsidRDefault="00284E84" w:rsidP="00284E84">
      <w:pPr>
        <w:spacing w:line="480" w:lineRule="auto"/>
        <w:ind w:left="720" w:hanging="720"/>
      </w:pPr>
      <w:r>
        <w:rPr>
          <w:rFonts w:ascii="Times New Roman" w:eastAsia="Times New Roman" w:hAnsi="Times New Roman" w:cs="Times New Roman"/>
        </w:rPr>
        <w:t xml:space="preserve">Ring, M., Wunderlich, S., Scheuring, D., Landes, D., &amp; </w:t>
      </w:r>
      <w:proofErr w:type="spellStart"/>
      <w:r>
        <w:rPr>
          <w:rFonts w:ascii="Times New Roman" w:eastAsia="Times New Roman" w:hAnsi="Times New Roman" w:cs="Times New Roman"/>
        </w:rPr>
        <w:t>Hotho</w:t>
      </w:r>
      <w:proofErr w:type="spellEnd"/>
      <w:r>
        <w:rPr>
          <w:rFonts w:ascii="Times New Roman" w:eastAsia="Times New Roman" w:hAnsi="Times New Roman" w:cs="Times New Roman"/>
        </w:rPr>
        <w:t xml:space="preserve">, A. (2019). A survey of network-based intrusion detection data sets. </w:t>
      </w:r>
      <w:r>
        <w:rPr>
          <w:rFonts w:ascii="Times New Roman" w:eastAsia="Times New Roman" w:hAnsi="Times New Roman" w:cs="Times New Roman"/>
          <w:i/>
          <w:iCs/>
        </w:rPr>
        <w:t>Computers &amp; Security, 86</w:t>
      </w:r>
      <w:r>
        <w:rPr>
          <w:rFonts w:ascii="Times New Roman" w:eastAsia="Times New Roman" w:hAnsi="Times New Roman" w:cs="Times New Roman"/>
        </w:rPr>
        <w:t xml:space="preserve">, 147–167. </w:t>
      </w:r>
      <w:hyperlink r:id="rId106" w:history="1">
        <w:r>
          <w:rPr>
            <w:rFonts w:ascii="Times New Roman" w:eastAsia="Times New Roman" w:hAnsi="Times New Roman" w:cs="Times New Roman"/>
            <w:color w:val="1155CC"/>
            <w:u w:val="single"/>
          </w:rPr>
          <w:t>https://doi.org/10.1016/j.cose.2019.06.005</w:t>
        </w:r>
      </w:hyperlink>
    </w:p>
    <w:p w14:paraId="464209F2" w14:textId="77777777" w:rsidR="00284E84" w:rsidRDefault="00284E84" w:rsidP="00284E84">
      <w:pPr>
        <w:spacing w:line="480" w:lineRule="auto"/>
        <w:ind w:left="720" w:hanging="720"/>
      </w:pPr>
      <w:r>
        <w:rPr>
          <w:rFonts w:ascii="Times New Roman" w:eastAsia="Times New Roman" w:hAnsi="Times New Roman" w:cs="Times New Roman"/>
        </w:rPr>
        <w:t xml:space="preserve">Rodriguez, R. (2025). </w:t>
      </w:r>
      <w:r>
        <w:rPr>
          <w:rFonts w:ascii="Times New Roman" w:eastAsia="Times New Roman" w:hAnsi="Times New Roman" w:cs="Times New Roman"/>
          <w:i/>
          <w:iCs/>
        </w:rPr>
        <w:t>Shedding light on shadow data: Why visibility is the key to data security.</w:t>
      </w:r>
      <w:r>
        <w:rPr>
          <w:rFonts w:ascii="Times New Roman" w:eastAsia="Times New Roman" w:hAnsi="Times New Roman" w:cs="Times New Roman"/>
        </w:rPr>
        <w:t xml:space="preserve"> CDW. </w:t>
      </w:r>
      <w:hyperlink r:id="rId107" w:history="1">
        <w:r>
          <w:rPr>
            <w:rFonts w:ascii="Times New Roman" w:eastAsia="Times New Roman" w:hAnsi="Times New Roman" w:cs="Times New Roman"/>
            <w:color w:val="1155CC"/>
            <w:u w:val="single"/>
          </w:rPr>
          <w:t>https://www.cdw.com/content/cdw/en/articles/datacenter/shedding-light-on-shadow-data.html</w:t>
        </w:r>
      </w:hyperlink>
    </w:p>
    <w:p w14:paraId="6E8458B6" w14:textId="77777777" w:rsidR="00284E84" w:rsidRDefault="00284E84" w:rsidP="00284E84">
      <w:pPr>
        <w:spacing w:line="480" w:lineRule="auto"/>
        <w:ind w:left="720" w:hanging="720"/>
      </w:pPr>
      <w:proofErr w:type="spellStart"/>
      <w:r>
        <w:rPr>
          <w:rFonts w:ascii="Times New Roman" w:eastAsia="Times New Roman" w:hAnsi="Times New Roman" w:cs="Times New Roman"/>
        </w:rPr>
        <w:t>Sharafaldin</w:t>
      </w:r>
      <w:proofErr w:type="spellEnd"/>
      <w:r>
        <w:rPr>
          <w:rFonts w:ascii="Times New Roman" w:eastAsia="Times New Roman" w:hAnsi="Times New Roman" w:cs="Times New Roman"/>
        </w:rPr>
        <w:t xml:space="preserve">, I., Habibi Lashkari, A., &amp; Ghorbani, A. A. (2018). Toward generating a new intrusion detection dataset and intrusion traffic characterization. In </w:t>
      </w:r>
      <w:r>
        <w:rPr>
          <w:rFonts w:ascii="Times New Roman" w:eastAsia="Times New Roman" w:hAnsi="Times New Roman" w:cs="Times New Roman"/>
          <w:i/>
          <w:iCs/>
        </w:rPr>
        <w:t>Proceedings of the 4th International Conference on Information Systems Security and Privacy (ICISSP 2018)</w:t>
      </w:r>
      <w:r>
        <w:rPr>
          <w:rFonts w:ascii="Times New Roman" w:eastAsia="Times New Roman" w:hAnsi="Times New Roman" w:cs="Times New Roman"/>
        </w:rPr>
        <w:t xml:space="preserve"> (pp. 108–116). </w:t>
      </w:r>
      <w:proofErr w:type="spellStart"/>
      <w:r>
        <w:rPr>
          <w:rFonts w:ascii="Times New Roman" w:eastAsia="Times New Roman" w:hAnsi="Times New Roman" w:cs="Times New Roman"/>
        </w:rPr>
        <w:t>SciTePress</w:t>
      </w:r>
      <w:proofErr w:type="spellEnd"/>
      <w:r>
        <w:rPr>
          <w:rFonts w:ascii="Times New Roman" w:eastAsia="Times New Roman" w:hAnsi="Times New Roman" w:cs="Times New Roman"/>
        </w:rPr>
        <w:t xml:space="preserve">. </w:t>
      </w:r>
      <w:hyperlink r:id="rId108" w:history="1">
        <w:r>
          <w:rPr>
            <w:rFonts w:ascii="Times New Roman" w:eastAsia="Times New Roman" w:hAnsi="Times New Roman" w:cs="Times New Roman"/>
            <w:color w:val="1155CC"/>
            <w:u w:val="single"/>
          </w:rPr>
          <w:t>https://doi.org/10.5220/0006639801080116</w:t>
        </w:r>
      </w:hyperlink>
    </w:p>
    <w:p w14:paraId="664C291D"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Skelton, S. K. (2021). </w:t>
      </w:r>
      <w:r>
        <w:rPr>
          <w:rFonts w:ascii="Times New Roman" w:eastAsia="Times New Roman" w:hAnsi="Times New Roman" w:cs="Times New Roman"/>
          <w:i/>
          <w:iCs/>
        </w:rPr>
        <w:t xml:space="preserve">Cloud misconfiguration </w:t>
      </w:r>
      <w:proofErr w:type="gramStart"/>
      <w:r>
        <w:rPr>
          <w:rFonts w:ascii="Times New Roman" w:eastAsia="Times New Roman" w:hAnsi="Times New Roman" w:cs="Times New Roman"/>
          <w:i/>
          <w:iCs/>
        </w:rPr>
        <w:t>a growing</w:t>
      </w:r>
      <w:proofErr w:type="gramEnd"/>
      <w:r>
        <w:rPr>
          <w:rFonts w:ascii="Times New Roman" w:eastAsia="Times New Roman" w:hAnsi="Times New Roman" w:cs="Times New Roman"/>
          <w:i/>
          <w:iCs/>
        </w:rPr>
        <w:t xml:space="preserve"> cause of security incidents.</w:t>
      </w:r>
      <w:r>
        <w:rPr>
          <w:rFonts w:ascii="Times New Roman" w:eastAsia="Times New Roman" w:hAnsi="Times New Roman" w:cs="Times New Roman"/>
        </w:rPr>
        <w:t xml:space="preserve"> ComputerWeekly.com. </w:t>
      </w:r>
      <w:hyperlink r:id="rId109" w:history="1">
        <w:r>
          <w:rPr>
            <w:rFonts w:ascii="Times New Roman" w:eastAsia="Times New Roman" w:hAnsi="Times New Roman" w:cs="Times New Roman"/>
            <w:color w:val="1155CC"/>
            <w:u w:val="single"/>
          </w:rPr>
          <w:t>https://www.computerweekly.com/news/252504909/Cloud-misconfiguration-a-growing-cause-of-security-incidents</w:t>
        </w:r>
      </w:hyperlink>
    </w:p>
    <w:p w14:paraId="12D22610" w14:textId="77777777" w:rsidR="00284E84" w:rsidRDefault="00284E84" w:rsidP="00284E84">
      <w:pPr>
        <w:spacing w:line="480" w:lineRule="auto"/>
        <w:ind w:left="720" w:hanging="720"/>
      </w:pPr>
      <w:r>
        <w:rPr>
          <w:rFonts w:ascii="Times New Roman" w:eastAsia="Times New Roman" w:hAnsi="Times New Roman" w:cs="Times New Roman"/>
        </w:rPr>
        <w:t xml:space="preserve">Sloan, E. (2025). </w:t>
      </w:r>
      <w:r>
        <w:rPr>
          <w:rFonts w:ascii="Times New Roman" w:eastAsia="Times New Roman" w:hAnsi="Times New Roman" w:cs="Times New Roman"/>
          <w:i/>
          <w:iCs/>
        </w:rPr>
        <w:t>What is the definition of attack dwell time?</w:t>
      </w:r>
      <w:r>
        <w:rPr>
          <w:rFonts w:ascii="Times New Roman" w:eastAsia="Times New Roman" w:hAnsi="Times New Roman" w:cs="Times New Roman"/>
        </w:rPr>
        <w:t xml:space="preserve"> </w:t>
      </w:r>
      <w:proofErr w:type="spellStart"/>
      <w:r>
        <w:rPr>
          <w:rFonts w:ascii="Times New Roman" w:eastAsia="Times New Roman" w:hAnsi="Times New Roman" w:cs="Times New Roman"/>
        </w:rPr>
        <w:t>Packetlabs</w:t>
      </w:r>
      <w:proofErr w:type="spellEnd"/>
      <w:r>
        <w:rPr>
          <w:rFonts w:ascii="Times New Roman" w:eastAsia="Times New Roman" w:hAnsi="Times New Roman" w:cs="Times New Roman"/>
        </w:rPr>
        <w:t xml:space="preserve">. </w:t>
      </w:r>
      <w:hyperlink r:id="rId110" w:history="1">
        <w:r>
          <w:rPr>
            <w:rFonts w:ascii="Times New Roman" w:eastAsia="Times New Roman" w:hAnsi="Times New Roman" w:cs="Times New Roman"/>
            <w:color w:val="1155CC"/>
            <w:u w:val="single"/>
          </w:rPr>
          <w:t>https://www.packetlabs.net/posts/what-is-attack-dwell-time/</w:t>
        </w:r>
      </w:hyperlink>
    </w:p>
    <w:p w14:paraId="230AF633" w14:textId="77777777" w:rsidR="00284E84" w:rsidRDefault="00284E84" w:rsidP="00284E84">
      <w:pPr>
        <w:spacing w:line="480" w:lineRule="auto"/>
        <w:ind w:left="720" w:hanging="720"/>
      </w:pPr>
      <w:r>
        <w:rPr>
          <w:rFonts w:ascii="Times New Roman" w:eastAsia="Times New Roman" w:hAnsi="Times New Roman" w:cs="Times New Roman"/>
        </w:rPr>
        <w:t xml:space="preserve">Sommer, R., &amp; Paxson, V. (2010). Outside the closed world: On using machine learning for network intrusion detection. In </w:t>
      </w:r>
      <w:r>
        <w:rPr>
          <w:rFonts w:ascii="Times New Roman" w:eastAsia="Times New Roman" w:hAnsi="Times New Roman" w:cs="Times New Roman"/>
          <w:i/>
          <w:iCs/>
        </w:rPr>
        <w:t>Proceedings of the 2010 IEEE Symposium on Security and Privacy</w:t>
      </w:r>
      <w:r>
        <w:rPr>
          <w:rFonts w:ascii="Times New Roman" w:eastAsia="Times New Roman" w:hAnsi="Times New Roman" w:cs="Times New Roman"/>
        </w:rPr>
        <w:t xml:space="preserve"> (pp. 305–316). IEEE. </w:t>
      </w:r>
      <w:hyperlink r:id="rId111" w:history="1">
        <w:r>
          <w:rPr>
            <w:rFonts w:ascii="Times New Roman" w:eastAsia="Times New Roman" w:hAnsi="Times New Roman" w:cs="Times New Roman"/>
            <w:color w:val="1155CC"/>
            <w:u w:val="single"/>
          </w:rPr>
          <w:t>https://doi.org/10.1109/SP.2010.25</w:t>
        </w:r>
      </w:hyperlink>
    </w:p>
    <w:p w14:paraId="7693D9D1" w14:textId="77777777" w:rsidR="00284E84" w:rsidRDefault="00284E84" w:rsidP="00284E84">
      <w:pPr>
        <w:spacing w:line="480" w:lineRule="auto"/>
        <w:ind w:left="720" w:hanging="720"/>
      </w:pPr>
      <w:r>
        <w:rPr>
          <w:rFonts w:ascii="Times New Roman" w:eastAsia="Times New Roman" w:hAnsi="Times New Roman" w:cs="Times New Roman"/>
        </w:rPr>
        <w:t xml:space="preserve">Strange, A. (2024). </w:t>
      </w:r>
      <w:r>
        <w:rPr>
          <w:rFonts w:ascii="Times New Roman" w:eastAsia="Times New Roman" w:hAnsi="Times New Roman" w:cs="Times New Roman"/>
          <w:i/>
          <w:iCs/>
        </w:rPr>
        <w:t>Market landscape: Data security posture management (DSPM).</w:t>
      </w:r>
      <w:r>
        <w:rPr>
          <w:rFonts w:ascii="Times New Roman" w:eastAsia="Times New Roman" w:hAnsi="Times New Roman" w:cs="Times New Roman"/>
        </w:rPr>
        <w:t xml:space="preserve"> </w:t>
      </w:r>
      <w:proofErr w:type="spellStart"/>
      <w:r>
        <w:rPr>
          <w:rFonts w:ascii="Times New Roman" w:eastAsia="Times New Roman" w:hAnsi="Times New Roman" w:cs="Times New Roman"/>
        </w:rPr>
        <w:t>Omdia</w:t>
      </w:r>
      <w:proofErr w:type="spellEnd"/>
      <w:r>
        <w:rPr>
          <w:rFonts w:ascii="Times New Roman" w:eastAsia="Times New Roman" w:hAnsi="Times New Roman" w:cs="Times New Roman"/>
        </w:rPr>
        <w:t xml:space="preserve"> Research, Informa TechTarget. </w:t>
      </w:r>
      <w:hyperlink r:id="rId112" w:history="1">
        <w:r>
          <w:rPr>
            <w:rFonts w:ascii="Times New Roman" w:eastAsia="Times New Roman" w:hAnsi="Times New Roman" w:cs="Times New Roman"/>
            <w:color w:val="1155CC"/>
            <w:u w:val="single"/>
          </w:rPr>
          <w:t>https://omdia.tech.informa.com/om120455/market-landscape-data-security-posture-management-dspm</w:t>
        </w:r>
      </w:hyperlink>
    </w:p>
    <w:p w14:paraId="21181838" w14:textId="77777777" w:rsidR="00284E84" w:rsidRDefault="00284E84" w:rsidP="00284E84">
      <w:pPr>
        <w:spacing w:line="480" w:lineRule="auto"/>
        <w:ind w:left="720" w:hanging="720"/>
      </w:pPr>
      <w:r>
        <w:rPr>
          <w:rFonts w:ascii="Times New Roman" w:eastAsia="Times New Roman" w:hAnsi="Times New Roman" w:cs="Times New Roman"/>
        </w:rPr>
        <w:t xml:space="preserve">Strom, B. E., Applebaum, A., Miller, D. P., Nickels, K. C., Pennington, A. G., &amp; Thomas, C. B. (2018). </w:t>
      </w:r>
      <w:r>
        <w:rPr>
          <w:rFonts w:ascii="Times New Roman" w:eastAsia="Times New Roman" w:hAnsi="Times New Roman" w:cs="Times New Roman"/>
          <w:i/>
          <w:iCs/>
        </w:rPr>
        <w:t>MITRE ATT&amp;CK: Design and philosophy</w:t>
      </w:r>
      <w:r>
        <w:rPr>
          <w:rFonts w:ascii="Times New Roman" w:eastAsia="Times New Roman" w:hAnsi="Times New Roman" w:cs="Times New Roman"/>
        </w:rPr>
        <w:t xml:space="preserve"> (Technical report, revised March 2020). The MITRE Corporation. </w:t>
      </w:r>
      <w:hyperlink r:id="rId113" w:history="1">
        <w:r>
          <w:rPr>
            <w:rFonts w:ascii="Times New Roman" w:eastAsia="Times New Roman" w:hAnsi="Times New Roman" w:cs="Times New Roman"/>
            <w:color w:val="1155CC"/>
            <w:u w:val="single"/>
          </w:rPr>
          <w:t>https://attack.mitre.org/docs/ATTACK_Design_and_Philosophy_March_2020.pdf</w:t>
        </w:r>
      </w:hyperlink>
    </w:p>
    <w:p w14:paraId="3465E866" w14:textId="77777777" w:rsidR="00284E84" w:rsidRDefault="00284E84" w:rsidP="00284E84">
      <w:pPr>
        <w:spacing w:line="480" w:lineRule="auto"/>
        <w:ind w:left="720" w:hanging="720"/>
      </w:pPr>
      <w:proofErr w:type="spellStart"/>
      <w:r>
        <w:rPr>
          <w:rFonts w:ascii="Times New Roman" w:eastAsia="Times New Roman" w:hAnsi="Times New Roman" w:cs="Times New Roman"/>
        </w:rPr>
        <w:t>Sundaramurthy</w:t>
      </w:r>
      <w:proofErr w:type="spellEnd"/>
      <w:r>
        <w:rPr>
          <w:rFonts w:ascii="Times New Roman" w:eastAsia="Times New Roman" w:hAnsi="Times New Roman" w:cs="Times New Roman"/>
        </w:rPr>
        <w:t xml:space="preserve">, S. C., McHugh, J., Ou, X. S., Rajagopalan, S. R., &amp; Wesch, M. (2014). An anthropological approach to studying CSIRTs. </w:t>
      </w:r>
      <w:r>
        <w:rPr>
          <w:rFonts w:ascii="Times New Roman" w:eastAsia="Times New Roman" w:hAnsi="Times New Roman" w:cs="Times New Roman"/>
          <w:i/>
          <w:iCs/>
        </w:rPr>
        <w:t>IEEE Security &amp; Privacy, 12</w:t>
      </w:r>
      <w:r>
        <w:rPr>
          <w:rFonts w:ascii="Times New Roman" w:eastAsia="Times New Roman" w:hAnsi="Times New Roman" w:cs="Times New Roman"/>
        </w:rPr>
        <w:t xml:space="preserve">(5), 52–60. </w:t>
      </w:r>
      <w:hyperlink r:id="rId114" w:history="1">
        <w:r>
          <w:rPr>
            <w:rFonts w:ascii="Times New Roman" w:eastAsia="Times New Roman" w:hAnsi="Times New Roman" w:cs="Times New Roman"/>
            <w:color w:val="1155CC"/>
            <w:u w:val="single"/>
          </w:rPr>
          <w:t>https://doi.org/10.1109/MSP.2014.84</w:t>
        </w:r>
      </w:hyperlink>
    </w:p>
    <w:p w14:paraId="4491528B" w14:textId="77777777" w:rsidR="00284E84" w:rsidRDefault="00284E84" w:rsidP="00284E84">
      <w:pPr>
        <w:spacing w:line="480" w:lineRule="auto"/>
        <w:ind w:left="720" w:hanging="720"/>
      </w:pPr>
      <w:r>
        <w:rPr>
          <w:rFonts w:ascii="Times New Roman" w:eastAsia="Times New Roman" w:hAnsi="Times New Roman" w:cs="Times New Roman"/>
        </w:rPr>
        <w:t xml:space="preserve">Swanzy, P. N., </w:t>
      </w:r>
      <w:proofErr w:type="spellStart"/>
      <w:r>
        <w:rPr>
          <w:rFonts w:ascii="Times New Roman" w:eastAsia="Times New Roman" w:hAnsi="Times New Roman" w:cs="Times New Roman"/>
        </w:rPr>
        <w:t>Abukari</w:t>
      </w:r>
      <w:proofErr w:type="spellEnd"/>
      <w:r>
        <w:rPr>
          <w:rFonts w:ascii="Times New Roman" w:eastAsia="Times New Roman" w:hAnsi="Times New Roman" w:cs="Times New Roman"/>
        </w:rPr>
        <w:t xml:space="preserve">, A. M., &amp; Ansong, E. D. (2024). Data security framework for protecting data in transit and data at rest in the cloud. </w:t>
      </w:r>
      <w:r>
        <w:rPr>
          <w:rFonts w:ascii="Times New Roman" w:eastAsia="Times New Roman" w:hAnsi="Times New Roman" w:cs="Times New Roman"/>
          <w:i/>
          <w:iCs/>
        </w:rPr>
        <w:t>Current Journal of Applied Science and Technology, 43</w:t>
      </w:r>
      <w:r>
        <w:rPr>
          <w:rFonts w:ascii="Times New Roman" w:eastAsia="Times New Roman" w:hAnsi="Times New Roman" w:cs="Times New Roman"/>
        </w:rPr>
        <w:t xml:space="preserve">(6), 61–77. </w:t>
      </w:r>
      <w:hyperlink r:id="rId115" w:history="1">
        <w:r>
          <w:rPr>
            <w:rFonts w:ascii="Times New Roman" w:eastAsia="Times New Roman" w:hAnsi="Times New Roman" w:cs="Times New Roman"/>
            <w:color w:val="1155CC"/>
            <w:u w:val="single"/>
          </w:rPr>
          <w:t>https://journalcjast.com/index.php/CJAST/article/view/4387</w:t>
        </w:r>
      </w:hyperlink>
    </w:p>
    <w:p w14:paraId="16186EE6"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lastRenderedPageBreak/>
        <w:t xml:space="preserve">Tariq, S., Chhetri, M. B., Nepal, S., &amp; Paris, C. (2025). Alert fatigue in security operations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Research challenges and opportunities. </w:t>
      </w:r>
      <w:r>
        <w:rPr>
          <w:rFonts w:ascii="Times New Roman" w:eastAsia="Times New Roman" w:hAnsi="Times New Roman" w:cs="Times New Roman"/>
          <w:i/>
          <w:iCs/>
        </w:rPr>
        <w:t>ACM Computing Surveys, 57</w:t>
      </w:r>
      <w:r>
        <w:rPr>
          <w:rFonts w:ascii="Times New Roman" w:eastAsia="Times New Roman" w:hAnsi="Times New Roman" w:cs="Times New Roman"/>
        </w:rPr>
        <w:t xml:space="preserve">(9), Article 224. </w:t>
      </w:r>
      <w:hyperlink r:id="rId116" w:history="1">
        <w:r w:rsidR="00857326">
          <w:rPr>
            <w:rFonts w:ascii="Times New Roman" w:eastAsia="Times New Roman" w:hAnsi="Times New Roman" w:cs="Times New Roman"/>
            <w:color w:val="1155CC"/>
            <w:u w:val="single"/>
          </w:rPr>
          <w:t>https://doi.org/10.1145/3723158</w:t>
        </w:r>
      </w:hyperlink>
    </w:p>
    <w:p w14:paraId="42631D36" w14:textId="77777777" w:rsidR="00284E84" w:rsidRDefault="00284E84" w:rsidP="00284E84">
      <w:pPr>
        <w:spacing w:line="480" w:lineRule="auto"/>
        <w:ind w:left="720" w:hanging="720"/>
      </w:pPr>
      <w:r>
        <w:rPr>
          <w:rFonts w:ascii="Times New Roman" w:eastAsia="Times New Roman" w:hAnsi="Times New Roman" w:cs="Times New Roman"/>
        </w:rPr>
        <w:t xml:space="preserve">Thiyagarajan, G., Bist, V., &amp; </w:t>
      </w:r>
      <w:proofErr w:type="spellStart"/>
      <w:r>
        <w:rPr>
          <w:rFonts w:ascii="Times New Roman" w:eastAsia="Times New Roman" w:hAnsi="Times New Roman" w:cs="Times New Roman"/>
        </w:rPr>
        <w:t>Prabugdarshi</w:t>
      </w:r>
      <w:proofErr w:type="spellEnd"/>
      <w:r>
        <w:rPr>
          <w:rFonts w:ascii="Times New Roman" w:eastAsia="Times New Roman" w:hAnsi="Times New Roman" w:cs="Times New Roman"/>
        </w:rPr>
        <w:t xml:space="preserve">, N. (2025). </w:t>
      </w:r>
      <w:r>
        <w:rPr>
          <w:rFonts w:ascii="Times New Roman" w:eastAsia="Times New Roman" w:hAnsi="Times New Roman" w:cs="Times New Roman"/>
          <w:i/>
          <w:iCs/>
        </w:rPr>
        <w:t>The hidden dangers of outdated software: A cybersecurity perspective.</w:t>
      </w:r>
      <w:r>
        <w:rPr>
          <w:rFonts w:ascii="Times New Roman" w:eastAsia="Times New Roman" w:hAnsi="Times New Roman" w:cs="Times New Roman"/>
        </w:rPr>
        <w:t xml:space="preserve"> International Journal of Scientific Research in Computer Science Engineering and Information Technology.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w:t>
      </w:r>
      <w:hyperlink r:id="rId117" w:history="1">
        <w:r>
          <w:rPr>
            <w:rFonts w:ascii="Times New Roman" w:eastAsia="Times New Roman" w:hAnsi="Times New Roman" w:cs="Times New Roman"/>
            <w:color w:val="1155CC"/>
            <w:u w:val="single"/>
          </w:rPr>
          <w:t>https://arxiv.org/abs/2505.13922</w:t>
        </w:r>
      </w:hyperlink>
    </w:p>
    <w:p w14:paraId="6F64682C" w14:textId="77777777" w:rsidR="00284E84" w:rsidRDefault="00284E84" w:rsidP="00284E84">
      <w:pPr>
        <w:spacing w:line="480" w:lineRule="auto"/>
        <w:ind w:left="720" w:hanging="720"/>
      </w:pPr>
      <w:r>
        <w:rPr>
          <w:rFonts w:ascii="Times New Roman" w:eastAsia="Times New Roman" w:hAnsi="Times New Roman" w:cs="Times New Roman"/>
        </w:rPr>
        <w:t xml:space="preserve">Tran, T., Do, B. G., et al. (2024). </w:t>
      </w:r>
      <w:r>
        <w:rPr>
          <w:rFonts w:ascii="Times New Roman" w:eastAsia="Times New Roman" w:hAnsi="Times New Roman" w:cs="Times New Roman"/>
          <w:i/>
          <w:iCs/>
        </w:rPr>
        <w:t xml:space="preserve">The impacts of </w:t>
      </w:r>
      <w:proofErr w:type="gramStart"/>
      <w:r>
        <w:rPr>
          <w:rFonts w:ascii="Times New Roman" w:eastAsia="Times New Roman" w:hAnsi="Times New Roman" w:cs="Times New Roman"/>
          <w:i/>
          <w:iCs/>
        </w:rPr>
        <w:t>layoffs announcement</w:t>
      </w:r>
      <w:proofErr w:type="gramEnd"/>
      <w:r>
        <w:rPr>
          <w:rFonts w:ascii="Times New Roman" w:eastAsia="Times New Roman" w:hAnsi="Times New Roman" w:cs="Times New Roman"/>
          <w:i/>
          <w:iCs/>
        </w:rPr>
        <w:t xml:space="preserve"> on cybersecurity breaches.</w:t>
      </w:r>
      <w:r>
        <w:rPr>
          <w:rFonts w:ascii="Times New Roman" w:eastAsia="Times New Roman" w:hAnsi="Times New Roman" w:cs="Times New Roman"/>
        </w:rPr>
        <w:t xml:space="preserve"> Binghamton University; Vietnam National University. </w:t>
      </w:r>
      <w:hyperlink r:id="rId118" w:history="1">
        <w:r>
          <w:rPr>
            <w:rFonts w:ascii="Times New Roman" w:eastAsia="Times New Roman" w:hAnsi="Times New Roman" w:cs="Times New Roman"/>
            <w:color w:val="1155CC"/>
            <w:u w:val="single"/>
          </w:rPr>
          <w:t>https://aisel.aisnet.org/cgi/viewcontent.cgi?article=1165&amp;context=pacis2024</w:t>
        </w:r>
      </w:hyperlink>
    </w:p>
    <w:p w14:paraId="79FD4BBA" w14:textId="77777777" w:rsidR="00284E84" w:rsidRDefault="00284E84" w:rsidP="00284E84">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Turnbull, J. (2020). </w:t>
      </w:r>
      <w:r>
        <w:rPr>
          <w:rFonts w:ascii="Times New Roman" w:eastAsia="Times New Roman" w:hAnsi="Times New Roman" w:cs="Times New Roman"/>
          <w:i/>
          <w:iCs/>
        </w:rPr>
        <w:t>The Logstash book</w:t>
      </w:r>
      <w:r>
        <w:rPr>
          <w:rFonts w:ascii="Times New Roman" w:eastAsia="Times New Roman" w:hAnsi="Times New Roman" w:cs="Times New Roman"/>
        </w:rPr>
        <w:t xml:space="preserve"> (2nd ed.). James Turnbull.</w:t>
      </w:r>
    </w:p>
    <w:p w14:paraId="66E11CD8" w14:textId="77777777" w:rsidR="00AC5023" w:rsidRDefault="00AC5023" w:rsidP="00AC5023">
      <w:pPr>
        <w:spacing w:line="480" w:lineRule="auto"/>
        <w:ind w:left="720" w:hanging="720"/>
      </w:pPr>
      <w:r>
        <w:rPr>
          <w:rFonts w:ascii="Times New Roman" w:eastAsia="Times New Roman" w:hAnsi="Times New Roman" w:cs="Times New Roman"/>
        </w:rPr>
        <w:t xml:space="preserve">U.S. Federal Bureau of Investigation. (2025). </w:t>
      </w:r>
      <w:r>
        <w:rPr>
          <w:rFonts w:ascii="Times New Roman" w:eastAsia="Times New Roman" w:hAnsi="Times New Roman" w:cs="Times New Roman"/>
          <w:i/>
          <w:iCs/>
        </w:rPr>
        <w:t>Account takeover fraud via impersonation of financial institution support</w:t>
      </w:r>
      <w:r>
        <w:rPr>
          <w:rFonts w:ascii="Times New Roman" w:eastAsia="Times New Roman" w:hAnsi="Times New Roman" w:cs="Times New Roman"/>
        </w:rPr>
        <w:t xml:space="preserve"> (Public Service Announcement No. I-112525-PSA). </w:t>
      </w:r>
      <w:hyperlink r:id="rId119" w:history="1">
        <w:r>
          <w:rPr>
            <w:rFonts w:ascii="Times New Roman" w:eastAsia="Times New Roman" w:hAnsi="Times New Roman" w:cs="Times New Roman"/>
            <w:color w:val="1155CC"/>
            <w:u w:val="single"/>
          </w:rPr>
          <w:t>https://www.ic3.gov/PSA/2025/PSA251125</w:t>
        </w:r>
      </w:hyperlink>
    </w:p>
    <w:p w14:paraId="651C7A8F" w14:textId="77777777" w:rsidR="00AC5023" w:rsidRDefault="00AC5023" w:rsidP="00AC5023">
      <w:pPr>
        <w:spacing w:line="480" w:lineRule="auto"/>
        <w:ind w:left="720" w:hanging="720"/>
      </w:pPr>
      <w:r>
        <w:rPr>
          <w:rFonts w:ascii="Times New Roman" w:eastAsia="Times New Roman" w:hAnsi="Times New Roman" w:cs="Times New Roman"/>
        </w:rPr>
        <w:t xml:space="preserve">U.S. Federal Trade Commission. (n.d.). </w:t>
      </w:r>
      <w:r>
        <w:rPr>
          <w:rFonts w:ascii="Times New Roman" w:eastAsia="Times New Roman" w:hAnsi="Times New Roman" w:cs="Times New Roman"/>
          <w:i/>
          <w:iCs/>
        </w:rPr>
        <w:t>Gramm-Leach-Bliley Act.</w:t>
      </w:r>
      <w:r>
        <w:rPr>
          <w:rFonts w:ascii="Times New Roman" w:eastAsia="Times New Roman" w:hAnsi="Times New Roman" w:cs="Times New Roman"/>
        </w:rPr>
        <w:t xml:space="preserve"> Retrieved June 20, 2026. </w:t>
      </w:r>
      <w:hyperlink r:id="rId120" w:history="1">
        <w:r>
          <w:rPr>
            <w:rFonts w:ascii="Times New Roman" w:eastAsia="Times New Roman" w:hAnsi="Times New Roman" w:cs="Times New Roman"/>
            <w:color w:val="1155CC"/>
            <w:u w:val="single"/>
          </w:rPr>
          <w:t>https://www.ftc.gov/business-guidance/privacy-security/gramm-leach-bliley-act</w:t>
        </w:r>
      </w:hyperlink>
    </w:p>
    <w:p w14:paraId="054F2692" w14:textId="77777777" w:rsidR="00284E84" w:rsidRDefault="00284E84" w:rsidP="00284E84">
      <w:pPr>
        <w:spacing w:line="480" w:lineRule="auto"/>
        <w:ind w:left="720" w:hanging="720"/>
      </w:pPr>
      <w:r>
        <w:rPr>
          <w:rFonts w:ascii="Times New Roman" w:eastAsia="Times New Roman" w:hAnsi="Times New Roman" w:cs="Times New Roman"/>
        </w:rPr>
        <w:t xml:space="preserve">U.S. Federal Trade Commission. (2024). </w:t>
      </w:r>
      <w:r>
        <w:rPr>
          <w:rFonts w:ascii="Times New Roman" w:eastAsia="Times New Roman" w:hAnsi="Times New Roman" w:cs="Times New Roman"/>
          <w:i/>
          <w:iCs/>
        </w:rPr>
        <w:t>FTC Equifax data breach settlement.</w:t>
      </w:r>
      <w:r>
        <w:rPr>
          <w:rFonts w:ascii="Times New Roman" w:eastAsia="Times New Roman" w:hAnsi="Times New Roman" w:cs="Times New Roman"/>
        </w:rPr>
        <w:t xml:space="preserve"> </w:t>
      </w:r>
      <w:hyperlink r:id="rId121" w:history="1">
        <w:r>
          <w:rPr>
            <w:rFonts w:ascii="Times New Roman" w:eastAsia="Times New Roman" w:hAnsi="Times New Roman" w:cs="Times New Roman"/>
            <w:color w:val="1155CC"/>
            <w:u w:val="single"/>
          </w:rPr>
          <w:t>https://www.ftc.gov/enforcement/refunds/equifax-data-breach-settlement</w:t>
        </w:r>
      </w:hyperlink>
    </w:p>
    <w:p w14:paraId="4887563A" w14:textId="77777777" w:rsidR="00284E84" w:rsidRDefault="00284E84" w:rsidP="00284E84">
      <w:pPr>
        <w:spacing w:line="480" w:lineRule="auto"/>
        <w:ind w:left="720" w:hanging="720"/>
      </w:pPr>
      <w:r>
        <w:rPr>
          <w:rFonts w:ascii="Times New Roman" w:eastAsia="Times New Roman" w:hAnsi="Times New Roman" w:cs="Times New Roman"/>
        </w:rPr>
        <w:t xml:space="preserve">U.S. Government Accountability Office. (2018). </w:t>
      </w:r>
      <w:r>
        <w:rPr>
          <w:rFonts w:ascii="Times New Roman" w:eastAsia="Times New Roman" w:hAnsi="Times New Roman" w:cs="Times New Roman"/>
          <w:i/>
          <w:iCs/>
        </w:rPr>
        <w:t>Data protection: Actions taken by Equifax and federal agencies in response to the 2017 breach</w:t>
      </w:r>
      <w:r>
        <w:rPr>
          <w:rFonts w:ascii="Times New Roman" w:eastAsia="Times New Roman" w:hAnsi="Times New Roman" w:cs="Times New Roman"/>
        </w:rPr>
        <w:t xml:space="preserve"> (GAO-18-559). </w:t>
      </w:r>
      <w:hyperlink r:id="rId122" w:history="1">
        <w:r>
          <w:rPr>
            <w:rFonts w:ascii="Times New Roman" w:eastAsia="Times New Roman" w:hAnsi="Times New Roman" w:cs="Times New Roman"/>
            <w:color w:val="1155CC"/>
            <w:u w:val="single"/>
          </w:rPr>
          <w:t>https://www.gao.gov/products/gao-18-559</w:t>
        </w:r>
      </w:hyperlink>
    </w:p>
    <w:p w14:paraId="0B03C8D7" w14:textId="77777777" w:rsidR="00284E84" w:rsidRDefault="00284E84" w:rsidP="00284E84">
      <w:pPr>
        <w:spacing w:line="480" w:lineRule="auto"/>
        <w:ind w:left="720" w:hanging="720"/>
      </w:pPr>
      <w:r>
        <w:rPr>
          <w:rFonts w:ascii="Times New Roman" w:eastAsia="Times New Roman" w:hAnsi="Times New Roman" w:cs="Times New Roman"/>
        </w:rPr>
        <w:lastRenderedPageBreak/>
        <w:t xml:space="preserve">U.S. Senate Permanent Subcommittee on Investigations. (2019). </w:t>
      </w:r>
      <w:r>
        <w:rPr>
          <w:rFonts w:ascii="Times New Roman" w:eastAsia="Times New Roman" w:hAnsi="Times New Roman" w:cs="Times New Roman"/>
          <w:i/>
          <w:iCs/>
        </w:rPr>
        <w:t>How Equifax neglected cybersecurity and suffered a devastating data breach.</w:t>
      </w:r>
      <w:r>
        <w:rPr>
          <w:rFonts w:ascii="Times New Roman" w:eastAsia="Times New Roman" w:hAnsi="Times New Roman" w:cs="Times New Roman"/>
        </w:rPr>
        <w:t xml:space="preserve"> U.S. Senate Committee on Homeland Security and Governmental Affairs. </w:t>
      </w:r>
      <w:hyperlink r:id="rId123" w:history="1">
        <w:r>
          <w:rPr>
            <w:rStyle w:val="Hyperlink"/>
            <w:rFonts w:ascii="Times New Roman" w:eastAsia="Times New Roman" w:hAnsi="Times New Roman" w:cs="Times New Roman"/>
          </w:rPr>
          <w:t>https://nsarchive.gwu.edu/document/18370-national-security-archive-u-s-senate-permanent</w:t>
        </w:r>
      </w:hyperlink>
    </w:p>
    <w:p w14:paraId="2B3C8473" w14:textId="77777777" w:rsidR="00284E84" w:rsidRDefault="00284E84" w:rsidP="00284E84">
      <w:pPr>
        <w:spacing w:line="480" w:lineRule="auto"/>
        <w:ind w:left="720" w:hanging="720"/>
      </w:pPr>
      <w:r>
        <w:rPr>
          <w:rFonts w:ascii="Times New Roman" w:eastAsia="Times New Roman" w:hAnsi="Times New Roman" w:cs="Times New Roman"/>
        </w:rPr>
        <w:t xml:space="preserve">Venable, J., Pries-Heje, J., &amp; Baskerville, R. (2016). FEDS: A framework for evaluation in design science research. </w:t>
      </w:r>
      <w:r>
        <w:rPr>
          <w:rFonts w:ascii="Times New Roman" w:eastAsia="Times New Roman" w:hAnsi="Times New Roman" w:cs="Times New Roman"/>
          <w:i/>
          <w:iCs/>
        </w:rPr>
        <w:t>European Journal of Information Systems, 25</w:t>
      </w:r>
      <w:r>
        <w:rPr>
          <w:rFonts w:ascii="Times New Roman" w:eastAsia="Times New Roman" w:hAnsi="Times New Roman" w:cs="Times New Roman"/>
        </w:rPr>
        <w:t xml:space="preserve">(1), 77–89. </w:t>
      </w:r>
      <w:hyperlink r:id="rId124" w:history="1">
        <w:r>
          <w:rPr>
            <w:rFonts w:ascii="Times New Roman" w:eastAsia="Times New Roman" w:hAnsi="Times New Roman" w:cs="Times New Roman"/>
            <w:color w:val="1155CC"/>
            <w:u w:val="single"/>
          </w:rPr>
          <w:t>https://doi.org/10.1057/ejis.2014.36</w:t>
        </w:r>
      </w:hyperlink>
    </w:p>
    <w:p w14:paraId="4BB1E6ED" w14:textId="77777777" w:rsidR="00284E84" w:rsidRDefault="00284E84" w:rsidP="00284E84">
      <w:pPr>
        <w:spacing w:line="480" w:lineRule="auto"/>
        <w:ind w:left="720" w:hanging="720"/>
      </w:pPr>
      <w:r>
        <w:rPr>
          <w:rFonts w:ascii="Times New Roman" w:eastAsia="Times New Roman" w:hAnsi="Times New Roman" w:cs="Times New Roman"/>
        </w:rPr>
        <w:t xml:space="preserve">Verizon. (2025). </w:t>
      </w:r>
      <w:r>
        <w:rPr>
          <w:rFonts w:ascii="Times New Roman" w:eastAsia="Times New Roman" w:hAnsi="Times New Roman" w:cs="Times New Roman"/>
          <w:i/>
          <w:iCs/>
        </w:rPr>
        <w:t>2025 data breach investigations report (DBIR).</w:t>
      </w:r>
      <w:r>
        <w:rPr>
          <w:rFonts w:ascii="Times New Roman" w:eastAsia="Times New Roman" w:hAnsi="Times New Roman" w:cs="Times New Roman"/>
        </w:rPr>
        <w:t xml:space="preserve"> Verizon Business. </w:t>
      </w:r>
      <w:hyperlink r:id="rId125" w:history="1">
        <w:r>
          <w:rPr>
            <w:rFonts w:ascii="Times New Roman" w:eastAsia="Times New Roman" w:hAnsi="Times New Roman" w:cs="Times New Roman"/>
            <w:color w:val="1155CC"/>
            <w:u w:val="single"/>
          </w:rPr>
          <w:t>https://www.verizon.com/business/resources/reports/2025-dbir-data-breach-investigations-report.pdf</w:t>
        </w:r>
      </w:hyperlink>
    </w:p>
    <w:p w14:paraId="02F4DFF4" w14:textId="77777777" w:rsidR="00284E84" w:rsidRDefault="00284E84" w:rsidP="00284E84">
      <w:pPr>
        <w:spacing w:line="480" w:lineRule="auto"/>
        <w:ind w:left="720" w:hanging="720"/>
      </w:pPr>
      <w:proofErr w:type="spellStart"/>
      <w:r>
        <w:rPr>
          <w:rFonts w:ascii="Times New Roman" w:eastAsia="Times New Roman" w:hAnsi="Times New Roman" w:cs="Times New Roman"/>
        </w:rPr>
        <w:t>Yaacovi</w:t>
      </w:r>
      <w:proofErr w:type="spellEnd"/>
      <w:r>
        <w:rPr>
          <w:rFonts w:ascii="Times New Roman" w:eastAsia="Times New Roman" w:hAnsi="Times New Roman" w:cs="Times New Roman"/>
        </w:rPr>
        <w:t xml:space="preserve">, R. (2022). </w:t>
      </w:r>
      <w:r>
        <w:rPr>
          <w:rFonts w:ascii="Times New Roman" w:eastAsia="Times New Roman" w:hAnsi="Times New Roman" w:cs="Times New Roman"/>
          <w:i/>
          <w:iCs/>
        </w:rPr>
        <w:t>Shining a light on shadow data: What it is and how to minimize it.</w:t>
      </w:r>
      <w:r>
        <w:rPr>
          <w:rFonts w:ascii="Times New Roman" w:eastAsia="Times New Roman" w:hAnsi="Times New Roman" w:cs="Times New Roman"/>
        </w:rPr>
        <w:t xml:space="preserve"> Cloud Security Alliance. </w:t>
      </w:r>
      <w:hyperlink r:id="rId126" w:history="1">
        <w:r>
          <w:rPr>
            <w:rFonts w:ascii="Times New Roman" w:eastAsia="Times New Roman" w:hAnsi="Times New Roman" w:cs="Times New Roman"/>
            <w:color w:val="1155CC"/>
            <w:u w:val="single"/>
          </w:rPr>
          <w:t>https://cloudsecurityalliance.org/blog/2022/06/07/shining-a-light-on-shadow-data-what-it-is-and-how-to-minimize-it</w:t>
        </w:r>
      </w:hyperlink>
    </w:p>
    <w:p w14:paraId="07403C8E" w14:textId="77777777" w:rsidR="00284E84" w:rsidRDefault="00284E84" w:rsidP="00284E84">
      <w:pPr>
        <w:spacing w:line="480" w:lineRule="auto"/>
        <w:ind w:left="720" w:hanging="720"/>
      </w:pPr>
      <w:r>
        <w:rPr>
          <w:rFonts w:ascii="Times New Roman" w:eastAsia="Times New Roman" w:hAnsi="Times New Roman" w:cs="Times New Roman"/>
        </w:rPr>
        <w:t xml:space="preserve">Yusuf. (2022). </w:t>
      </w:r>
      <w:r>
        <w:rPr>
          <w:rFonts w:ascii="Times New Roman" w:eastAsia="Times New Roman" w:hAnsi="Times New Roman" w:cs="Times New Roman"/>
          <w:i/>
          <w:iCs/>
        </w:rPr>
        <w:t>Network detection and response – NDR.</w:t>
      </w:r>
      <w:r>
        <w:rPr>
          <w:rFonts w:ascii="Times New Roman" w:eastAsia="Times New Roman" w:hAnsi="Times New Roman" w:cs="Times New Roman"/>
        </w:rPr>
        <w:t xml:space="preserve"> Yusuf On Security. </w:t>
      </w:r>
      <w:hyperlink r:id="rId127" w:history="1">
        <w:r>
          <w:rPr>
            <w:rFonts w:ascii="Times New Roman" w:eastAsia="Times New Roman" w:hAnsi="Times New Roman" w:cs="Times New Roman"/>
            <w:color w:val="1155CC"/>
            <w:u w:val="single"/>
          </w:rPr>
          <w:t>https://yusufonsecurity.com/2022/11/07/network-detection-and-response-ndr/</w:t>
        </w:r>
      </w:hyperlink>
    </w:p>
    <w:p w14:paraId="465FCDCF" w14:textId="77777777" w:rsidR="00284E84" w:rsidRDefault="00284E84" w:rsidP="00284E84">
      <w:pPr>
        <w:spacing w:line="480" w:lineRule="auto"/>
        <w:ind w:left="720" w:hanging="720"/>
      </w:pPr>
      <w:proofErr w:type="spellStart"/>
      <w:r>
        <w:rPr>
          <w:rFonts w:ascii="Times New Roman" w:eastAsia="Times New Roman" w:hAnsi="Times New Roman" w:cs="Times New Roman"/>
        </w:rPr>
        <w:t>Zeitlow</w:t>
      </w:r>
      <w:proofErr w:type="spellEnd"/>
      <w:r>
        <w:rPr>
          <w:rFonts w:ascii="Times New Roman" w:eastAsia="Times New Roman" w:hAnsi="Times New Roman" w:cs="Times New Roman"/>
        </w:rPr>
        <w:t xml:space="preserve">, E. (2026). </w:t>
      </w:r>
      <w:r>
        <w:rPr>
          <w:rFonts w:ascii="Times New Roman" w:eastAsia="Times New Roman" w:hAnsi="Times New Roman" w:cs="Times New Roman"/>
          <w:i/>
          <w:iCs/>
        </w:rPr>
        <w:t>Why SOC analysts spend most of their time gathering context, not analyzing threats.</w:t>
      </w:r>
      <w:r>
        <w:rPr>
          <w:rFonts w:ascii="Times New Roman" w:eastAsia="Times New Roman" w:hAnsi="Times New Roman" w:cs="Times New Roman"/>
        </w:rPr>
        <w:t xml:space="preserve"> </w:t>
      </w:r>
      <w:proofErr w:type="spellStart"/>
      <w:r>
        <w:rPr>
          <w:rFonts w:ascii="Times New Roman" w:eastAsia="Times New Roman" w:hAnsi="Times New Roman" w:cs="Times New Roman"/>
        </w:rPr>
        <w:t>DeepTempo</w:t>
      </w:r>
      <w:proofErr w:type="spellEnd"/>
      <w:r>
        <w:rPr>
          <w:rFonts w:ascii="Times New Roman" w:eastAsia="Times New Roman" w:hAnsi="Times New Roman" w:cs="Times New Roman"/>
        </w:rPr>
        <w:t xml:space="preserve">, Inc. </w:t>
      </w:r>
      <w:hyperlink r:id="rId128" w:history="1">
        <w:r>
          <w:rPr>
            <w:rFonts w:ascii="Times New Roman" w:eastAsia="Times New Roman" w:hAnsi="Times New Roman" w:cs="Times New Roman"/>
            <w:color w:val="1155CC"/>
            <w:u w:val="single"/>
          </w:rPr>
          <w:t>https://www.deeptempo.ai/blogs/why-soc-analysts-spend-most-of-their-time-gathering-context-not-analyzing-threats</w:t>
        </w:r>
      </w:hyperlink>
    </w:p>
    <w:p w14:paraId="64674DD6" w14:textId="77777777" w:rsidR="00857326"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Zhong, C., Yen, J., Liu, P., Erbacher, R. F., Garneau, C., &amp; Chen, B. (2017). Studying analysts' data triage operations in cyber defense situational analysis. In P. Liu, S. </w:t>
      </w:r>
      <w:proofErr w:type="spellStart"/>
      <w:r>
        <w:rPr>
          <w:rFonts w:ascii="Times New Roman" w:eastAsia="Times New Roman" w:hAnsi="Times New Roman" w:cs="Times New Roman"/>
        </w:rPr>
        <w:t>Jajodia</w:t>
      </w:r>
      <w:proofErr w:type="spellEnd"/>
      <w:r>
        <w:rPr>
          <w:rFonts w:ascii="Times New Roman" w:eastAsia="Times New Roman" w:hAnsi="Times New Roman" w:cs="Times New Roman"/>
        </w:rPr>
        <w:t xml:space="preserve">, &amp; C. Wang (Eds.), </w:t>
      </w:r>
      <w:r>
        <w:rPr>
          <w:rFonts w:ascii="Times New Roman" w:eastAsia="Times New Roman" w:hAnsi="Times New Roman" w:cs="Times New Roman"/>
          <w:i/>
          <w:iCs/>
        </w:rPr>
        <w:t>Theory and models for cyber situation awareness</w:t>
      </w:r>
      <w:r>
        <w:rPr>
          <w:rFonts w:ascii="Times New Roman" w:eastAsia="Times New Roman" w:hAnsi="Times New Roman" w:cs="Times New Roman"/>
        </w:rPr>
        <w:t xml:space="preserve"> (Lecture Notes in </w:t>
      </w:r>
      <w:r>
        <w:rPr>
          <w:rFonts w:ascii="Times New Roman" w:eastAsia="Times New Roman" w:hAnsi="Times New Roman" w:cs="Times New Roman"/>
        </w:rPr>
        <w:lastRenderedPageBreak/>
        <w:t xml:space="preserve">Computer Science, Vol. 10030, pp. 128–169). Springer. </w:t>
      </w:r>
      <w:hyperlink r:id="rId129" w:history="1">
        <w:r w:rsidR="00857326">
          <w:rPr>
            <w:rFonts w:ascii="Times New Roman" w:eastAsia="Times New Roman" w:hAnsi="Times New Roman" w:cs="Times New Roman"/>
            <w:color w:val="1155CC"/>
            <w:u w:val="single"/>
          </w:rPr>
          <w:t>https://doi.org/10.1007/978-3-319-61152-5_6</w:t>
        </w:r>
      </w:hyperlink>
    </w:p>
    <w:p w14:paraId="6A21FEE1" w14:textId="77777777" w:rsidR="00284E84" w:rsidRDefault="00284E84" w:rsidP="00284E84">
      <w:pPr>
        <w:spacing w:line="480" w:lineRule="auto"/>
        <w:ind w:left="720" w:hanging="720"/>
      </w:pPr>
      <w:r>
        <w:rPr>
          <w:rFonts w:ascii="Times New Roman" w:eastAsia="Times New Roman" w:hAnsi="Times New Roman" w:cs="Times New Roman"/>
        </w:rPr>
        <w:t xml:space="preserve">Zimmerman, C. (2014). </w:t>
      </w:r>
      <w:r>
        <w:rPr>
          <w:rFonts w:ascii="Times New Roman" w:eastAsia="Times New Roman" w:hAnsi="Times New Roman" w:cs="Times New Roman"/>
          <w:i/>
          <w:iCs/>
        </w:rPr>
        <w:t>Ten strategies of a world-class cybersecurity operations center.</w:t>
      </w:r>
      <w:r>
        <w:rPr>
          <w:rFonts w:ascii="Times New Roman" w:eastAsia="Times New Roman" w:hAnsi="Times New Roman" w:cs="Times New Roman"/>
        </w:rPr>
        <w:t xml:space="preserve"> The MITRE Corporation. </w:t>
      </w:r>
      <w:hyperlink r:id="rId130" w:history="1">
        <w:r>
          <w:rPr>
            <w:rFonts w:ascii="Times New Roman" w:eastAsia="Times New Roman" w:hAnsi="Times New Roman" w:cs="Times New Roman"/>
            <w:color w:val="1155CC"/>
            <w:u w:val="single"/>
          </w:rPr>
          <w:t>https://web.archive.org/web/2020/https://www.mitre.org/sites/default/files/publications/pr-13-1028-mitre-10-strategies-cyber-ops-center.pdf</w:t>
        </w:r>
      </w:hyperlink>
    </w:p>
    <w:sectPr w:rsidR="00284E84" w:rsidSect="007373E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D238" w14:textId="77777777" w:rsidR="00293BD9" w:rsidRDefault="00293BD9" w:rsidP="00A25DEE">
      <w:pPr>
        <w:spacing w:after="0" w:line="240" w:lineRule="auto"/>
      </w:pPr>
      <w:r>
        <w:separator/>
      </w:r>
    </w:p>
  </w:endnote>
  <w:endnote w:type="continuationSeparator" w:id="0">
    <w:p w14:paraId="68C3FC65" w14:textId="77777777" w:rsidR="00293BD9" w:rsidRDefault="00293BD9" w:rsidP="00A25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841C" w14:textId="77777777" w:rsidR="00A6430D" w:rsidRDefault="007373E3">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85F2" w14:textId="77777777" w:rsidR="00A6430D" w:rsidRDefault="00A6430D">
    <w:pPr>
      <w:pStyle w:val="Footer"/>
      <w:jc w:val="center"/>
    </w:pPr>
  </w:p>
  <w:p w14:paraId="12BE4D57" w14:textId="77777777" w:rsidR="00A6430D" w:rsidRDefault="00A643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842C" w14:textId="77777777" w:rsidR="00FA71B2" w:rsidRDefault="00FA71B2">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08B72F0" w14:textId="77777777" w:rsidR="007373E3" w:rsidRDefault="007373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085042"/>
      <w:docPartObj>
        <w:docPartGallery w:val="Page Numbers (Bottom of Page)"/>
        <w:docPartUnique/>
      </w:docPartObj>
    </w:sdtPr>
    <w:sdtEndPr>
      <w:rPr>
        <w:noProof/>
      </w:rPr>
    </w:sdtEndPr>
    <w:sdtContent>
      <w:p w14:paraId="37096926" w14:textId="77777777" w:rsidR="007373E3" w:rsidRDefault="00737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13B7FC" w14:textId="77777777" w:rsidR="007373E3" w:rsidRDefault="00737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69519" w14:textId="77777777" w:rsidR="00293BD9" w:rsidRDefault="00293BD9" w:rsidP="00A25DEE">
      <w:pPr>
        <w:spacing w:after="0" w:line="240" w:lineRule="auto"/>
      </w:pPr>
      <w:r>
        <w:separator/>
      </w:r>
    </w:p>
  </w:footnote>
  <w:footnote w:type="continuationSeparator" w:id="0">
    <w:p w14:paraId="51E1FFD3" w14:textId="77777777" w:rsidR="00293BD9" w:rsidRDefault="00293BD9" w:rsidP="00A25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1D0A"/>
    <w:multiLevelType w:val="multilevel"/>
    <w:tmpl w:val="8E68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534CC"/>
    <w:multiLevelType w:val="multilevel"/>
    <w:tmpl w:val="43687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624B6"/>
    <w:multiLevelType w:val="multilevel"/>
    <w:tmpl w:val="DB1AEE70"/>
    <w:lvl w:ilvl="0">
      <w:start w:val="2"/>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pStyle w:val="Heading3"/>
      <w:lvlText w:val="%1.%2.%3"/>
      <w:lvlJc w:val="left"/>
      <w:pPr>
        <w:ind w:left="207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A884D6D"/>
    <w:multiLevelType w:val="multilevel"/>
    <w:tmpl w:val="3FE0CF40"/>
    <w:lvl w:ilvl="0">
      <w:start w:val="1"/>
      <w:numFmt w:val="decimal"/>
      <w:lvlText w:val="%1"/>
      <w:lvlJc w:val="left"/>
      <w:pPr>
        <w:ind w:left="600" w:hanging="600"/>
      </w:pPr>
      <w:rPr>
        <w:rFonts w:hint="default"/>
      </w:rPr>
    </w:lvl>
    <w:lvl w:ilvl="1">
      <w:start w:val="6"/>
      <w:numFmt w:val="decimal"/>
      <w:lvlText w:val="%1.%2"/>
      <w:lvlJc w:val="left"/>
      <w:pPr>
        <w:ind w:left="690" w:hanging="600"/>
      </w:pPr>
      <w:rPr>
        <w:rFonts w:hint="default"/>
      </w:rPr>
    </w:lvl>
    <w:lvl w:ilvl="2">
      <w:start w:val="2"/>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4" w15:restartNumberingAfterBreak="0">
    <w:nsid w:val="5F190518"/>
    <w:multiLevelType w:val="multilevel"/>
    <w:tmpl w:val="26C6F4E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B463D22"/>
    <w:multiLevelType w:val="multilevel"/>
    <w:tmpl w:val="F356C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BC7B12"/>
    <w:multiLevelType w:val="multilevel"/>
    <w:tmpl w:val="7E92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763462"/>
    <w:multiLevelType w:val="multilevel"/>
    <w:tmpl w:val="B11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625801">
    <w:abstractNumId w:val="1"/>
  </w:num>
  <w:num w:numId="2" w16cid:durableId="527794015">
    <w:abstractNumId w:val="7"/>
  </w:num>
  <w:num w:numId="3" w16cid:durableId="212886580">
    <w:abstractNumId w:val="0"/>
  </w:num>
  <w:num w:numId="4" w16cid:durableId="442503275">
    <w:abstractNumId w:val="2"/>
  </w:num>
  <w:num w:numId="5" w16cid:durableId="1781685045">
    <w:abstractNumId w:val="5"/>
  </w:num>
  <w:num w:numId="6" w16cid:durableId="1082677348">
    <w:abstractNumId w:val="6"/>
  </w:num>
  <w:num w:numId="7" w16cid:durableId="1361974192">
    <w:abstractNumId w:val="4"/>
  </w:num>
  <w:num w:numId="8" w16cid:durableId="98608201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B3"/>
    <w:rsid w:val="00003D5A"/>
    <w:rsid w:val="00005216"/>
    <w:rsid w:val="00011216"/>
    <w:rsid w:val="000135F4"/>
    <w:rsid w:val="00021EA4"/>
    <w:rsid w:val="0002260C"/>
    <w:rsid w:val="000264C3"/>
    <w:rsid w:val="000271DD"/>
    <w:rsid w:val="000319E4"/>
    <w:rsid w:val="00035681"/>
    <w:rsid w:val="00040F82"/>
    <w:rsid w:val="00041789"/>
    <w:rsid w:val="00045E86"/>
    <w:rsid w:val="00050076"/>
    <w:rsid w:val="00052140"/>
    <w:rsid w:val="00052BC2"/>
    <w:rsid w:val="00053636"/>
    <w:rsid w:val="000616AC"/>
    <w:rsid w:val="00062867"/>
    <w:rsid w:val="000654C5"/>
    <w:rsid w:val="000707E9"/>
    <w:rsid w:val="00074CCC"/>
    <w:rsid w:val="00075893"/>
    <w:rsid w:val="000766CF"/>
    <w:rsid w:val="00080970"/>
    <w:rsid w:val="000847B8"/>
    <w:rsid w:val="00087FFC"/>
    <w:rsid w:val="000903C3"/>
    <w:rsid w:val="00092A99"/>
    <w:rsid w:val="00093EFD"/>
    <w:rsid w:val="00094CF8"/>
    <w:rsid w:val="000A0C2B"/>
    <w:rsid w:val="000A24B7"/>
    <w:rsid w:val="000A74D0"/>
    <w:rsid w:val="000B127A"/>
    <w:rsid w:val="000B2462"/>
    <w:rsid w:val="000B2D78"/>
    <w:rsid w:val="000B34CB"/>
    <w:rsid w:val="000B6674"/>
    <w:rsid w:val="000B6F9A"/>
    <w:rsid w:val="000C18BD"/>
    <w:rsid w:val="000C2A87"/>
    <w:rsid w:val="000C33DA"/>
    <w:rsid w:val="000C7892"/>
    <w:rsid w:val="000D406F"/>
    <w:rsid w:val="000E51F6"/>
    <w:rsid w:val="000F0703"/>
    <w:rsid w:val="000F08CD"/>
    <w:rsid w:val="000F2BB2"/>
    <w:rsid w:val="00102D39"/>
    <w:rsid w:val="00115E3B"/>
    <w:rsid w:val="00121FFE"/>
    <w:rsid w:val="001341B1"/>
    <w:rsid w:val="00134293"/>
    <w:rsid w:val="0013432B"/>
    <w:rsid w:val="0013746E"/>
    <w:rsid w:val="001536D3"/>
    <w:rsid w:val="001565EA"/>
    <w:rsid w:val="00156867"/>
    <w:rsid w:val="00157045"/>
    <w:rsid w:val="001622A8"/>
    <w:rsid w:val="001646E3"/>
    <w:rsid w:val="00167209"/>
    <w:rsid w:val="001777E8"/>
    <w:rsid w:val="00180370"/>
    <w:rsid w:val="00181554"/>
    <w:rsid w:val="00183504"/>
    <w:rsid w:val="00184238"/>
    <w:rsid w:val="0018448D"/>
    <w:rsid w:val="00185139"/>
    <w:rsid w:val="001907C9"/>
    <w:rsid w:val="001B1116"/>
    <w:rsid w:val="001B40D6"/>
    <w:rsid w:val="001B6222"/>
    <w:rsid w:val="001B6D8E"/>
    <w:rsid w:val="001C0A17"/>
    <w:rsid w:val="001C3A6D"/>
    <w:rsid w:val="001C7C4B"/>
    <w:rsid w:val="001D0F03"/>
    <w:rsid w:val="001D2DCF"/>
    <w:rsid w:val="001D2F01"/>
    <w:rsid w:val="001D74BE"/>
    <w:rsid w:val="001E5CAE"/>
    <w:rsid w:val="001E7906"/>
    <w:rsid w:val="001F4F23"/>
    <w:rsid w:val="001F59E3"/>
    <w:rsid w:val="001F641A"/>
    <w:rsid w:val="001F796B"/>
    <w:rsid w:val="00200228"/>
    <w:rsid w:val="00201842"/>
    <w:rsid w:val="00207106"/>
    <w:rsid w:val="002105AD"/>
    <w:rsid w:val="002174F0"/>
    <w:rsid w:val="00223409"/>
    <w:rsid w:val="00233385"/>
    <w:rsid w:val="00240B92"/>
    <w:rsid w:val="002467AE"/>
    <w:rsid w:val="00252EBD"/>
    <w:rsid w:val="00253F3E"/>
    <w:rsid w:val="00264538"/>
    <w:rsid w:val="00267332"/>
    <w:rsid w:val="00267887"/>
    <w:rsid w:val="00277E77"/>
    <w:rsid w:val="00281217"/>
    <w:rsid w:val="002824D0"/>
    <w:rsid w:val="0028451C"/>
    <w:rsid w:val="00284E84"/>
    <w:rsid w:val="00285C25"/>
    <w:rsid w:val="002874FD"/>
    <w:rsid w:val="00291863"/>
    <w:rsid w:val="00293BD9"/>
    <w:rsid w:val="00294FD3"/>
    <w:rsid w:val="002A35D1"/>
    <w:rsid w:val="002A493A"/>
    <w:rsid w:val="002A7BA5"/>
    <w:rsid w:val="002B0BF2"/>
    <w:rsid w:val="002B2290"/>
    <w:rsid w:val="002C4C8C"/>
    <w:rsid w:val="002D4F8F"/>
    <w:rsid w:val="002D5A95"/>
    <w:rsid w:val="002E01CC"/>
    <w:rsid w:val="002E04F2"/>
    <w:rsid w:val="002E116B"/>
    <w:rsid w:val="002E7E10"/>
    <w:rsid w:val="002F1343"/>
    <w:rsid w:val="002F1831"/>
    <w:rsid w:val="002F6B7D"/>
    <w:rsid w:val="002F73BD"/>
    <w:rsid w:val="00300B3B"/>
    <w:rsid w:val="0030586F"/>
    <w:rsid w:val="00310E28"/>
    <w:rsid w:val="00314EAA"/>
    <w:rsid w:val="0031504B"/>
    <w:rsid w:val="00315776"/>
    <w:rsid w:val="00316FCC"/>
    <w:rsid w:val="0032012A"/>
    <w:rsid w:val="00320E56"/>
    <w:rsid w:val="003218E8"/>
    <w:rsid w:val="00323589"/>
    <w:rsid w:val="00325F6D"/>
    <w:rsid w:val="00326F87"/>
    <w:rsid w:val="00327240"/>
    <w:rsid w:val="0032795B"/>
    <w:rsid w:val="00334972"/>
    <w:rsid w:val="00335E69"/>
    <w:rsid w:val="00336D94"/>
    <w:rsid w:val="00336F53"/>
    <w:rsid w:val="00341BAD"/>
    <w:rsid w:val="003440AF"/>
    <w:rsid w:val="00346A42"/>
    <w:rsid w:val="00357DDF"/>
    <w:rsid w:val="0036340D"/>
    <w:rsid w:val="00366B6F"/>
    <w:rsid w:val="00371B7D"/>
    <w:rsid w:val="003732AE"/>
    <w:rsid w:val="00373364"/>
    <w:rsid w:val="003771BC"/>
    <w:rsid w:val="00381548"/>
    <w:rsid w:val="00382704"/>
    <w:rsid w:val="00383764"/>
    <w:rsid w:val="00387094"/>
    <w:rsid w:val="003947ED"/>
    <w:rsid w:val="003978F7"/>
    <w:rsid w:val="003A15F4"/>
    <w:rsid w:val="003A206E"/>
    <w:rsid w:val="003A256D"/>
    <w:rsid w:val="003A6094"/>
    <w:rsid w:val="003A6508"/>
    <w:rsid w:val="003A6D92"/>
    <w:rsid w:val="003A73AB"/>
    <w:rsid w:val="003B1EB7"/>
    <w:rsid w:val="003C0093"/>
    <w:rsid w:val="003C66CA"/>
    <w:rsid w:val="003D2469"/>
    <w:rsid w:val="003D4268"/>
    <w:rsid w:val="003D5E84"/>
    <w:rsid w:val="003E1FC3"/>
    <w:rsid w:val="003E48CE"/>
    <w:rsid w:val="003E6091"/>
    <w:rsid w:val="003E6DFD"/>
    <w:rsid w:val="003F1FED"/>
    <w:rsid w:val="003F6BC3"/>
    <w:rsid w:val="0040141A"/>
    <w:rsid w:val="00401F00"/>
    <w:rsid w:val="00403D2A"/>
    <w:rsid w:val="00404500"/>
    <w:rsid w:val="00404EEC"/>
    <w:rsid w:val="004133FF"/>
    <w:rsid w:val="004177D8"/>
    <w:rsid w:val="00422DBF"/>
    <w:rsid w:val="00424066"/>
    <w:rsid w:val="00427BF1"/>
    <w:rsid w:val="0043255A"/>
    <w:rsid w:val="0043261D"/>
    <w:rsid w:val="00436E71"/>
    <w:rsid w:val="00441811"/>
    <w:rsid w:val="00454677"/>
    <w:rsid w:val="004600DA"/>
    <w:rsid w:val="00461622"/>
    <w:rsid w:val="00461B85"/>
    <w:rsid w:val="00463447"/>
    <w:rsid w:val="004637E5"/>
    <w:rsid w:val="004645F9"/>
    <w:rsid w:val="00466325"/>
    <w:rsid w:val="00466D9E"/>
    <w:rsid w:val="004704E6"/>
    <w:rsid w:val="00472FDD"/>
    <w:rsid w:val="00473C34"/>
    <w:rsid w:val="0047722A"/>
    <w:rsid w:val="004800C7"/>
    <w:rsid w:val="00481092"/>
    <w:rsid w:val="004817E3"/>
    <w:rsid w:val="00483C09"/>
    <w:rsid w:val="00484FB3"/>
    <w:rsid w:val="00494383"/>
    <w:rsid w:val="0049639C"/>
    <w:rsid w:val="0049776C"/>
    <w:rsid w:val="004A002D"/>
    <w:rsid w:val="004A1A9C"/>
    <w:rsid w:val="004A20F4"/>
    <w:rsid w:val="004A575C"/>
    <w:rsid w:val="004A5D57"/>
    <w:rsid w:val="004A5D9A"/>
    <w:rsid w:val="004A741B"/>
    <w:rsid w:val="004B3F73"/>
    <w:rsid w:val="004B4E3B"/>
    <w:rsid w:val="004C1DE6"/>
    <w:rsid w:val="004C69F3"/>
    <w:rsid w:val="004C78CC"/>
    <w:rsid w:val="004C7CB1"/>
    <w:rsid w:val="004D1E34"/>
    <w:rsid w:val="004D63EE"/>
    <w:rsid w:val="004F2578"/>
    <w:rsid w:val="004F6554"/>
    <w:rsid w:val="004F7174"/>
    <w:rsid w:val="00503BEB"/>
    <w:rsid w:val="00517138"/>
    <w:rsid w:val="00532E36"/>
    <w:rsid w:val="00537B81"/>
    <w:rsid w:val="005407FD"/>
    <w:rsid w:val="00541E2F"/>
    <w:rsid w:val="00544AC6"/>
    <w:rsid w:val="005521FC"/>
    <w:rsid w:val="00557441"/>
    <w:rsid w:val="00560071"/>
    <w:rsid w:val="00561A64"/>
    <w:rsid w:val="005629A4"/>
    <w:rsid w:val="0057571D"/>
    <w:rsid w:val="00576CD1"/>
    <w:rsid w:val="005771C9"/>
    <w:rsid w:val="005771D1"/>
    <w:rsid w:val="00585DFB"/>
    <w:rsid w:val="00591404"/>
    <w:rsid w:val="005942A8"/>
    <w:rsid w:val="00594B1D"/>
    <w:rsid w:val="005967BE"/>
    <w:rsid w:val="005A2442"/>
    <w:rsid w:val="005A69E7"/>
    <w:rsid w:val="005B1DCA"/>
    <w:rsid w:val="005B733B"/>
    <w:rsid w:val="005D3B36"/>
    <w:rsid w:val="005D614D"/>
    <w:rsid w:val="005E2148"/>
    <w:rsid w:val="005E33F8"/>
    <w:rsid w:val="005F2802"/>
    <w:rsid w:val="005F2C81"/>
    <w:rsid w:val="005F7DBD"/>
    <w:rsid w:val="0060340D"/>
    <w:rsid w:val="0060577D"/>
    <w:rsid w:val="00611081"/>
    <w:rsid w:val="00612E32"/>
    <w:rsid w:val="00613613"/>
    <w:rsid w:val="00615898"/>
    <w:rsid w:val="00620F67"/>
    <w:rsid w:val="00631F35"/>
    <w:rsid w:val="00634A2E"/>
    <w:rsid w:val="006373DD"/>
    <w:rsid w:val="00640A22"/>
    <w:rsid w:val="006430B3"/>
    <w:rsid w:val="00646675"/>
    <w:rsid w:val="00646ACE"/>
    <w:rsid w:val="0064707B"/>
    <w:rsid w:val="00650D93"/>
    <w:rsid w:val="00653218"/>
    <w:rsid w:val="00654A3E"/>
    <w:rsid w:val="006550C6"/>
    <w:rsid w:val="006558A6"/>
    <w:rsid w:val="00670227"/>
    <w:rsid w:val="00670F5E"/>
    <w:rsid w:val="00671782"/>
    <w:rsid w:val="00673D16"/>
    <w:rsid w:val="00676EA9"/>
    <w:rsid w:val="006827D1"/>
    <w:rsid w:val="00684D00"/>
    <w:rsid w:val="006855CB"/>
    <w:rsid w:val="006869B7"/>
    <w:rsid w:val="00691EB6"/>
    <w:rsid w:val="00692F48"/>
    <w:rsid w:val="006A7B16"/>
    <w:rsid w:val="006B1B5F"/>
    <w:rsid w:val="006B2258"/>
    <w:rsid w:val="006B3655"/>
    <w:rsid w:val="006B7517"/>
    <w:rsid w:val="006C5346"/>
    <w:rsid w:val="006C6E97"/>
    <w:rsid w:val="006D04AC"/>
    <w:rsid w:val="006D2FD9"/>
    <w:rsid w:val="006D6E47"/>
    <w:rsid w:val="006E0E60"/>
    <w:rsid w:val="006E168D"/>
    <w:rsid w:val="006E3010"/>
    <w:rsid w:val="006E4189"/>
    <w:rsid w:val="006E530F"/>
    <w:rsid w:val="006F5CCE"/>
    <w:rsid w:val="00701CBA"/>
    <w:rsid w:val="007023C3"/>
    <w:rsid w:val="0070385F"/>
    <w:rsid w:val="00707209"/>
    <w:rsid w:val="007170BC"/>
    <w:rsid w:val="0072214E"/>
    <w:rsid w:val="00723CD3"/>
    <w:rsid w:val="0072665C"/>
    <w:rsid w:val="007306BE"/>
    <w:rsid w:val="00731E07"/>
    <w:rsid w:val="0073647B"/>
    <w:rsid w:val="007373E3"/>
    <w:rsid w:val="00740682"/>
    <w:rsid w:val="00740EDC"/>
    <w:rsid w:val="007415FE"/>
    <w:rsid w:val="00741681"/>
    <w:rsid w:val="007443DD"/>
    <w:rsid w:val="00750066"/>
    <w:rsid w:val="007513C1"/>
    <w:rsid w:val="007550A7"/>
    <w:rsid w:val="00760D83"/>
    <w:rsid w:val="00761A7B"/>
    <w:rsid w:val="00762A6C"/>
    <w:rsid w:val="00763251"/>
    <w:rsid w:val="00764AD6"/>
    <w:rsid w:val="007660B5"/>
    <w:rsid w:val="007702E4"/>
    <w:rsid w:val="007716AD"/>
    <w:rsid w:val="00775FD9"/>
    <w:rsid w:val="0078001A"/>
    <w:rsid w:val="007816E1"/>
    <w:rsid w:val="00790989"/>
    <w:rsid w:val="0079185B"/>
    <w:rsid w:val="00797CD9"/>
    <w:rsid w:val="007A27B4"/>
    <w:rsid w:val="007B0F23"/>
    <w:rsid w:val="007B44F4"/>
    <w:rsid w:val="007C079C"/>
    <w:rsid w:val="007D21AE"/>
    <w:rsid w:val="007D2323"/>
    <w:rsid w:val="007D2464"/>
    <w:rsid w:val="007D40B1"/>
    <w:rsid w:val="007E02E0"/>
    <w:rsid w:val="007E0D46"/>
    <w:rsid w:val="007E1537"/>
    <w:rsid w:val="007E399C"/>
    <w:rsid w:val="007E673A"/>
    <w:rsid w:val="007F1DD1"/>
    <w:rsid w:val="007F1E3C"/>
    <w:rsid w:val="00800EC3"/>
    <w:rsid w:val="008010B6"/>
    <w:rsid w:val="008026BD"/>
    <w:rsid w:val="008064FA"/>
    <w:rsid w:val="00806D7E"/>
    <w:rsid w:val="008104AE"/>
    <w:rsid w:val="008108EB"/>
    <w:rsid w:val="00812721"/>
    <w:rsid w:val="008215F4"/>
    <w:rsid w:val="00826B08"/>
    <w:rsid w:val="00827202"/>
    <w:rsid w:val="0083050B"/>
    <w:rsid w:val="00832859"/>
    <w:rsid w:val="00832E39"/>
    <w:rsid w:val="0084282D"/>
    <w:rsid w:val="0084610C"/>
    <w:rsid w:val="00846648"/>
    <w:rsid w:val="0085116A"/>
    <w:rsid w:val="0085227C"/>
    <w:rsid w:val="00853E25"/>
    <w:rsid w:val="008560E1"/>
    <w:rsid w:val="00857326"/>
    <w:rsid w:val="008614BE"/>
    <w:rsid w:val="00867823"/>
    <w:rsid w:val="00876A81"/>
    <w:rsid w:val="00877C95"/>
    <w:rsid w:val="00882279"/>
    <w:rsid w:val="008841C6"/>
    <w:rsid w:val="00891BDD"/>
    <w:rsid w:val="00894441"/>
    <w:rsid w:val="00895A40"/>
    <w:rsid w:val="00896289"/>
    <w:rsid w:val="008A55C8"/>
    <w:rsid w:val="008B0B83"/>
    <w:rsid w:val="008B19C4"/>
    <w:rsid w:val="008B3900"/>
    <w:rsid w:val="008B7283"/>
    <w:rsid w:val="008B75AF"/>
    <w:rsid w:val="008C1B34"/>
    <w:rsid w:val="008C381F"/>
    <w:rsid w:val="008C47E3"/>
    <w:rsid w:val="008D17A8"/>
    <w:rsid w:val="008D552C"/>
    <w:rsid w:val="008D619B"/>
    <w:rsid w:val="008D7E54"/>
    <w:rsid w:val="008E2DF6"/>
    <w:rsid w:val="008E7197"/>
    <w:rsid w:val="008F1397"/>
    <w:rsid w:val="008F2A0E"/>
    <w:rsid w:val="008F50FB"/>
    <w:rsid w:val="009012FA"/>
    <w:rsid w:val="0090345A"/>
    <w:rsid w:val="00913198"/>
    <w:rsid w:val="009153CB"/>
    <w:rsid w:val="00922577"/>
    <w:rsid w:val="00926CB9"/>
    <w:rsid w:val="00927C0C"/>
    <w:rsid w:val="00934230"/>
    <w:rsid w:val="00942B17"/>
    <w:rsid w:val="009443F9"/>
    <w:rsid w:val="009563C0"/>
    <w:rsid w:val="009638C4"/>
    <w:rsid w:val="00966666"/>
    <w:rsid w:val="009672F4"/>
    <w:rsid w:val="00967909"/>
    <w:rsid w:val="00972FC9"/>
    <w:rsid w:val="00982B63"/>
    <w:rsid w:val="00983990"/>
    <w:rsid w:val="009850D1"/>
    <w:rsid w:val="00985EA4"/>
    <w:rsid w:val="0098695F"/>
    <w:rsid w:val="00986C56"/>
    <w:rsid w:val="009912B6"/>
    <w:rsid w:val="00991571"/>
    <w:rsid w:val="00991F22"/>
    <w:rsid w:val="00996703"/>
    <w:rsid w:val="009A1453"/>
    <w:rsid w:val="009A164C"/>
    <w:rsid w:val="009A1A52"/>
    <w:rsid w:val="009A731C"/>
    <w:rsid w:val="009B0EFA"/>
    <w:rsid w:val="009B166D"/>
    <w:rsid w:val="009B2D41"/>
    <w:rsid w:val="009B4403"/>
    <w:rsid w:val="009B4C03"/>
    <w:rsid w:val="009B4E66"/>
    <w:rsid w:val="009B5DE5"/>
    <w:rsid w:val="009C57B2"/>
    <w:rsid w:val="009C5A16"/>
    <w:rsid w:val="009D0CC6"/>
    <w:rsid w:val="009D3F46"/>
    <w:rsid w:val="009D45E9"/>
    <w:rsid w:val="009E217E"/>
    <w:rsid w:val="009E5E0A"/>
    <w:rsid w:val="009E7BFD"/>
    <w:rsid w:val="009F2580"/>
    <w:rsid w:val="009F608F"/>
    <w:rsid w:val="009F789A"/>
    <w:rsid w:val="00A14279"/>
    <w:rsid w:val="00A203F5"/>
    <w:rsid w:val="00A2596D"/>
    <w:rsid w:val="00A25DEE"/>
    <w:rsid w:val="00A27310"/>
    <w:rsid w:val="00A27C64"/>
    <w:rsid w:val="00A31D73"/>
    <w:rsid w:val="00A40CE1"/>
    <w:rsid w:val="00A42FB4"/>
    <w:rsid w:val="00A43BAB"/>
    <w:rsid w:val="00A46C76"/>
    <w:rsid w:val="00A47E39"/>
    <w:rsid w:val="00A52ABD"/>
    <w:rsid w:val="00A541FB"/>
    <w:rsid w:val="00A61064"/>
    <w:rsid w:val="00A63F5D"/>
    <w:rsid w:val="00A6430D"/>
    <w:rsid w:val="00A71871"/>
    <w:rsid w:val="00A743F0"/>
    <w:rsid w:val="00A75600"/>
    <w:rsid w:val="00A77F60"/>
    <w:rsid w:val="00A81034"/>
    <w:rsid w:val="00A87B98"/>
    <w:rsid w:val="00A90E91"/>
    <w:rsid w:val="00A9340A"/>
    <w:rsid w:val="00A94147"/>
    <w:rsid w:val="00A96B46"/>
    <w:rsid w:val="00A97787"/>
    <w:rsid w:val="00AA2008"/>
    <w:rsid w:val="00AB0164"/>
    <w:rsid w:val="00AB38EB"/>
    <w:rsid w:val="00AB7BF3"/>
    <w:rsid w:val="00AB7CED"/>
    <w:rsid w:val="00AC1B19"/>
    <w:rsid w:val="00AC5023"/>
    <w:rsid w:val="00AC7A44"/>
    <w:rsid w:val="00AD127A"/>
    <w:rsid w:val="00AD39C1"/>
    <w:rsid w:val="00AE2036"/>
    <w:rsid w:val="00AF0CB6"/>
    <w:rsid w:val="00AF477C"/>
    <w:rsid w:val="00AF5681"/>
    <w:rsid w:val="00AF5F60"/>
    <w:rsid w:val="00AF648A"/>
    <w:rsid w:val="00AF6FE0"/>
    <w:rsid w:val="00AF7890"/>
    <w:rsid w:val="00B0019E"/>
    <w:rsid w:val="00B00716"/>
    <w:rsid w:val="00B02F0D"/>
    <w:rsid w:val="00B05CCC"/>
    <w:rsid w:val="00B07038"/>
    <w:rsid w:val="00B1189D"/>
    <w:rsid w:val="00B14884"/>
    <w:rsid w:val="00B230A1"/>
    <w:rsid w:val="00B23794"/>
    <w:rsid w:val="00B25B4D"/>
    <w:rsid w:val="00B34056"/>
    <w:rsid w:val="00B34747"/>
    <w:rsid w:val="00B3760A"/>
    <w:rsid w:val="00B409C3"/>
    <w:rsid w:val="00B42D19"/>
    <w:rsid w:val="00B43AD9"/>
    <w:rsid w:val="00B44613"/>
    <w:rsid w:val="00B44FAF"/>
    <w:rsid w:val="00B478F7"/>
    <w:rsid w:val="00B509C3"/>
    <w:rsid w:val="00B56589"/>
    <w:rsid w:val="00B57117"/>
    <w:rsid w:val="00B6238D"/>
    <w:rsid w:val="00B662A6"/>
    <w:rsid w:val="00B776F2"/>
    <w:rsid w:val="00B8175D"/>
    <w:rsid w:val="00B82A90"/>
    <w:rsid w:val="00B84842"/>
    <w:rsid w:val="00B84D75"/>
    <w:rsid w:val="00B855C6"/>
    <w:rsid w:val="00B90CAC"/>
    <w:rsid w:val="00B9655C"/>
    <w:rsid w:val="00BA2401"/>
    <w:rsid w:val="00BA5066"/>
    <w:rsid w:val="00BA6B17"/>
    <w:rsid w:val="00BA768C"/>
    <w:rsid w:val="00BB4848"/>
    <w:rsid w:val="00BB4EB9"/>
    <w:rsid w:val="00BC0FE2"/>
    <w:rsid w:val="00BD7596"/>
    <w:rsid w:val="00BE2847"/>
    <w:rsid w:val="00BE3106"/>
    <w:rsid w:val="00BE37AD"/>
    <w:rsid w:val="00BF0E23"/>
    <w:rsid w:val="00BF2E57"/>
    <w:rsid w:val="00BF523D"/>
    <w:rsid w:val="00BF60D8"/>
    <w:rsid w:val="00C05962"/>
    <w:rsid w:val="00C07366"/>
    <w:rsid w:val="00C167CB"/>
    <w:rsid w:val="00C16C5F"/>
    <w:rsid w:val="00C208B7"/>
    <w:rsid w:val="00C2502F"/>
    <w:rsid w:val="00C27852"/>
    <w:rsid w:val="00C3181F"/>
    <w:rsid w:val="00C346B2"/>
    <w:rsid w:val="00C35046"/>
    <w:rsid w:val="00C3525B"/>
    <w:rsid w:val="00C37BB1"/>
    <w:rsid w:val="00C4027B"/>
    <w:rsid w:val="00C41D4C"/>
    <w:rsid w:val="00C50B99"/>
    <w:rsid w:val="00C51A1B"/>
    <w:rsid w:val="00C520B4"/>
    <w:rsid w:val="00C54CBB"/>
    <w:rsid w:val="00C609C3"/>
    <w:rsid w:val="00C70A3F"/>
    <w:rsid w:val="00C715BC"/>
    <w:rsid w:val="00C745B7"/>
    <w:rsid w:val="00C804D0"/>
    <w:rsid w:val="00C913F7"/>
    <w:rsid w:val="00C92967"/>
    <w:rsid w:val="00CA4395"/>
    <w:rsid w:val="00CA5112"/>
    <w:rsid w:val="00CA6ED9"/>
    <w:rsid w:val="00CB06BC"/>
    <w:rsid w:val="00CB152A"/>
    <w:rsid w:val="00CB5C83"/>
    <w:rsid w:val="00CB6881"/>
    <w:rsid w:val="00CC13CA"/>
    <w:rsid w:val="00CC441D"/>
    <w:rsid w:val="00CD23E5"/>
    <w:rsid w:val="00CD24FF"/>
    <w:rsid w:val="00CE1832"/>
    <w:rsid w:val="00CE20FE"/>
    <w:rsid w:val="00CE2514"/>
    <w:rsid w:val="00CE30DB"/>
    <w:rsid w:val="00CF0DC0"/>
    <w:rsid w:val="00CF12FA"/>
    <w:rsid w:val="00CF4825"/>
    <w:rsid w:val="00CF4A3D"/>
    <w:rsid w:val="00CF7E98"/>
    <w:rsid w:val="00D03BD6"/>
    <w:rsid w:val="00D0522C"/>
    <w:rsid w:val="00D05BD1"/>
    <w:rsid w:val="00D07492"/>
    <w:rsid w:val="00D079B2"/>
    <w:rsid w:val="00D13D87"/>
    <w:rsid w:val="00D1685C"/>
    <w:rsid w:val="00D3416B"/>
    <w:rsid w:val="00D34D52"/>
    <w:rsid w:val="00D353A4"/>
    <w:rsid w:val="00D37871"/>
    <w:rsid w:val="00D42179"/>
    <w:rsid w:val="00D459A1"/>
    <w:rsid w:val="00D45CEC"/>
    <w:rsid w:val="00D5379A"/>
    <w:rsid w:val="00D56E0F"/>
    <w:rsid w:val="00D57BF5"/>
    <w:rsid w:val="00D60BCC"/>
    <w:rsid w:val="00D6216E"/>
    <w:rsid w:val="00D6427E"/>
    <w:rsid w:val="00D65BE7"/>
    <w:rsid w:val="00D65EF9"/>
    <w:rsid w:val="00D7456C"/>
    <w:rsid w:val="00D77B4D"/>
    <w:rsid w:val="00D80AA2"/>
    <w:rsid w:val="00D82DB2"/>
    <w:rsid w:val="00D8356F"/>
    <w:rsid w:val="00D850EB"/>
    <w:rsid w:val="00D854AE"/>
    <w:rsid w:val="00D8660E"/>
    <w:rsid w:val="00D92E49"/>
    <w:rsid w:val="00D9506A"/>
    <w:rsid w:val="00D970AC"/>
    <w:rsid w:val="00DA18DD"/>
    <w:rsid w:val="00DA1AD9"/>
    <w:rsid w:val="00DA5FF0"/>
    <w:rsid w:val="00DA64C3"/>
    <w:rsid w:val="00DB0749"/>
    <w:rsid w:val="00DB44E2"/>
    <w:rsid w:val="00DC0700"/>
    <w:rsid w:val="00DC264A"/>
    <w:rsid w:val="00DC438C"/>
    <w:rsid w:val="00DC6C6E"/>
    <w:rsid w:val="00DD36FB"/>
    <w:rsid w:val="00DD378B"/>
    <w:rsid w:val="00DE126E"/>
    <w:rsid w:val="00DE14C1"/>
    <w:rsid w:val="00DE37D2"/>
    <w:rsid w:val="00DE78FB"/>
    <w:rsid w:val="00DF0BA8"/>
    <w:rsid w:val="00DF4865"/>
    <w:rsid w:val="00DF6629"/>
    <w:rsid w:val="00E065D2"/>
    <w:rsid w:val="00E11E85"/>
    <w:rsid w:val="00E17EAB"/>
    <w:rsid w:val="00E203D0"/>
    <w:rsid w:val="00E20C47"/>
    <w:rsid w:val="00E215D3"/>
    <w:rsid w:val="00E22567"/>
    <w:rsid w:val="00E23540"/>
    <w:rsid w:val="00E237AA"/>
    <w:rsid w:val="00E23A5F"/>
    <w:rsid w:val="00E32803"/>
    <w:rsid w:val="00E363EB"/>
    <w:rsid w:val="00E4252B"/>
    <w:rsid w:val="00E44005"/>
    <w:rsid w:val="00E52C98"/>
    <w:rsid w:val="00E5602A"/>
    <w:rsid w:val="00E565BF"/>
    <w:rsid w:val="00E66F6D"/>
    <w:rsid w:val="00E71292"/>
    <w:rsid w:val="00E7150B"/>
    <w:rsid w:val="00E748F5"/>
    <w:rsid w:val="00E75485"/>
    <w:rsid w:val="00E7707B"/>
    <w:rsid w:val="00E81E12"/>
    <w:rsid w:val="00E937F2"/>
    <w:rsid w:val="00E94470"/>
    <w:rsid w:val="00EA2DB8"/>
    <w:rsid w:val="00EA7215"/>
    <w:rsid w:val="00EB1DAE"/>
    <w:rsid w:val="00EB274E"/>
    <w:rsid w:val="00EB31F5"/>
    <w:rsid w:val="00EC04DE"/>
    <w:rsid w:val="00EC174F"/>
    <w:rsid w:val="00EC3069"/>
    <w:rsid w:val="00EC3320"/>
    <w:rsid w:val="00EC4ABC"/>
    <w:rsid w:val="00EC62EC"/>
    <w:rsid w:val="00EC63D5"/>
    <w:rsid w:val="00ED0C97"/>
    <w:rsid w:val="00ED2008"/>
    <w:rsid w:val="00ED48A0"/>
    <w:rsid w:val="00EE036D"/>
    <w:rsid w:val="00EE0FCA"/>
    <w:rsid w:val="00EE2A04"/>
    <w:rsid w:val="00EE5423"/>
    <w:rsid w:val="00EF0326"/>
    <w:rsid w:val="00EF2F9C"/>
    <w:rsid w:val="00EF4572"/>
    <w:rsid w:val="00F0362A"/>
    <w:rsid w:val="00F065AA"/>
    <w:rsid w:val="00F10DD3"/>
    <w:rsid w:val="00F1194F"/>
    <w:rsid w:val="00F17123"/>
    <w:rsid w:val="00F17E83"/>
    <w:rsid w:val="00F22875"/>
    <w:rsid w:val="00F22D34"/>
    <w:rsid w:val="00F237B8"/>
    <w:rsid w:val="00F23DF3"/>
    <w:rsid w:val="00F276C6"/>
    <w:rsid w:val="00F36AE2"/>
    <w:rsid w:val="00F46BDB"/>
    <w:rsid w:val="00F51C02"/>
    <w:rsid w:val="00F56F7C"/>
    <w:rsid w:val="00F60A66"/>
    <w:rsid w:val="00F6400A"/>
    <w:rsid w:val="00F71814"/>
    <w:rsid w:val="00F748CF"/>
    <w:rsid w:val="00F7549A"/>
    <w:rsid w:val="00F8138C"/>
    <w:rsid w:val="00F82AD6"/>
    <w:rsid w:val="00F82BC5"/>
    <w:rsid w:val="00F844EE"/>
    <w:rsid w:val="00F86EAB"/>
    <w:rsid w:val="00F9020A"/>
    <w:rsid w:val="00F941E8"/>
    <w:rsid w:val="00F95E38"/>
    <w:rsid w:val="00F95FF7"/>
    <w:rsid w:val="00FA087A"/>
    <w:rsid w:val="00FA5167"/>
    <w:rsid w:val="00FA57A1"/>
    <w:rsid w:val="00FA59B5"/>
    <w:rsid w:val="00FA5A9A"/>
    <w:rsid w:val="00FA71B2"/>
    <w:rsid w:val="00FB0CD3"/>
    <w:rsid w:val="00FB1479"/>
    <w:rsid w:val="00FB1A4C"/>
    <w:rsid w:val="00FB6086"/>
    <w:rsid w:val="00FC4F94"/>
    <w:rsid w:val="00FD2380"/>
    <w:rsid w:val="00FD5371"/>
    <w:rsid w:val="00FE5203"/>
    <w:rsid w:val="00FF01F5"/>
    <w:rsid w:val="00FF37CD"/>
    <w:rsid w:val="00FF5770"/>
    <w:rsid w:val="00FF649F"/>
    <w:rsid w:val="00FF6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C5A91"/>
  <w15:chartTrackingRefBased/>
  <w15:docId w15:val="{CA7A4D38-6A1F-4D2C-98DA-7E767091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C2B"/>
  </w:style>
  <w:style w:type="paragraph" w:styleId="Heading1">
    <w:name w:val="heading 1"/>
    <w:aliases w:val="Level 1"/>
    <w:basedOn w:val="Normal"/>
    <w:next w:val="Normal"/>
    <w:link w:val="Heading1Char"/>
    <w:uiPriority w:val="9"/>
    <w:qFormat/>
    <w:rsid w:val="00B57117"/>
    <w:pPr>
      <w:keepNext/>
      <w:keepLines/>
      <w:spacing w:before="360" w:after="80" w:line="240" w:lineRule="auto"/>
      <w:jc w:val="center"/>
      <w:outlineLvl w:val="0"/>
    </w:pPr>
    <w:rPr>
      <w:rFonts w:asciiTheme="majorHAnsi" w:eastAsiaTheme="majorEastAsia" w:hAnsiTheme="majorHAnsi" w:cstheme="majorBidi"/>
      <w:b/>
      <w:bCs/>
      <w:color w:val="000000" w:themeColor="text1"/>
      <w:sz w:val="36"/>
      <w:szCs w:val="40"/>
    </w:rPr>
  </w:style>
  <w:style w:type="paragraph" w:styleId="Heading2">
    <w:name w:val="heading 2"/>
    <w:basedOn w:val="Normal"/>
    <w:next w:val="Normal"/>
    <w:link w:val="Heading2Char"/>
    <w:uiPriority w:val="9"/>
    <w:unhideWhenUsed/>
    <w:qFormat/>
    <w:rsid w:val="009850D1"/>
    <w:pPr>
      <w:keepNext/>
      <w:keepLines/>
      <w:spacing w:before="160" w:after="80"/>
      <w:outlineLvl w:val="1"/>
    </w:pPr>
    <w:rPr>
      <w:rFonts w:ascii="Times New Roman" w:eastAsiaTheme="majorEastAsia" w:hAnsi="Times New Roman" w:cstheme="majorBidi"/>
      <w:b/>
      <w:bCs/>
      <w:szCs w:val="32"/>
    </w:rPr>
  </w:style>
  <w:style w:type="paragraph" w:styleId="Heading3">
    <w:name w:val="heading 3"/>
    <w:basedOn w:val="ListParagraph"/>
    <w:next w:val="Normal"/>
    <w:link w:val="Heading3Char"/>
    <w:uiPriority w:val="9"/>
    <w:unhideWhenUsed/>
    <w:qFormat/>
    <w:rsid w:val="00996703"/>
    <w:pPr>
      <w:numPr>
        <w:ilvl w:val="2"/>
        <w:numId w:val="4"/>
      </w:numPr>
      <w:outlineLvl w:val="2"/>
    </w:pPr>
    <w:rPr>
      <w:rFonts w:ascii="Times New Roman" w:hAnsi="Times New Roman"/>
      <w:b/>
      <w:bCs/>
      <w:sz w:val="28"/>
    </w:rPr>
  </w:style>
  <w:style w:type="paragraph" w:styleId="Heading4">
    <w:name w:val="heading 4"/>
    <w:basedOn w:val="Normal"/>
    <w:next w:val="Normal"/>
    <w:link w:val="Heading4Char"/>
    <w:uiPriority w:val="9"/>
    <w:semiHidden/>
    <w:unhideWhenUsed/>
    <w:qFormat/>
    <w:rsid w:val="00484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l 1 Char"/>
    <w:basedOn w:val="DefaultParagraphFont"/>
    <w:link w:val="Heading1"/>
    <w:uiPriority w:val="9"/>
    <w:rsid w:val="00B57117"/>
    <w:rPr>
      <w:rFonts w:asciiTheme="majorHAnsi" w:eastAsiaTheme="majorEastAsia" w:hAnsiTheme="majorHAnsi" w:cstheme="majorBidi"/>
      <w:b/>
      <w:bCs/>
      <w:color w:val="000000" w:themeColor="text1"/>
      <w:sz w:val="36"/>
      <w:szCs w:val="40"/>
    </w:rPr>
  </w:style>
  <w:style w:type="character" w:customStyle="1" w:styleId="Heading2Char">
    <w:name w:val="Heading 2 Char"/>
    <w:basedOn w:val="DefaultParagraphFont"/>
    <w:link w:val="Heading2"/>
    <w:uiPriority w:val="9"/>
    <w:rsid w:val="009850D1"/>
    <w:rPr>
      <w:rFonts w:ascii="Times New Roman" w:eastAsiaTheme="majorEastAsia" w:hAnsi="Times New Roman" w:cstheme="majorBidi"/>
      <w:b/>
      <w:bCs/>
      <w:szCs w:val="32"/>
    </w:rPr>
  </w:style>
  <w:style w:type="character" w:customStyle="1" w:styleId="Heading3Char">
    <w:name w:val="Heading 3 Char"/>
    <w:basedOn w:val="DefaultParagraphFont"/>
    <w:link w:val="Heading3"/>
    <w:uiPriority w:val="9"/>
    <w:rsid w:val="00996703"/>
    <w:rPr>
      <w:rFonts w:ascii="Times New Roman" w:hAnsi="Times New Roman"/>
      <w:b/>
      <w:bCs/>
      <w:sz w:val="28"/>
    </w:rPr>
  </w:style>
  <w:style w:type="character" w:customStyle="1" w:styleId="Heading4Char">
    <w:name w:val="Heading 4 Char"/>
    <w:basedOn w:val="DefaultParagraphFont"/>
    <w:link w:val="Heading4"/>
    <w:uiPriority w:val="9"/>
    <w:semiHidden/>
    <w:rsid w:val="00484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FB3"/>
    <w:rPr>
      <w:rFonts w:eastAsiaTheme="majorEastAsia" w:cstheme="majorBidi"/>
      <w:color w:val="272727" w:themeColor="text1" w:themeTint="D8"/>
    </w:rPr>
  </w:style>
  <w:style w:type="paragraph" w:styleId="Title">
    <w:name w:val="Title"/>
    <w:basedOn w:val="Normal"/>
    <w:next w:val="Normal"/>
    <w:link w:val="TitleChar"/>
    <w:uiPriority w:val="10"/>
    <w:qFormat/>
    <w:rsid w:val="00484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FB3"/>
    <w:pPr>
      <w:spacing w:before="160"/>
      <w:jc w:val="center"/>
    </w:pPr>
    <w:rPr>
      <w:i/>
      <w:iCs/>
      <w:color w:val="404040" w:themeColor="text1" w:themeTint="BF"/>
    </w:rPr>
  </w:style>
  <w:style w:type="character" w:customStyle="1" w:styleId="QuoteChar">
    <w:name w:val="Quote Char"/>
    <w:basedOn w:val="DefaultParagraphFont"/>
    <w:link w:val="Quote"/>
    <w:uiPriority w:val="29"/>
    <w:rsid w:val="00484FB3"/>
    <w:rPr>
      <w:i/>
      <w:iCs/>
      <w:color w:val="404040" w:themeColor="text1" w:themeTint="BF"/>
    </w:rPr>
  </w:style>
  <w:style w:type="paragraph" w:styleId="ListParagraph">
    <w:name w:val="List Paragraph"/>
    <w:basedOn w:val="Normal"/>
    <w:qFormat/>
    <w:rsid w:val="00484FB3"/>
    <w:pPr>
      <w:ind w:left="720"/>
      <w:contextualSpacing/>
    </w:pPr>
  </w:style>
  <w:style w:type="character" w:styleId="IntenseEmphasis">
    <w:name w:val="Intense Emphasis"/>
    <w:basedOn w:val="DefaultParagraphFont"/>
    <w:uiPriority w:val="21"/>
    <w:qFormat/>
    <w:rsid w:val="00484FB3"/>
    <w:rPr>
      <w:i/>
      <w:iCs/>
      <w:color w:val="0F4761" w:themeColor="accent1" w:themeShade="BF"/>
    </w:rPr>
  </w:style>
  <w:style w:type="paragraph" w:styleId="IntenseQuote">
    <w:name w:val="Intense Quote"/>
    <w:basedOn w:val="Normal"/>
    <w:next w:val="Normal"/>
    <w:link w:val="IntenseQuoteChar"/>
    <w:uiPriority w:val="30"/>
    <w:qFormat/>
    <w:rsid w:val="00484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FB3"/>
    <w:rPr>
      <w:i/>
      <w:iCs/>
      <w:color w:val="0F4761" w:themeColor="accent1" w:themeShade="BF"/>
    </w:rPr>
  </w:style>
  <w:style w:type="character" w:styleId="IntenseReference">
    <w:name w:val="Intense Reference"/>
    <w:basedOn w:val="DefaultParagraphFont"/>
    <w:uiPriority w:val="32"/>
    <w:qFormat/>
    <w:rsid w:val="00484FB3"/>
    <w:rPr>
      <w:b/>
      <w:bCs/>
      <w:smallCaps/>
      <w:color w:val="0F4761" w:themeColor="accent1" w:themeShade="BF"/>
      <w:spacing w:val="5"/>
    </w:rPr>
  </w:style>
  <w:style w:type="character" w:styleId="Hyperlink">
    <w:name w:val="Hyperlink"/>
    <w:basedOn w:val="DefaultParagraphFont"/>
    <w:uiPriority w:val="99"/>
    <w:unhideWhenUsed/>
    <w:rsid w:val="00EB274E"/>
    <w:rPr>
      <w:color w:val="467886" w:themeColor="hyperlink"/>
      <w:u w:val="single"/>
    </w:rPr>
  </w:style>
  <w:style w:type="character" w:styleId="UnresolvedMention">
    <w:name w:val="Unresolved Mention"/>
    <w:basedOn w:val="DefaultParagraphFont"/>
    <w:uiPriority w:val="99"/>
    <w:semiHidden/>
    <w:unhideWhenUsed/>
    <w:rsid w:val="00EB274E"/>
    <w:rPr>
      <w:color w:val="605E5C"/>
      <w:shd w:val="clear" w:color="auto" w:fill="E1DFDD"/>
    </w:rPr>
  </w:style>
  <w:style w:type="paragraph" w:styleId="TOCHeading">
    <w:name w:val="TOC Heading"/>
    <w:basedOn w:val="Heading1"/>
    <w:next w:val="Normal"/>
    <w:uiPriority w:val="39"/>
    <w:unhideWhenUsed/>
    <w:qFormat/>
    <w:rsid w:val="000A0C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57117"/>
    <w:pPr>
      <w:spacing w:after="100"/>
    </w:pPr>
  </w:style>
  <w:style w:type="paragraph" w:styleId="TOC2">
    <w:name w:val="toc 2"/>
    <w:basedOn w:val="Normal"/>
    <w:next w:val="Normal"/>
    <w:autoRedefine/>
    <w:uiPriority w:val="39"/>
    <w:unhideWhenUsed/>
    <w:rsid w:val="00E23540"/>
    <w:pPr>
      <w:tabs>
        <w:tab w:val="left" w:pos="630"/>
        <w:tab w:val="right" w:leader="dot" w:pos="9350"/>
      </w:tabs>
      <w:spacing w:after="100"/>
      <w:ind w:left="240"/>
    </w:pPr>
  </w:style>
  <w:style w:type="paragraph" w:styleId="TOC3">
    <w:name w:val="toc 3"/>
    <w:basedOn w:val="Normal"/>
    <w:next w:val="Normal"/>
    <w:autoRedefine/>
    <w:uiPriority w:val="39"/>
    <w:unhideWhenUsed/>
    <w:rsid w:val="001565EA"/>
    <w:pPr>
      <w:spacing w:after="100"/>
      <w:ind w:left="480"/>
    </w:pPr>
  </w:style>
  <w:style w:type="paragraph" w:styleId="NormalWeb">
    <w:name w:val="Normal (Web)"/>
    <w:basedOn w:val="Normal"/>
    <w:uiPriority w:val="99"/>
    <w:unhideWhenUsed/>
    <w:rsid w:val="00180370"/>
    <w:rPr>
      <w:rFonts w:ascii="Times New Roman" w:hAnsi="Times New Roman" w:cs="Times New Roman"/>
    </w:rPr>
  </w:style>
  <w:style w:type="paragraph" w:styleId="BodyText">
    <w:name w:val="Body Text"/>
    <w:basedOn w:val="Normal"/>
    <w:link w:val="BodyTextChar"/>
    <w:uiPriority w:val="1"/>
    <w:qFormat/>
    <w:rsid w:val="00F17123"/>
    <w:pPr>
      <w:widowControl w:val="0"/>
      <w:spacing w:after="0" w:line="240" w:lineRule="auto"/>
      <w:ind w:left="113"/>
    </w:pPr>
    <w:rPr>
      <w:rFonts w:ascii="Times New Roman" w:eastAsia="Times New Roman" w:hAnsi="Times New Roman"/>
      <w:kern w:val="0"/>
      <w:sz w:val="18"/>
      <w:szCs w:val="18"/>
      <w14:ligatures w14:val="none"/>
    </w:rPr>
  </w:style>
  <w:style w:type="character" w:customStyle="1" w:styleId="BodyTextChar">
    <w:name w:val="Body Text Char"/>
    <w:basedOn w:val="DefaultParagraphFont"/>
    <w:link w:val="BodyText"/>
    <w:uiPriority w:val="1"/>
    <w:rsid w:val="00F17123"/>
    <w:rPr>
      <w:rFonts w:ascii="Times New Roman" w:eastAsia="Times New Roman" w:hAnsi="Times New Roman"/>
      <w:kern w:val="0"/>
      <w:sz w:val="18"/>
      <w:szCs w:val="18"/>
      <w14:ligatures w14:val="none"/>
    </w:rPr>
  </w:style>
  <w:style w:type="character" w:styleId="CommentReference">
    <w:name w:val="annotation reference"/>
    <w:basedOn w:val="DefaultParagraphFont"/>
    <w:uiPriority w:val="99"/>
    <w:semiHidden/>
    <w:unhideWhenUsed/>
    <w:rsid w:val="00157045"/>
    <w:rPr>
      <w:sz w:val="16"/>
      <w:szCs w:val="16"/>
    </w:rPr>
  </w:style>
  <w:style w:type="paragraph" w:styleId="CommentText">
    <w:name w:val="annotation text"/>
    <w:basedOn w:val="Normal"/>
    <w:link w:val="CommentTextChar"/>
    <w:uiPriority w:val="99"/>
    <w:unhideWhenUsed/>
    <w:rsid w:val="00157045"/>
    <w:pPr>
      <w:spacing w:line="240" w:lineRule="auto"/>
    </w:pPr>
    <w:rPr>
      <w:sz w:val="20"/>
      <w:szCs w:val="20"/>
    </w:rPr>
  </w:style>
  <w:style w:type="character" w:customStyle="1" w:styleId="CommentTextChar">
    <w:name w:val="Comment Text Char"/>
    <w:basedOn w:val="DefaultParagraphFont"/>
    <w:link w:val="CommentText"/>
    <w:uiPriority w:val="99"/>
    <w:rsid w:val="00157045"/>
    <w:rPr>
      <w:sz w:val="20"/>
      <w:szCs w:val="20"/>
    </w:rPr>
  </w:style>
  <w:style w:type="paragraph" w:styleId="CommentSubject">
    <w:name w:val="annotation subject"/>
    <w:basedOn w:val="CommentText"/>
    <w:next w:val="CommentText"/>
    <w:link w:val="CommentSubjectChar"/>
    <w:uiPriority w:val="99"/>
    <w:semiHidden/>
    <w:unhideWhenUsed/>
    <w:rsid w:val="00157045"/>
    <w:rPr>
      <w:b/>
      <w:bCs/>
    </w:rPr>
  </w:style>
  <w:style w:type="character" w:customStyle="1" w:styleId="CommentSubjectChar">
    <w:name w:val="Comment Subject Char"/>
    <w:basedOn w:val="CommentTextChar"/>
    <w:link w:val="CommentSubject"/>
    <w:uiPriority w:val="99"/>
    <w:semiHidden/>
    <w:rsid w:val="00157045"/>
    <w:rPr>
      <w:b/>
      <w:bCs/>
      <w:sz w:val="20"/>
      <w:szCs w:val="20"/>
    </w:rPr>
  </w:style>
  <w:style w:type="character" w:styleId="FollowedHyperlink">
    <w:name w:val="FollowedHyperlink"/>
    <w:basedOn w:val="DefaultParagraphFont"/>
    <w:uiPriority w:val="99"/>
    <w:semiHidden/>
    <w:unhideWhenUsed/>
    <w:rsid w:val="00B509C3"/>
    <w:rPr>
      <w:color w:val="96607D" w:themeColor="followedHyperlink"/>
      <w:u w:val="single"/>
    </w:rPr>
  </w:style>
  <w:style w:type="character" w:customStyle="1" w:styleId="citation-8">
    <w:name w:val="citation-8"/>
    <w:basedOn w:val="DefaultParagraphFont"/>
    <w:rsid w:val="00050076"/>
  </w:style>
  <w:style w:type="character" w:customStyle="1" w:styleId="citation-7">
    <w:name w:val="citation-7"/>
    <w:basedOn w:val="DefaultParagraphFont"/>
    <w:rsid w:val="00050076"/>
  </w:style>
  <w:style w:type="character" w:customStyle="1" w:styleId="citation-5">
    <w:name w:val="citation-5"/>
    <w:basedOn w:val="DefaultParagraphFont"/>
    <w:rsid w:val="00050076"/>
  </w:style>
  <w:style w:type="character" w:customStyle="1" w:styleId="citation-30">
    <w:name w:val="citation-30"/>
    <w:basedOn w:val="DefaultParagraphFont"/>
    <w:rsid w:val="00E937F2"/>
  </w:style>
  <w:style w:type="character" w:customStyle="1" w:styleId="citation-29">
    <w:name w:val="citation-29"/>
    <w:basedOn w:val="DefaultParagraphFont"/>
    <w:rsid w:val="00E937F2"/>
  </w:style>
  <w:style w:type="paragraph" w:customStyle="1" w:styleId="trail-item">
    <w:name w:val="trail-item"/>
    <w:basedOn w:val="Normal"/>
    <w:rsid w:val="00E937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25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DEE"/>
  </w:style>
  <w:style w:type="paragraph" w:styleId="Footer">
    <w:name w:val="footer"/>
    <w:basedOn w:val="Normal"/>
    <w:link w:val="FooterChar"/>
    <w:uiPriority w:val="99"/>
    <w:unhideWhenUsed/>
    <w:rsid w:val="00A25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DEE"/>
  </w:style>
  <w:style w:type="paragraph" w:styleId="Revision">
    <w:name w:val="Revision"/>
    <w:hidden/>
    <w:uiPriority w:val="99"/>
    <w:semiHidden/>
    <w:rsid w:val="00167209"/>
    <w:pPr>
      <w:spacing w:after="0" w:line="240" w:lineRule="auto"/>
    </w:pPr>
  </w:style>
  <w:style w:type="paragraph" w:styleId="Caption">
    <w:name w:val="caption"/>
    <w:basedOn w:val="Normal"/>
    <w:next w:val="Normal"/>
    <w:uiPriority w:val="35"/>
    <w:qFormat/>
    <w:pPr>
      <w:keepNext/>
      <w:spacing w:before="120" w:after="24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abs/2505.13922" TargetMode="External"/><Relationship Id="rId21" Type="http://schemas.openxmlformats.org/officeDocument/2006/relationships/hyperlink" Target="https://medium.com/@cloudifyops" TargetMode="External"/><Relationship Id="rId42" Type="http://schemas.openxmlformats.org/officeDocument/2006/relationships/hyperlink" Target="https://panorays.com/blog/transunion-data-breach/" TargetMode="External"/><Relationship Id="rId47" Type="http://schemas.openxmlformats.org/officeDocument/2006/relationships/hyperlink" Target="https://www.cbc.ca/news/canada/montreal/desjardins-data-breach-lawsuit-settlement-1.6288428" TargetMode="External"/><Relationship Id="rId63" Type="http://schemas.openxmlformats.org/officeDocument/2006/relationships/hyperlink" Target="https://ieeexplore.ieee.org/document/10620482" TargetMode="External"/><Relationship Id="rId68" Type="http://schemas.openxmlformats.org/officeDocument/2006/relationships/hyperlink" Target="https://doi.org/10.1109/SPW.2013.34" TargetMode="External"/><Relationship Id="rId84" Type="http://schemas.openxmlformats.org/officeDocument/2006/relationships/hyperlink" Target="https://services.google.com/fh/files/misc/m-trends-2025-en.pdf" TargetMode="External"/><Relationship Id="rId89" Type="http://schemas.openxmlformats.org/officeDocument/2006/relationships/hyperlink" Target="https://dl.acm.org/doi/10.5555/2600239.2600241" TargetMode="External"/><Relationship Id="rId112" Type="http://schemas.openxmlformats.org/officeDocument/2006/relationships/hyperlink" Target="https://omdia.tech.informa.com/om120455/market-landscape-data-security-posture-management-dspm" TargetMode="External"/><Relationship Id="rId16" Type="http://schemas.openxmlformats.org/officeDocument/2006/relationships/image" Target="media/image2.png"/><Relationship Id="rId107" Type="http://schemas.openxmlformats.org/officeDocument/2006/relationships/hyperlink" Target="https://www.cdw.com/content/cdw/en/articles/datacenter/shedding-light-on-shadow-data.html" TargetMode="External"/><Relationship Id="rId11" Type="http://schemas.openxmlformats.org/officeDocument/2006/relationships/footer" Target="footer1.xml"/><Relationship Id="rId32" Type="http://schemas.openxmlformats.org/officeDocument/2006/relationships/image" Target="media/image16.png"/><Relationship Id="rId37" Type="http://schemas.openxmlformats.org/officeDocument/2006/relationships/hyperlink" Target="https://www.researchgate.net/publication/396836137_A_Comprehensive_Survey_of_Insider_Threat_Landscape_and_Detection_Indicators" TargetMode="External"/><Relationship Id="rId53" Type="http://schemas.openxmlformats.org/officeDocument/2006/relationships/hyperlink" Target="https://www.sans.org/white-papers/sans-2024-soc-survey-facing-top-challenges-security-operations" TargetMode="External"/><Relationship Id="rId58" Type="http://schemas.openxmlformats.org/officeDocument/2006/relationships/hyperlink" Target="https://cloudsecurityalliance.org/blog/2023/09/27/putting-zero-trust-architecture-into-financial-institutions" TargetMode="External"/><Relationship Id="rId74" Type="http://schemas.openxmlformats.org/officeDocument/2006/relationships/hyperlink" Target="https://www.ibm.com/reports/data-breach" TargetMode="External"/><Relationship Id="rId79" Type="http://schemas.openxmlformats.org/officeDocument/2006/relationships/hyperlink" Target="https://papers.ssrn.com/sol3/papers.cfm?abstract_id=3020880" TargetMode="External"/><Relationship Id="rId102" Type="http://schemas.openxmlformats.org/officeDocument/2006/relationships/hyperlink" Target="https://www.pcisecuritystandards.org/" TargetMode="External"/><Relationship Id="rId123" Type="http://schemas.openxmlformats.org/officeDocument/2006/relationships/hyperlink" Target="https://nsarchive.gwu.edu/document/18370-national-security-archive-u-s-senate-permanent" TargetMode="External"/><Relationship Id="rId128" Type="http://schemas.openxmlformats.org/officeDocument/2006/relationships/hyperlink" Target="https://www.deeptempo.ai/blogs/why-soc-analysts-spend-most-of-their-time-gathering-context-not-analyzing-threats" TargetMode="External"/><Relationship Id="rId5" Type="http://schemas.openxmlformats.org/officeDocument/2006/relationships/numbering" Target="numbering.xml"/><Relationship Id="rId90" Type="http://schemas.openxmlformats.org/officeDocument/2006/relationships/hyperlink" Target="https://doi.org/10.1109/eCrime57793.2022.10142138" TargetMode="External"/><Relationship Id="rId95" Type="http://schemas.openxmlformats.org/officeDocument/2006/relationships/hyperlink" Target="https://medium.com/infosecmatrix/user-and-entity-behavior-analytics-ueba-enhancing-cybersecurity-through-advanced-insights-70c0ccd03f35" TargetMode="External"/><Relationship Id="rId22" Type="http://schemas.openxmlformats.org/officeDocument/2006/relationships/hyperlink" Target="https://www.deepwatch.com/glossary/security-telemetry/" TargetMode="External"/><Relationship Id="rId27" Type="http://schemas.openxmlformats.org/officeDocument/2006/relationships/image" Target="media/image11.png"/><Relationship Id="rId43" Type="http://schemas.openxmlformats.org/officeDocument/2006/relationships/hyperlink" Target="https://al-kindipublishers.org/index.php/jcsts/article/view/10288" TargetMode="External"/><Relationship Id="rId48" Type="http://schemas.openxmlformats.org/officeDocument/2006/relationships/hyperlink" Target="https://www.fool.com/money/research/identity-theft-credit-card-fraud-statistics/" TargetMode="External"/><Relationship Id="rId64" Type="http://schemas.openxmlformats.org/officeDocument/2006/relationships/hyperlink" Target="https://www.enisa.europa.eu/sites/default/files/2025-02/Finance%20TL%202024_Final.pdf" TargetMode="External"/><Relationship Id="rId69" Type="http://schemas.openxmlformats.org/officeDocument/2006/relationships/hyperlink" Target="https://www.accountablehq.com/post/real-world-pii-examples-everyday-scenarios-to-help-you-understand-personally-identifiable-information" TargetMode="External"/><Relationship Id="rId113" Type="http://schemas.openxmlformats.org/officeDocument/2006/relationships/hyperlink" Target="https://attack.mitre.org/docs/ATTACK_Design_and_Philosophy_March_2020.pdf" TargetMode="External"/><Relationship Id="rId118" Type="http://schemas.openxmlformats.org/officeDocument/2006/relationships/hyperlink" Target="https://aisel.aisnet.org/cgi/viewcontent.cgi?article=1165&amp;context=pacis2024" TargetMode="External"/><Relationship Id="rId80" Type="http://schemas.openxmlformats.org/officeDocument/2006/relationships/hyperlink" Target="https://apnews.com/article/north-korea-cyber-nuclear-russia-un-sanctions-28b6681541a62d809c52e0f2625febc9" TargetMode="External"/><Relationship Id="rId85" Type="http://schemas.openxmlformats.org/officeDocument/2006/relationships/hyperlink" Target="https://doi.org/10.6028/NIST.SP.800-122" TargetMode="External"/><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7.png"/><Relationship Id="rId38" Type="http://schemas.openxmlformats.org/officeDocument/2006/relationships/hyperlink" Target="https://medium.com/@CloudifyOps/siem-the-heartbeat-of-a-modern-soc-7ad73131bca8" TargetMode="External"/><Relationship Id="rId59" Type="http://schemas.openxmlformats.org/officeDocument/2006/relationships/hyperlink" Target="https://www.elastic.co/docs/reference/elasticsearch" TargetMode="External"/><Relationship Id="rId103" Type="http://schemas.openxmlformats.org/officeDocument/2006/relationships/hyperlink" Target="https://doi.org/10.2753/MIS0742-1222240302" TargetMode="External"/><Relationship Id="rId108" Type="http://schemas.openxmlformats.org/officeDocument/2006/relationships/hyperlink" Target="https://doi.org/10.5220/0006639801080116" TargetMode="External"/><Relationship Id="rId124" Type="http://schemas.openxmlformats.org/officeDocument/2006/relationships/hyperlink" Target="https://doi.org/10.1057/ejis.2014.36" TargetMode="External"/><Relationship Id="rId129" Type="http://schemas.openxmlformats.org/officeDocument/2006/relationships/hyperlink" Target="https://doi.org/10.1007/978-3-319-61152-5_6" TargetMode="External"/><Relationship Id="rId54" Type="http://schemas.openxmlformats.org/officeDocument/2006/relationships/hyperlink" Target="https://www.cisa.gov/topics/physical-security/insider-threat-mitigation/defining-insider-threats" TargetMode="External"/><Relationship Id="rId70" Type="http://schemas.openxmlformats.org/officeDocument/2006/relationships/hyperlink" Target="https://doi.org/10.2307/25148625" TargetMode="External"/><Relationship Id="rId75" Type="http://schemas.openxmlformats.org/officeDocument/2006/relationships/hyperlink" Target="https://medium.com/@instatunnel/security-misconfiguration-the-90-problem-that-never-goes-away-087643f01a41" TargetMode="External"/><Relationship Id="rId91" Type="http://schemas.openxmlformats.org/officeDocument/2006/relationships/hyperlink" Target="https://www.microsoft.com/en-us/security/business/security-101/what-is-a-security-operations-center-soc" TargetMode="External"/><Relationship Id="rId96" Type="http://schemas.openxmlformats.org/officeDocument/2006/relationships/hyperlink" Target="https://doi.org/10.6028/NIST.SP.800-30r1"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hyperlink" Target="https://www.tandfonline.com/doi/abs/10.1080/10864415.2004.11044320" TargetMode="External"/><Relationship Id="rId114" Type="http://schemas.openxmlformats.org/officeDocument/2006/relationships/hyperlink" Target="https://doi.org/10.1109/MSP.2014.84" TargetMode="External"/><Relationship Id="rId119" Type="http://schemas.openxmlformats.org/officeDocument/2006/relationships/hyperlink" Target="https://www.ic3.gov/PSA/2025/PSA251125" TargetMode="External"/><Relationship Id="rId44" Type="http://schemas.openxmlformats.org/officeDocument/2006/relationships/hyperlink" Target="https://www.forbes.com/sites/tonybradley/2026/03/18/your-soc-is-investigating-less-than-half-its-alerts-every-day/" TargetMode="External"/><Relationship Id="rId60" Type="http://schemas.openxmlformats.org/officeDocument/2006/relationships/hyperlink" Target="https://www.elastic.co/docs/reference/logstash/plugins/plugins-filters-translate" TargetMode="External"/><Relationship Id="rId65" Type="http://schemas.openxmlformats.org/officeDocument/2006/relationships/hyperlink" Target="https://www.cybersecuritydive.com/news/fed-ends-capital-one-breach-action/686970/" TargetMode="External"/><Relationship Id="rId81" Type="http://schemas.openxmlformats.org/officeDocument/2006/relationships/hyperlink" Target="https://www.researchgate.net/publication/386573360_Cloud_Migration_and_Security_A_Comprehensive_Analysis" TargetMode="External"/><Relationship Id="rId86" Type="http://schemas.openxmlformats.org/officeDocument/2006/relationships/hyperlink" Target="https://www.trellix.com/security-awareness/operations/what-is-soc/" TargetMode="External"/><Relationship Id="rId130" Type="http://schemas.openxmlformats.org/officeDocument/2006/relationships/hyperlink" Target="https://web.archive.org/web/2020/https://www.mitre.org/sites/default/files/publications/pr-13-1028-mitre-10-strategies-cyber-ops-center.pdf" TargetMode="Externa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hyperlink" Target="https://www.ampcuscyber.com/knowledge-hub/what-is-siem-centralized-visibility-for-modern-threats/" TargetMode="External"/><Relationship Id="rId109" Type="http://schemas.openxmlformats.org/officeDocument/2006/relationships/hyperlink" Target="https://www.computerweekly.com/news/252504909/Cloud-misconfiguration-a-growing-cause-of-security-incidents" TargetMode="External"/><Relationship Id="rId34" Type="http://schemas.openxmlformats.org/officeDocument/2006/relationships/image" Target="media/image18.png"/><Relationship Id="rId50" Type="http://schemas.openxmlformats.org/officeDocument/2006/relationships/hyperlink" Target="https://www.researchgate.net/publication/346975125_Heartland_Data_Breach_Analysis" TargetMode="External"/><Relationship Id="rId55" Type="http://schemas.openxmlformats.org/officeDocument/2006/relationships/hyperlink" Target="https://www.deepwatch.com/glossary/security-telemetry/" TargetMode="External"/><Relationship Id="rId76" Type="http://schemas.openxmlformats.org/officeDocument/2006/relationships/hyperlink" Target="https://www.institutedata.com/us/blog/techniques-and-tools-for-web-scraping-to-harvest-data/" TargetMode="External"/><Relationship Id="rId97" Type="http://schemas.openxmlformats.org/officeDocument/2006/relationships/hyperlink" Target="https://www.priv.gc.ca/en/opc-actions-and-decisions/investigations/investigations-into-businesses/2020/pipeda-2020-005/" TargetMode="External"/><Relationship Id="rId104" Type="http://schemas.openxmlformats.org/officeDocument/2006/relationships/hyperlink" Target="https://doi.org/10.1145/3005714" TargetMode="External"/><Relationship Id="rId120" Type="http://schemas.openxmlformats.org/officeDocument/2006/relationships/hyperlink" Target="https://www.ftc.gov/business-guidance/privacy-security/gramm-leach-bliley-act" TargetMode="External"/><Relationship Id="rId125" Type="http://schemas.openxmlformats.org/officeDocument/2006/relationships/hyperlink" Target="https://www.verizon.com/business/resources/reports/2025-dbir-data-breach-investigations-report.pdf" TargetMode="External"/><Relationship Id="rId7" Type="http://schemas.openxmlformats.org/officeDocument/2006/relationships/settings" Target="settings.xml"/><Relationship Id="rId71" Type="http://schemas.openxmlformats.org/officeDocument/2006/relationships/hyperlink" Target="https://www.researchgate.net/publication/249027953_Exploring_stolen_data_markets_online_Products_and_market_forces" TargetMode="External"/><Relationship Id="rId92" Type="http://schemas.openxmlformats.org/officeDocument/2006/relationships/hyperlink" Target="https://www.researchgate.net/publication/318708872_Analysis_of_SIEM_Systems_and_Their_Usage_in_Security_Operations_and_Security_Intelligence_Centers"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hyperlink" Target="https://link.springer.com/chapter/10.1007/978-3-642-39498-0_12" TargetMode="External"/><Relationship Id="rId45" Type="http://schemas.openxmlformats.org/officeDocument/2006/relationships/hyperlink" Target="https://medium.com/@nag9sri/understanding-the-significance-of-elastic-common-schema-ecs-in-modern-data-management-ad42165177fc" TargetMode="External"/><Relationship Id="rId66" Type="http://schemas.openxmlformats.org/officeDocument/2006/relationships/hyperlink" Target="https://fdzdev.medium.com/top-10-ways-to-achieve-remote-code-execution-rce-on-web-applications-d923246b916b" TargetMode="External"/><Relationship Id="rId87" Type="http://schemas.openxmlformats.org/officeDocument/2006/relationships/hyperlink" Target="https://www.bankinfosecurity.com/heartland-discover-settle-for-5-million-a-2598" TargetMode="External"/><Relationship Id="rId110" Type="http://schemas.openxmlformats.org/officeDocument/2006/relationships/hyperlink" Target="https://www.packetlabs.net/posts/what-is-attack-dwell-time/" TargetMode="External"/><Relationship Id="rId115" Type="http://schemas.openxmlformats.org/officeDocument/2006/relationships/hyperlink" Target="https://journalcjast.com/index.php/CJAST/article/view/4387" TargetMode="External"/><Relationship Id="rId131" Type="http://schemas.openxmlformats.org/officeDocument/2006/relationships/fontTable" Target="fontTable.xml"/><Relationship Id="rId61" Type="http://schemas.openxmlformats.org/officeDocument/2006/relationships/hyperlink" Target="https://www.elastic.co/docs/explore-analyze/alerting/alerts/alerting-getting-started" TargetMode="External"/><Relationship Id="rId82" Type="http://schemas.openxmlformats.org/officeDocument/2006/relationships/hyperlink" Target="https://krebsonsecurity.com/2019/05/first-american-financial-corp-leaked-hundreds-of-millions-of-title-insurance-records/" TargetMode="External"/><Relationship Id="rId19" Type="http://schemas.openxmlformats.org/officeDocument/2006/relationships/image" Target="media/image5.png"/><Relationship Id="rId14" Type="http://schemas.openxmlformats.org/officeDocument/2006/relationships/footer" Target="footer4.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nvlpubs.nist.gov/nistpubs/legacy/sp/nistspecialpublication800-137.pdf" TargetMode="External"/><Relationship Id="rId77" Type="http://schemas.openxmlformats.org/officeDocument/2006/relationships/hyperlink" Target="https://www.researchgate.net/publication/376811058_The_Impact_of_Security_Orchestration_Automation_and_Response_SOAR_on_Security_Operations_Center_SOC_Efficiency_A_Comprehensive_Analysis" TargetMode="External"/><Relationship Id="rId100" Type="http://schemas.openxmlformats.org/officeDocument/2006/relationships/hyperlink" Target="https://owasp.org/API-Security/editions/2023/en/0xa1-broken-object-level-authorization/" TargetMode="External"/><Relationship Id="rId105" Type="http://schemas.openxmlformats.org/officeDocument/2006/relationships/hyperlink" Target="https://asecurityguru.com/the-jpmorgan-chase-data-breach-2014-when-compromised-credentials-led-to-the-largest-bank-hack-in-history/" TargetMode="External"/><Relationship Id="rId126" Type="http://schemas.openxmlformats.org/officeDocument/2006/relationships/hyperlink" Target="https://cloudsecurityalliance.org/blog/2022/06/07/shining-a-light-on-shadow-data-what-it-is-and-how-to-minimize-it" TargetMode="External"/><Relationship Id="rId8" Type="http://schemas.openxmlformats.org/officeDocument/2006/relationships/webSettings" Target="webSettings.xml"/><Relationship Id="rId51" Type="http://schemas.openxmlformats.org/officeDocument/2006/relationships/hyperlink" Target="https://wrlc-gwu.primo.exlibrisgroup.com/permalink/01WRLC_GWA/1pqr5/alma9910693267604101" TargetMode="External"/><Relationship Id="rId72" Type="http://schemas.openxmlformats.org/officeDocument/2006/relationships/hyperlink" Target="https://doi.org/10.1002/9781119892335" TargetMode="External"/><Relationship Id="rId93" Type="http://schemas.openxmlformats.org/officeDocument/2006/relationships/hyperlink" Target="https://attack.mitre.org/" TargetMode="External"/><Relationship Id="rId98" Type="http://schemas.openxmlformats.org/officeDocument/2006/relationships/hyperlink" Target="https://www.sciencedirect.com/science/article/pii/S2773186325002142" TargetMode="External"/><Relationship Id="rId121" Type="http://schemas.openxmlformats.org/officeDocument/2006/relationships/hyperlink" Target="https://www.ftc.gov/enforcement/refunds/equifax-data-breach-settlement" TargetMode="Externa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hyperlink" Target="https://journals.sagepub.com/doi/abs/10.3233/JCS-2003-11308" TargetMode="External"/><Relationship Id="rId67" Type="http://schemas.openxmlformats.org/officeDocument/2006/relationships/hyperlink" Target="https://tei.forrester.com/go/microsoft/defender/docs/TEI_of_MSFT_Defender_and_Sentinel_SIEM_PDF_vA.pdf" TargetMode="External"/><Relationship Id="rId116" Type="http://schemas.openxmlformats.org/officeDocument/2006/relationships/hyperlink" Target="https://doi.org/10.1145/3723158" TargetMode="External"/><Relationship Id="rId20" Type="http://schemas.openxmlformats.org/officeDocument/2006/relationships/image" Target="media/image6.png"/><Relationship Id="rId41" Type="http://schemas.openxmlformats.org/officeDocument/2006/relationships/hyperlink" Target="https://doi.org/10.1145/2991079.2991111" TargetMode="External"/><Relationship Id="rId62" Type="http://schemas.openxmlformats.org/officeDocument/2006/relationships/hyperlink" Target="https://www.elastic.co/docs/reference/ecs/ecs-using-ecs" TargetMode="External"/><Relationship Id="rId83" Type="http://schemas.openxmlformats.org/officeDocument/2006/relationships/hyperlink" Target="https://lab-1.com/anatomy" TargetMode="External"/><Relationship Id="rId88" Type="http://schemas.openxmlformats.org/officeDocument/2006/relationships/hyperlink" Target="https://doi.org/10.1145/3691340" TargetMode="External"/><Relationship Id="rId111" Type="http://schemas.openxmlformats.org/officeDocument/2006/relationships/hyperlink" Target="https://doi.org/10.1109/SP.2010.25" TargetMode="External"/><Relationship Id="rId132" Type="http://schemas.openxmlformats.org/officeDocument/2006/relationships/theme" Target="theme/theme1.xml"/><Relationship Id="rId15" Type="http://schemas.openxmlformats.org/officeDocument/2006/relationships/image" Target="media/image1.png"/><Relationship Id="rId36" Type="http://schemas.openxmlformats.org/officeDocument/2006/relationships/hyperlink" Target="https://wrlc-gwu.primo.exlibrisgroup.com/permalink/01WRLC_GWA/1pqr5/alma9911571454304101" TargetMode="External"/><Relationship Id="rId57" Type="http://schemas.openxmlformats.org/officeDocument/2006/relationships/hyperlink" Target="https://doi.org/10.1109/IDAACS.2015.7340752" TargetMode="External"/><Relationship Id="rId106" Type="http://schemas.openxmlformats.org/officeDocument/2006/relationships/hyperlink" Target="https://doi.org/10.1016/j.cose.2019.06.005" TargetMode="External"/><Relationship Id="rId127" Type="http://schemas.openxmlformats.org/officeDocument/2006/relationships/hyperlink" Target="https://yusufonsecurity.com/2022/11/07/network-detection-and-response-ndr/" TargetMode="External"/><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hyperlink" Target="https://www.cve.org/CVERecord?id=CVE-2017-5638" TargetMode="External"/><Relationship Id="rId73" Type="http://schemas.openxmlformats.org/officeDocument/2006/relationships/hyperlink" Target="https://doi.org/10.1093/bjc/azu106" TargetMode="External"/><Relationship Id="rId78" Type="http://schemas.openxmlformats.org/officeDocument/2006/relationships/hyperlink" Target="https://www.giac.org/paper/gsec/36190/minimizing-damage-jp-morgans-data-breach/143120" TargetMode="External"/><Relationship Id="rId94" Type="http://schemas.openxmlformats.org/officeDocument/2006/relationships/hyperlink" Target="https://cybersecurityventures.com/the-world-will-store-200-zettabytes-of-data-by-2025/" TargetMode="External"/><Relationship Id="rId99" Type="http://schemas.openxmlformats.org/officeDocument/2006/relationships/hyperlink" Target="https://www.researchgate.net/publication/394123580_Human-AI_Collaborative_Security_Operations_Optimizing_SOC_Analyst_Cognitive_Load_Through_Augmented_Intelligence_Frameworks" TargetMode="External"/><Relationship Id="rId101" Type="http://schemas.openxmlformats.org/officeDocument/2006/relationships/hyperlink" Target="https://doi.org/10.5220/0005785501370146" TargetMode="External"/><Relationship Id="rId122" Type="http://schemas.openxmlformats.org/officeDocument/2006/relationships/hyperlink" Target="https://www.gao.gov/products/gao-18-559"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2f2d04-ef39-4ce3-9bf4-b0b42b49b54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AE6C36882E5949910B3EEFEBEF287F" ma:contentTypeVersion="10" ma:contentTypeDescription="Create a new document." ma:contentTypeScope="" ma:versionID="a43c111ea0946bd47e305761b7076ad3">
  <xsd:schema xmlns:xsd="http://www.w3.org/2001/XMLSchema" xmlns:xs="http://www.w3.org/2001/XMLSchema" xmlns:p="http://schemas.microsoft.com/office/2006/metadata/properties" xmlns:ns3="122f2d04-ef39-4ce3-9bf4-b0b42b49b54c" targetNamespace="http://schemas.microsoft.com/office/2006/metadata/properties" ma:root="true" ma:fieldsID="d4c55c4f1ff6a0c0e388c70d07ce940e" ns3:_="">
    <xsd:import namespace="122f2d04-ef39-4ce3-9bf4-b0b42b49b54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2f2d04-ef39-4ce3-9bf4-b0b42b49b5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2950E1-2B0B-41D1-AE2F-39B71F8066C6}">
  <ds:schemaRefs>
    <ds:schemaRef ds:uri="http://schemas.openxmlformats.org/officeDocument/2006/bibliography"/>
  </ds:schemaRefs>
</ds:datastoreItem>
</file>

<file path=customXml/itemProps2.xml><?xml version="1.0" encoding="utf-8"?>
<ds:datastoreItem xmlns:ds="http://schemas.openxmlformats.org/officeDocument/2006/customXml" ds:itemID="{BCBC0A73-F168-48D1-AE25-3DCA506FABB8}">
  <ds:schemaRefs>
    <ds:schemaRef ds:uri="http://schemas.microsoft.com/sharepoint/v3/contenttype/forms"/>
  </ds:schemaRefs>
</ds:datastoreItem>
</file>

<file path=customXml/itemProps3.xml><?xml version="1.0" encoding="utf-8"?>
<ds:datastoreItem xmlns:ds="http://schemas.openxmlformats.org/officeDocument/2006/customXml" ds:itemID="{07B4C4E0-A580-4DE4-9350-586C88506D7E}">
  <ds:schemaRefs>
    <ds:schemaRef ds:uri="http://schemas.microsoft.com/office/2006/metadata/properties"/>
    <ds:schemaRef ds:uri="http://schemas.microsoft.com/office/infopath/2007/PartnerControls"/>
    <ds:schemaRef ds:uri="122f2d04-ef39-4ce3-9bf4-b0b42b49b54c"/>
  </ds:schemaRefs>
</ds:datastoreItem>
</file>

<file path=customXml/itemProps4.xml><?xml version="1.0" encoding="utf-8"?>
<ds:datastoreItem xmlns:ds="http://schemas.openxmlformats.org/officeDocument/2006/customXml" ds:itemID="{F0C78BA5-CABE-4BAC-AB88-471D31A2C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2f2d04-ef39-4ce3-9bf4-b0b42b49b5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1908</TotalTime>
  <Pages>109</Pages>
  <Words>25489</Words>
  <Characters>145290</Characters>
  <Application>Microsoft Office Word</Application>
  <DocSecurity>0</DocSecurity>
  <Lines>1210</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Raja</dc:creator>
  <cp:keywords/>
  <dc:description/>
  <cp:lastModifiedBy>Sanjay Raja</cp:lastModifiedBy>
  <cp:revision>44</cp:revision>
  <cp:lastPrinted>2026-05-22T14:51:00Z</cp:lastPrinted>
  <dcterms:created xsi:type="dcterms:W3CDTF">2026-07-28T20:33:00Z</dcterms:created>
  <dcterms:modified xsi:type="dcterms:W3CDTF">2026-08-01T20:01:00Z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0x01010010AE6C36882E5949910B3EEFEBEF287F</vt:lpwstr>
  </property>
</Properties>
</file>