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40"/>
        </w:rPr>
        <w:t>PII Context Framework — Statistical Validation Report</w:t>
      </w:r>
    </w:p>
    <w:p>
      <w:pPr>
        <w:jc w:val="center"/>
      </w:pPr>
      <w:r>
        <w:rPr>
          <w:color w:val="2E74B5"/>
          <w:sz w:val="22"/>
        </w:rPr>
        <w:t>Two-condition evaluation across five PII-targeting attack scenarios · Hypotheses H1–H3 (§3.8.4)</w:t>
      </w:r>
    </w:p>
    <w:p/>
    <w:p>
      <w:pPr>
        <w:spacing w:before="280" w:after="120"/>
      </w:pPr>
      <w:r>
        <w:rPr>
          <w:b/>
          <w:color w:val="1F3964"/>
          <w:sz w:val="30"/>
        </w:rPr>
        <w:t>1. Executive Summary</w:t>
      </w:r>
    </w:p>
    <w:p>
      <w:pPr>
        <w:spacing w:after="80"/>
      </w:pPr>
      <w:r>
        <w:rPr>
          <w:b w:val="0"/>
          <w:color w:val="1A1A1A"/>
          <w:sz w:val="21"/>
        </w:rPr>
        <w:t>Across 720 alerts per condition (65 malicious), the enriched PII Context Framework cut high-priority alert volume from 210 to 30 (86% reduction) while raising the true-positive rate at high priority from 0.195 to 0.667.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964"/>
          </w:tcPr>
          <w:p>
            <w:r>
              <w:rPr>
                <w:b/>
                <w:color w:val="FFFFFF"/>
                <w:sz w:val="18"/>
              </w:rPr>
              <w:t>Hypothesis</w:t>
            </w:r>
          </w:p>
        </w:tc>
        <w:tc>
          <w:tcPr>
            <w:tcW w:type="dxa" w:w="2340"/>
            <w:shd w:fill="1F3964"/>
          </w:tcPr>
          <w:p>
            <w:r>
              <w:rPr>
                <w:b/>
                <w:color w:val="FFFFFF"/>
                <w:sz w:val="18"/>
              </w:rPr>
              <w:t>Test (§3.8.4)</w:t>
            </w:r>
          </w:p>
        </w:tc>
        <w:tc>
          <w:tcPr>
            <w:tcW w:type="dxa" w:w="2340"/>
            <w:shd w:fill="1F3964"/>
          </w:tcPr>
          <w:p>
            <w:r>
              <w:rPr>
                <w:b/>
                <w:color w:val="FFFFFF"/>
                <w:sz w:val="18"/>
              </w:rPr>
              <w:t>Key statistic</w:t>
            </w:r>
          </w:p>
        </w:tc>
        <w:tc>
          <w:tcPr>
            <w:tcW w:type="dxa" w:w="2340"/>
            <w:shd w:fill="1F3964"/>
          </w:tcPr>
          <w:p>
            <w:r>
              <w:rPr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2340"/>
          </w:tcPr>
          <w:p>
            <w:r>
              <w:rPr>
                <w:color w:val="1A1A1A"/>
                <w:sz w:val="18"/>
              </w:rPr>
              <w:t>H1 — faster triage of high-risk PII threats</w:t>
            </w:r>
          </w:p>
        </w:tc>
        <w:tc>
          <w:tcPr>
            <w:tcW w:type="dxa" w:w="2340"/>
          </w:tcPr>
          <w:p>
            <w:r>
              <w:rPr>
                <w:color w:val="1A1A1A"/>
                <w:sz w:val="18"/>
              </w:rPr>
              <w:t>Paired t-test + Cohen's d</w:t>
            </w:r>
          </w:p>
        </w:tc>
        <w:tc>
          <w:tcPr>
            <w:tcW w:type="dxa" w:w="2340"/>
          </w:tcPr>
          <w:p>
            <w:r>
              <w:rPr>
                <w:color w:val="1A1A1A"/>
                <w:sz w:val="18"/>
              </w:rPr>
              <w:t>t(39)=6.40, p &lt; 0.001, d=1.01</w:t>
            </w:r>
          </w:p>
        </w:tc>
        <w:tc>
          <w:tcPr>
            <w:tcW w:type="dxa" w:w="2340"/>
          </w:tcPr>
          <w:p>
            <w:r>
              <w:rPr>
                <w:color w:val="1A1A1A"/>
                <w:sz w:val="18"/>
              </w:rPr>
              <w:t>SUPPORTED</w:t>
            </w:r>
          </w:p>
        </w:tc>
      </w:tr>
      <w:tr>
        <w:tc>
          <w:tcPr>
            <w:tcW w:type="dxa" w:w="2340"/>
          </w:tcPr>
          <w:p>
            <w:r>
              <w:rPr>
                <w:color w:val="1A1A1A"/>
                <w:sz w:val="18"/>
              </w:rPr>
              <w:t>H2 — noise reduction / higher TPR@high</w:t>
            </w:r>
          </w:p>
        </w:tc>
        <w:tc>
          <w:tcPr>
            <w:tcW w:type="dxa" w:w="2340"/>
          </w:tcPr>
          <w:p>
            <w:r>
              <w:rPr>
                <w:color w:val="1A1A1A"/>
                <w:sz w:val="18"/>
              </w:rPr>
              <w:t>Two-proportion z-test</w:t>
            </w:r>
          </w:p>
        </w:tc>
        <w:tc>
          <w:tcPr>
            <w:tcW w:type="dxa" w:w="2340"/>
          </w:tcPr>
          <w:p>
            <w:r>
              <w:rPr>
                <w:color w:val="1A1A1A"/>
                <w:sz w:val="18"/>
              </w:rPr>
              <w:t>z=5.55, p &lt; 0.001</w:t>
            </w:r>
          </w:p>
        </w:tc>
        <w:tc>
          <w:tcPr>
            <w:tcW w:type="dxa" w:w="2340"/>
          </w:tcPr>
          <w:p>
            <w:r>
              <w:rPr>
                <w:color w:val="1A1A1A"/>
                <w:sz w:val="18"/>
              </w:rPr>
              <w:t>SUPPORTED</w:t>
            </w:r>
          </w:p>
        </w:tc>
      </w:tr>
      <w:tr>
        <w:tc>
          <w:tcPr>
            <w:tcW w:type="dxa" w:w="2340"/>
          </w:tcPr>
          <w:p>
            <w:r>
              <w:rPr>
                <w:color w:val="1A1A1A"/>
                <w:sz w:val="18"/>
              </w:rPr>
              <w:t>H3 — earlier detection of precursors</w:t>
            </w:r>
          </w:p>
        </w:tc>
        <w:tc>
          <w:tcPr>
            <w:tcW w:type="dxa" w:w="2340"/>
          </w:tcPr>
          <w:p>
            <w:r>
              <w:rPr>
                <w:color w:val="1A1A1A"/>
                <w:sz w:val="18"/>
              </w:rPr>
              <w:t>Two-proportion z-test</w:t>
            </w:r>
          </w:p>
        </w:tc>
        <w:tc>
          <w:tcPr>
            <w:tcW w:type="dxa" w:w="2340"/>
          </w:tcPr>
          <w:p>
            <w:r>
              <w:rPr>
                <w:color w:val="1A1A1A"/>
                <w:sz w:val="18"/>
              </w:rPr>
              <w:t>z=3.53, p &lt; 0.001</w:t>
            </w:r>
          </w:p>
        </w:tc>
        <w:tc>
          <w:tcPr>
            <w:tcW w:type="dxa" w:w="2340"/>
          </w:tcPr>
          <w:p>
            <w:r>
              <w:rPr>
                <w:color w:val="1A1A1A"/>
                <w:sz w:val="18"/>
              </w:rPr>
              <w:t>SUPPORTED</w:t>
            </w:r>
          </w:p>
        </w:tc>
      </w:tr>
    </w:tbl>
    <w:p/>
    <w:p>
      <w:pPr>
        <w:spacing w:before="280" w:after="120"/>
      </w:pPr>
      <w:r>
        <w:rPr>
          <w:b/>
          <w:color w:val="1F3964"/>
          <w:sz w:val="30"/>
        </w:rPr>
        <w:t>2. Method</w:t>
      </w:r>
    </w:p>
    <w:p>
      <w:pPr>
        <w:spacing w:after="80"/>
      </w:pPr>
      <w:r>
        <w:rPr>
          <w:b w:val="0"/>
          <w:color w:val="1A1A1A"/>
          <w:sz w:val="21"/>
        </w:rPr>
        <w:t>• Design: single-environment, two-condition comparison over five scenarios. Identical events indexed twice; the only difference is the populated pii.context.* namespace in the enriched condition (baseline uses signature + threshold detection rules only).</w:t>
      </w:r>
    </w:p>
    <w:p>
      <w:pPr>
        <w:spacing w:after="80"/>
      </w:pPr>
      <w:r>
        <w:rPr>
          <w:b w:val="0"/>
          <w:color w:val="1A1A1A"/>
          <w:sz w:val="21"/>
        </w:rPr>
        <w:t>• Enriched scoring (v8 promotion model, §3.5 / §3.7.4): base alert severity is scored 0–100 by the same standard-detection formula as the baseline and still sets the base tier (high ≥60, medium 40–59, low &lt;40), but contributes only a normalized 0–30 to the composite. The PII context is a bounded, weighted promotion layer of four contributions whose maxima total exactly 100: base severity (0–30), PII exposure (0–25; T1 25 / T2 18 / T3 8 / T4 0, primary impact), asset criticality (0–25, secondary impact) and attack complexity (5–20, threat likelihood), giving composite = base + pii + asset + complexity. Because base contributes at most 30, an alert on a non-PII asset maxes at 75 (inside high, below the critical threshold 80), so impact (25+25) outweighs likelihood (20) and a sophisticated attack on non-sensitive data is bounded at high. The CRITICAL tier is gated on a confirmed PII attack: composite ≥80 AND a Tier-1/2 PII target AND real attack evidence (observed PII exposure or ≥1 correlated MITRE technique), so ambient traffic on PII assets does not qualify (NIST SP 800-30r1/800-122). Two-tier routing (§3.5): the enriched pipeline routes composite ≥60 to the priority-investigation queue and gated composite ≥80 to the critical immediate-response queue. The binary-escalation metrics (H2: volume, TPR@high, FPR@high, alert-distribution) use the critical queue vs the baseline high+critical set (base ≥60); triage speed (H1) and early detection (H3) are measured over the ≥60 priority-investigation queue the analyst navigates vs the baseline base-≥60 queue.</w:t>
      </w:r>
    </w:p>
    <w:p>
      <w:pPr>
        <w:spacing w:after="80"/>
      </w:pPr>
      <w:r>
        <w:rPr>
          <w:b w:val="0"/>
          <w:color w:val="1A1A1A"/>
          <w:sz w:val="21"/>
        </w:rPr>
        <w:t>• Simulated triage-time model (H1): time to escalate a high-risk true positive = 20s read + queue-depth × 6s + context penalty (baseline 150s manual lookup, enriched 0s), or 1200s if deferred. Deterministic model, not a human-analyst study (§3.9.1).</w:t>
      </w:r>
    </w:p>
    <w:p>
      <w:pPr>
        <w:spacing w:before="280" w:after="120"/>
      </w:pPr>
      <w:r>
        <w:rPr>
          <w:b/>
          <w:color w:val="1F3964"/>
          <w:sz w:val="30"/>
        </w:rPr>
        <w:t>3. Primary Metrics (per scenario)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1F3964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170"/>
            <w:shd w:fill="1F3964"/>
          </w:tcPr>
          <w:p>
            <w:r>
              <w:rPr>
                <w:b/>
                <w:color w:val="FFFFFF"/>
                <w:sz w:val="18"/>
              </w:rPr>
              <w:t>Cond.</w:t>
            </w:r>
          </w:p>
        </w:tc>
        <w:tc>
          <w:tcPr>
            <w:tcW w:type="dxa" w:w="1170"/>
            <w:shd w:fill="1F3964"/>
          </w:tcPr>
          <w:p>
            <w:r>
              <w:rPr>
                <w:b/>
                <w:color w:val="FFFFFF"/>
                <w:sz w:val="18"/>
              </w:rPr>
              <w:t>High-prio</w:t>
            </w:r>
          </w:p>
        </w:tc>
        <w:tc>
          <w:tcPr>
            <w:tcW w:type="dxa" w:w="1170"/>
            <w:shd w:fill="1F3964"/>
          </w:tcPr>
          <w:p>
            <w:r>
              <w:rPr>
                <w:b/>
                <w:color w:val="FFFFFF"/>
                <w:sz w:val="18"/>
              </w:rPr>
              <w:t>TP</w:t>
            </w:r>
          </w:p>
        </w:tc>
        <w:tc>
          <w:tcPr>
            <w:tcW w:type="dxa" w:w="1170"/>
            <w:shd w:fill="1F3964"/>
          </w:tcPr>
          <w:p>
            <w:r>
              <w:rPr>
                <w:b/>
                <w:color w:val="FFFFFF"/>
                <w:sz w:val="18"/>
              </w:rPr>
              <w:t>FP</w:t>
            </w:r>
          </w:p>
        </w:tc>
        <w:tc>
          <w:tcPr>
            <w:tcW w:type="dxa" w:w="1170"/>
            <w:shd w:fill="1F3964"/>
          </w:tcPr>
          <w:p>
            <w:r>
              <w:rPr>
                <w:b/>
                <w:color w:val="FFFFFF"/>
                <w:sz w:val="18"/>
              </w:rPr>
              <w:t>TPR@high</w:t>
            </w:r>
          </w:p>
        </w:tc>
        <w:tc>
          <w:tcPr>
            <w:tcW w:type="dxa" w:w="1170"/>
            <w:shd w:fill="1F3964"/>
          </w:tcPr>
          <w:p>
            <w:r>
              <w:rPr>
                <w:b/>
                <w:color w:val="FFFFFF"/>
                <w:sz w:val="18"/>
              </w:rPr>
              <w:t>FPR@high</w:t>
            </w:r>
          </w:p>
        </w:tc>
        <w:tc>
          <w:tcPr>
            <w:tcW w:type="dxa" w:w="1170"/>
            <w:shd w:fill="1F3964"/>
          </w:tcPr>
          <w:p>
            <w:r>
              <w:rPr>
                <w:b/>
                <w:color w:val="FFFFFF"/>
                <w:sz w:val="18"/>
              </w:rPr>
              <w:t>Recall</w:t>
            </w:r>
          </w:p>
        </w:tc>
      </w:tr>
      <w:tr>
        <w:tc>
          <w:tcPr>
            <w:tcW w:type="dxa" w:w="1170"/>
          </w:tcPr>
          <w:p>
            <w:r>
              <w:rPr>
                <w:color w:val="1A1A1A"/>
                <w:sz w:val="18"/>
              </w:rPr>
              <w:t>s1_rat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baseline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47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12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35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0.255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0.745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0.600</w:t>
            </w:r>
          </w:p>
        </w:tc>
      </w:tr>
      <w:tr>
        <w:tc>
          <w:tcPr>
            <w:tcW w:type="dxa" w:w="1170"/>
          </w:tcPr>
          <w:p>
            <w:r>
              <w:rPr>
                <w:color w:val="1A1A1A"/>
                <w:sz w:val="18"/>
              </w:rPr>
              <w:t>s1_rat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enriched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6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4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2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0.667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0.333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0.200</w:t>
            </w:r>
          </w:p>
        </w:tc>
      </w:tr>
      <w:tr>
        <w:tc>
          <w:tcPr>
            <w:tcW w:type="dxa" w:w="1170"/>
          </w:tcPr>
          <w:p>
            <w:r>
              <w:rPr>
                <w:color w:val="1A1A1A"/>
                <w:sz w:val="18"/>
              </w:rPr>
              <w:t>s2_ato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baseline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43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8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35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0.186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0.814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0.667</w:t>
            </w:r>
          </w:p>
        </w:tc>
      </w:tr>
      <w:tr>
        <w:tc>
          <w:tcPr>
            <w:tcW w:type="dxa" w:w="1170"/>
          </w:tcPr>
          <w:p>
            <w:r>
              <w:rPr>
                <w:color w:val="1A1A1A"/>
                <w:sz w:val="18"/>
              </w:rPr>
              <w:t>s2_ato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enriched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7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5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2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0.714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0.286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0.417</w:t>
            </w:r>
          </w:p>
        </w:tc>
      </w:tr>
      <w:tr>
        <w:tc>
          <w:tcPr>
            <w:tcW w:type="dxa" w:w="1170"/>
          </w:tcPr>
          <w:p>
            <w:r>
              <w:rPr>
                <w:color w:val="1A1A1A"/>
                <w:sz w:val="18"/>
              </w:rPr>
              <w:t>s3_insider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baseline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40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5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35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0.125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0.875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0.556</w:t>
            </w:r>
          </w:p>
        </w:tc>
      </w:tr>
      <w:tr>
        <w:tc>
          <w:tcPr>
            <w:tcW w:type="dxa" w:w="1170"/>
          </w:tcPr>
          <w:p>
            <w:r>
              <w:rPr>
                <w:color w:val="1A1A1A"/>
                <w:sz w:val="18"/>
              </w:rPr>
              <w:t>s3_insider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enriched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7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5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2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0.714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0.286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0.556</w:t>
            </w:r>
          </w:p>
        </w:tc>
      </w:tr>
      <w:tr>
        <w:tc>
          <w:tcPr>
            <w:tcW w:type="dxa" w:w="1170"/>
          </w:tcPr>
          <w:p>
            <w:r>
              <w:rPr>
                <w:color w:val="1A1A1A"/>
                <w:sz w:val="18"/>
              </w:rPr>
              <w:t>s4_sqli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baseline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35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6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29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0.171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0.829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0.600</w:t>
            </w:r>
          </w:p>
        </w:tc>
      </w:tr>
      <w:tr>
        <w:tc>
          <w:tcPr>
            <w:tcW w:type="dxa" w:w="1170"/>
          </w:tcPr>
          <w:p>
            <w:r>
              <w:rPr>
                <w:color w:val="1A1A1A"/>
                <w:sz w:val="18"/>
              </w:rPr>
              <w:t>s4_sqli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enriched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5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3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2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0.600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0.400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0.300</w:t>
            </w:r>
          </w:p>
        </w:tc>
      </w:tr>
      <w:tr>
        <w:tc>
          <w:tcPr>
            <w:tcW w:type="dxa" w:w="1170"/>
          </w:tcPr>
          <w:p>
            <w:r>
              <w:rPr>
                <w:color w:val="1A1A1A"/>
                <w:sz w:val="18"/>
              </w:rPr>
              <w:t>s5_ransomware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baseline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45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10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35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0.222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0.778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0.714</w:t>
            </w:r>
          </w:p>
        </w:tc>
      </w:tr>
      <w:tr>
        <w:tc>
          <w:tcPr>
            <w:tcW w:type="dxa" w:w="1170"/>
          </w:tcPr>
          <w:p>
            <w:r>
              <w:rPr>
                <w:color w:val="1A1A1A"/>
                <w:sz w:val="18"/>
              </w:rPr>
              <w:t>s5_ransomware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enriched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5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3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2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0.600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0.400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0.214</w:t>
            </w:r>
          </w:p>
        </w:tc>
      </w:tr>
      <w:tr>
        <w:tc>
          <w:tcPr>
            <w:tcW w:type="dxa" w:w="1170"/>
          </w:tcPr>
          <w:p>
            <w:r>
              <w:rPr>
                <w:color w:val="1A1A1A"/>
                <w:sz w:val="18"/>
              </w:rPr>
              <w:t>POOLED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baseline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210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41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169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0.195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0.805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</w:r>
          </w:p>
        </w:tc>
      </w:tr>
      <w:tr>
        <w:tc>
          <w:tcPr>
            <w:tcW w:type="dxa" w:w="1170"/>
          </w:tcPr>
          <w:p>
            <w:r>
              <w:rPr>
                <w:color w:val="1A1A1A"/>
                <w:sz w:val="18"/>
              </w:rPr>
              <w:t>POOLED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enriched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30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20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10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0.667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  <w:t>0.333</w:t>
            </w:r>
          </w:p>
        </w:tc>
        <w:tc>
          <w:tcPr>
            <w:tcW w:type="dxa" w:w="1170"/>
          </w:tcPr>
          <w:p>
            <w:r>
              <w:rPr>
                <w:color w:val="1A1A1A"/>
                <w:sz w:val="18"/>
              </w:rPr>
            </w:r>
          </w:p>
        </w:tc>
      </w:tr>
    </w:tbl>
    <w:p/>
    <w:p>
      <w:pPr>
        <w:spacing w:before="280" w:after="120"/>
      </w:pPr>
      <w:r>
        <w:rPr>
          <w:b/>
          <w:color w:val="1F3964"/>
          <w:sz w:val="30"/>
        </w:rPr>
        <w:t>4. Inferential Statistics (§3.8.4)</w:t>
      </w:r>
    </w:p>
    <w:p>
      <w:pPr>
        <w:spacing w:after="80"/>
      </w:pPr>
      <w:r>
        <w:rPr>
          <w:b/>
          <w:color w:val="1A1A1A"/>
          <w:sz w:val="21"/>
        </w:rPr>
        <w:t>H1 — Paired t-test on simulated triage time (n=40 high-risk TPs). Baseline mean 730s vs enriched 238s (Δ=492s, 67% faster). t(39)=6.40, p &lt; 0.001, Cohen's d=1.01.</w:t>
      </w:r>
    </w:p>
    <w:p>
      <w:pPr>
        <w:spacing w:after="80"/>
      </w:pPr>
      <w:r>
        <w:rPr>
          <w:b/>
          <w:color w:val="1A1A1A"/>
          <w:sz w:val="21"/>
        </w:rPr>
        <w:t>H2 — Two-proportion z-test on TPR@high. Enriched 0.667 (20/30) vs baseline 0.195 (41/210). z=5.55, p &lt; 0.001, Cohen's h=1.00.</w:t>
      </w:r>
    </w:p>
    <w:p>
      <w:pPr>
        <w:spacing w:after="80"/>
      </w:pPr>
      <w:r>
        <w:rPr>
          <w:b/>
          <w:color w:val="1A1A1A"/>
          <w:sz w:val="21"/>
        </w:rPr>
        <w:t>Risk-score precision — independent-samples t-test (composite of true vs false positives). Levene W=1.51, p = 0.220 → variances equal, report pooled. TP mean 66.8 vs FP mean 51.9; t=7.07, p &lt; 0.001, Cohen's d=0.92.</w:t>
      </w:r>
    </w:p>
    <w:p>
      <w:pPr>
        <w:spacing w:before="280" w:after="120"/>
      </w:pPr>
      <w:r>
        <w:rPr>
          <w:b/>
          <w:color w:val="1F3964"/>
          <w:sz w:val="30"/>
        </w:rPr>
        <w:t>5. Secondary Metrics (§3.8.3)</w:t>
      </w:r>
    </w:p>
    <w:p>
      <w:pPr>
        <w:spacing w:after="80"/>
      </w:pPr>
      <w:r>
        <w:rPr>
          <w:b w:val="0"/>
          <w:color w:val="1A1A1A"/>
          <w:sz w:val="21"/>
        </w:rPr>
        <w:t>• Alert-distribution shift: high-priority share of all alerts falls from 29.2% to 4.2%, concentrating on true positives.</w:t>
      </w:r>
    </w:p>
    <w:p>
      <w:pPr>
        <w:spacing w:after="80"/>
      </w:pPr>
      <w:r>
        <w:rPr>
          <w:b w:val="0"/>
          <w:color w:val="1A1A1A"/>
          <w:sz w:val="21"/>
        </w:rPr>
        <w:t>• PII-exposure coverage: 28/28 (100%) of implicated internal assets are in the Asset Inventory Registry.</w:t>
      </w:r>
    </w:p>
    <w:p>
      <w:pPr>
        <w:spacing w:after="80"/>
      </w:pPr>
      <w:r>
        <w:rPr>
          <w:b w:val="0"/>
          <w:color w:val="1A1A1A"/>
          <w:sz w:val="21"/>
        </w:rPr>
        <w:t>• Risk-score precision: TP composite mean 66.8 ≫ FP mean 51.9.</w:t>
      </w:r>
    </w:p>
    <w:p>
      <w:pPr>
        <w:spacing w:after="80"/>
      </w:pPr>
      <w:r>
        <w:rPr>
          <w:b w:val="0"/>
          <w:color w:val="1A1A1A"/>
          <w:sz w:val="21"/>
        </w:rPr>
        <w:t>• Early-detection rate (H3): of 28 pre-exfiltration malicious events on Tier-1/2 assets, enriched flags 23 (0.821) as high-priority vs baseline 10 (0.357).</w:t>
      </w:r>
    </w:p>
    <w:p>
      <w:pPr>
        <w:spacing w:before="280" w:after="120"/>
      </w:pPr>
      <w:r>
        <w:rPr>
          <w:b/>
          <w:color w:val="1F3964"/>
          <w:sz w:val="30"/>
        </w:rPr>
        <w:t>6. Hypothesis Findings</w:t>
      </w:r>
    </w:p>
    <w:p>
      <w:pPr>
        <w:spacing w:after="80"/>
      </w:pPr>
      <w:r>
        <w:rPr>
          <w:b/>
          <w:color w:val="1F3964"/>
          <w:sz w:val="22"/>
        </w:rPr>
        <w:t xml:space="preserve">H1 — </w:t>
      </w:r>
      <w:r>
        <w:rPr>
          <w:b/>
          <w:color w:val="2E7D32"/>
          <w:sz w:val="22"/>
        </w:rPr>
        <w:t xml:space="preserve">SUPPORTED. </w:t>
      </w:r>
      <w:r>
        <w:rPr>
          <w:color w:val="1A1A1A"/>
          <w:sz w:val="21"/>
        </w:rPr>
        <w:t>Analysts using the framework triage high-risk PII threats significantly faster (paired t-test p &lt; 0.001, d=1.01). The enriched condition removes manual context-gathering and shrinks the high-priority queue.</w:t>
      </w:r>
    </w:p>
    <w:p>
      <w:pPr>
        <w:spacing w:after="80"/>
      </w:pPr>
      <w:r>
        <w:rPr>
          <w:b/>
          <w:color w:val="1F3964"/>
          <w:sz w:val="22"/>
        </w:rPr>
        <w:t xml:space="preserve">H2 — </w:t>
      </w:r>
      <w:r>
        <w:rPr>
          <w:b/>
          <w:color w:val="2E7D32"/>
          <w:sz w:val="22"/>
        </w:rPr>
        <w:t xml:space="preserve">SUPPORTED. </w:t>
      </w:r>
      <w:r>
        <w:rPr>
          <w:color w:val="1A1A1A"/>
          <w:sz w:val="21"/>
        </w:rPr>
        <w:t>PII context sharply reduces noise: high-priority volume falls 86% and TPR@high rises from 0.195 to 0.667 (z=5.55, p &lt; 0.001).</w:t>
      </w:r>
    </w:p>
    <w:p>
      <w:pPr>
        <w:spacing w:after="80"/>
      </w:pPr>
      <w:r>
        <w:rPr>
          <w:b/>
          <w:color w:val="1F3964"/>
          <w:sz w:val="22"/>
        </w:rPr>
        <w:t xml:space="preserve">H3 — </w:t>
      </w:r>
      <w:r>
        <w:rPr>
          <w:b/>
          <w:color w:val="2E7D32"/>
          <w:sz w:val="22"/>
        </w:rPr>
        <w:t xml:space="preserve">SUPPORTED. </w:t>
      </w:r>
      <w:r>
        <w:rPr>
          <w:color w:val="1A1A1A"/>
          <w:sz w:val="21"/>
        </w:rPr>
        <w:t>Enriched assigns high priority to early-stage precursors more often than baseline (0.821 vs 0.357). Per §3.8.4 the small precursor count limits power (p &lt; 0.001); the evidence is directionally consistent — the stated proof-of-concept contribution.</w:t>
      </w:r>
    </w:p>
    <w:p>
      <w:pPr>
        <w:spacing w:before="280" w:after="120"/>
      </w:pPr>
      <w:r>
        <w:rPr>
          <w:b/>
          <w:color w:val="1F3964"/>
          <w:sz w:val="30"/>
        </w:rPr>
        <w:t>7. Limitations (§3.9.1)</w:t>
      </w:r>
    </w:p>
    <w:p>
      <w:pPr>
        <w:spacing w:after="80"/>
      </w:pPr>
      <w:r>
        <w:rPr>
          <w:b w:val="0"/>
          <w:color w:val="1A1A1A"/>
          <w:sz w:val="21"/>
        </w:rPr>
        <w:t>• Synthetic data cannot fully replicate production noise, temporal patterns, and context.</w:t>
      </w:r>
    </w:p>
    <w:p>
      <w:pPr>
        <w:spacing w:after="80"/>
      </w:pPr>
      <w:r>
        <w:rPr>
          <w:b w:val="0"/>
          <w:color w:val="1A1A1A"/>
          <w:sz w:val="21"/>
        </w:rPr>
        <w:t>• Single-node ELK deployment; enterprise-scale scoring efficiency untested.</w:t>
      </w:r>
    </w:p>
    <w:p>
      <w:pPr>
        <w:spacing w:after="80"/>
      </w:pPr>
      <w:r>
        <w:rPr>
          <w:b w:val="0"/>
          <w:color w:val="1A1A1A"/>
          <w:sz w:val="21"/>
        </w:rPr>
        <w:t>• Five scenarios cannot encompass the full adversary technique space.</w:t>
      </w:r>
    </w:p>
    <w:p>
      <w:pPr>
        <w:spacing w:after="80"/>
      </w:pPr>
      <w:r>
        <w:rPr>
          <w:b w:val="0"/>
          <w:color w:val="1A1A1A"/>
          <w:sz w:val="21"/>
        </w:rPr>
        <w:t>• Triage time is a documented deterministic model, not a study with human analyst evaluators.</w:t>
      </w:r>
    </w:p>
    <w:p>
      <w:pPr>
        <w:spacing w:after="80"/>
      </w:pPr>
      <w:r>
        <w:rPr>
          <w:b w:val="0"/>
          <w:color w:val="1A1A1A"/>
          <w:sz w:val="21"/>
        </w:rPr>
        <w:t>• The scoring model is calibrated for this environment and would require recalibration elsewhere.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