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B48EF" w14:textId="77777777" w:rsidR="005D3B36" w:rsidRDefault="005D3B36" w:rsidP="00BA2401">
      <w:pPr>
        <w:jc w:val="center"/>
        <w:rPr>
          <w:rFonts w:ascii="Times New Roman" w:hAnsi="Times New Roman" w:cs="Times New Roman"/>
          <w:b/>
          <w:bCs/>
        </w:rPr>
      </w:pPr>
    </w:p>
    <w:p w14:paraId="3189AC9A" w14:textId="77777777" w:rsidR="005D3B36" w:rsidRDefault="005D3B36" w:rsidP="00BA2401">
      <w:pPr>
        <w:jc w:val="center"/>
        <w:rPr>
          <w:rFonts w:ascii="Times New Roman" w:hAnsi="Times New Roman" w:cs="Times New Roman"/>
          <w:b/>
          <w:bCs/>
        </w:rPr>
      </w:pPr>
    </w:p>
    <w:p w14:paraId="09AF5722" w14:textId="77777777" w:rsidR="005D3B36" w:rsidRDefault="005D3B36" w:rsidP="00BA2401">
      <w:pPr>
        <w:jc w:val="center"/>
        <w:rPr>
          <w:rFonts w:ascii="Times New Roman" w:hAnsi="Times New Roman" w:cs="Times New Roman"/>
          <w:b/>
          <w:bCs/>
        </w:rPr>
      </w:pPr>
    </w:p>
    <w:p w14:paraId="26AE6CE6" w14:textId="77777777" w:rsidR="00BA2401" w:rsidRPr="00BA768C" w:rsidRDefault="00BA2401" w:rsidP="00461622">
      <w:pPr>
        <w:spacing w:after="0" w:line="240" w:lineRule="auto"/>
        <w:jc w:val="center"/>
        <w:rPr>
          <w:rFonts w:ascii="Times New Roman" w:hAnsi="Times New Roman" w:cs="Times New Roman"/>
          <w:b/>
          <w:bCs/>
        </w:rPr>
      </w:pPr>
      <w:r>
        <w:rPr>
          <w:rFonts w:ascii="Times New Roman" w:hAnsi="Times New Roman" w:cs="Times New Roman"/>
          <w:b/>
          <w:bCs/>
        </w:rPr>
        <w:t>Framework for Correlating Security Anomalies to with Classification of PII Identify Data Theft Attacks</w:t>
      </w:r>
    </w:p>
    <w:p w14:paraId="0C947A37" w14:textId="77777777" w:rsidR="00F17123" w:rsidRDefault="00F17123" w:rsidP="00461622">
      <w:pPr>
        <w:spacing w:after="0" w:line="240" w:lineRule="auto"/>
        <w:jc w:val="center"/>
        <w:rPr>
          <w:rFonts w:ascii="Times New Roman" w:hAnsi="Times New Roman" w:cs="Times New Roman"/>
        </w:rPr>
      </w:pPr>
    </w:p>
    <w:p w14:paraId="37214E79" w14:textId="77777777" w:rsidR="00461622" w:rsidRDefault="00461622" w:rsidP="00461622">
      <w:pPr>
        <w:spacing w:after="0" w:line="240" w:lineRule="auto"/>
        <w:jc w:val="center"/>
        <w:rPr>
          <w:rFonts w:ascii="Times New Roman" w:hAnsi="Times New Roman" w:cs="Times New Roman"/>
        </w:rPr>
      </w:pPr>
    </w:p>
    <w:p w14:paraId="13CC3E2B" w14:textId="77777777" w:rsidR="00461622" w:rsidRPr="00BA768C" w:rsidRDefault="00461622" w:rsidP="00461622">
      <w:pPr>
        <w:spacing w:after="0" w:line="240" w:lineRule="auto"/>
        <w:jc w:val="center"/>
        <w:rPr>
          <w:rFonts w:ascii="Times New Roman" w:hAnsi="Times New Roman" w:cs="Times New Roman"/>
        </w:rPr>
      </w:pPr>
    </w:p>
    <w:p w14:paraId="1D79B2AB" w14:textId="77777777" w:rsidR="00BA2401" w:rsidRPr="00BA768C" w:rsidRDefault="00BA2401" w:rsidP="00461622">
      <w:pPr>
        <w:spacing w:after="0" w:line="240" w:lineRule="auto"/>
        <w:jc w:val="center"/>
        <w:rPr>
          <w:rFonts w:ascii="Times New Roman" w:hAnsi="Times New Roman" w:cs="Times New Roman"/>
        </w:rPr>
      </w:pPr>
      <w:r>
        <w:rPr>
          <w:rFonts w:ascii="Times New Roman" w:hAnsi="Times New Roman" w:cs="Times New Roman"/>
        </w:rPr>
        <w:t>by Sanjay Raja</w:t>
      </w:r>
    </w:p>
    <w:p w14:paraId="60C802B1" w14:textId="77777777" w:rsidR="00DE78FB" w:rsidRDefault="00DE78FB" w:rsidP="00461622">
      <w:pPr>
        <w:spacing w:after="0" w:line="240" w:lineRule="auto"/>
        <w:jc w:val="center"/>
        <w:rPr>
          <w:rFonts w:ascii="Times New Roman" w:hAnsi="Times New Roman" w:cs="Times New Roman"/>
        </w:rPr>
      </w:pPr>
    </w:p>
    <w:p w14:paraId="741C1F75" w14:textId="77777777" w:rsidR="00461622" w:rsidRDefault="00461622" w:rsidP="00461622">
      <w:pPr>
        <w:spacing w:after="0" w:line="240" w:lineRule="auto"/>
        <w:jc w:val="center"/>
        <w:rPr>
          <w:rFonts w:ascii="Times New Roman" w:hAnsi="Times New Roman" w:cs="Times New Roman"/>
        </w:rPr>
      </w:pPr>
    </w:p>
    <w:p w14:paraId="75EFBF91" w14:textId="77777777" w:rsidR="00461622" w:rsidRPr="00DE78FB" w:rsidRDefault="00461622" w:rsidP="00461622">
      <w:pPr>
        <w:spacing w:after="0" w:line="240" w:lineRule="auto"/>
        <w:jc w:val="center"/>
        <w:rPr>
          <w:rFonts w:ascii="Times New Roman" w:hAnsi="Times New Roman" w:cs="Times New Roman"/>
        </w:rPr>
      </w:pPr>
    </w:p>
    <w:p w14:paraId="09950575" w14:textId="77777777" w:rsidR="00DE78FB" w:rsidRPr="00DE78FB" w:rsidRDefault="00DE78FB" w:rsidP="00461622">
      <w:pPr>
        <w:spacing w:after="0" w:line="240" w:lineRule="auto"/>
        <w:jc w:val="center"/>
        <w:rPr>
          <w:rFonts w:ascii="Times New Roman" w:hAnsi="Times New Roman" w:cs="Times New Roman"/>
        </w:rPr>
      </w:pPr>
      <w:r>
        <w:rPr>
          <w:rFonts w:ascii="Times New Roman" w:hAnsi="Times New Roman" w:cs="Times New Roman"/>
        </w:rPr>
        <w:t xml:space="preserve"> B.S. in Electrical Engineering, January 1994, Worcester Polytechnic Institute</w:t>
      </w:r>
    </w:p>
    <w:p w14:paraId="34FEFCA5" w14:textId="77777777" w:rsidR="00BA2401" w:rsidRPr="00BA768C" w:rsidRDefault="00DE78FB" w:rsidP="00461622">
      <w:pPr>
        <w:spacing w:after="0" w:line="240" w:lineRule="auto"/>
        <w:jc w:val="center"/>
        <w:rPr>
          <w:rFonts w:ascii="Times New Roman" w:hAnsi="Times New Roman" w:cs="Times New Roman"/>
        </w:rPr>
      </w:pPr>
      <w:r>
        <w:rPr>
          <w:rFonts w:ascii="Times New Roman" w:hAnsi="Times New Roman" w:cs="Times New Roman"/>
        </w:rPr>
        <w:t>M.B.A. in Marketing, May 2004, Worcester Polytechnic Institute</w:t>
      </w:r>
    </w:p>
    <w:p w14:paraId="352F270D" w14:textId="77777777" w:rsidR="00461622" w:rsidRDefault="00461622" w:rsidP="00461622">
      <w:pPr>
        <w:spacing w:after="0" w:line="240" w:lineRule="auto"/>
        <w:jc w:val="center"/>
        <w:rPr>
          <w:rFonts w:ascii="Times New Roman" w:hAnsi="Times New Roman" w:cs="Times New Roman"/>
        </w:rPr>
      </w:pPr>
    </w:p>
    <w:p w14:paraId="6CF9E0C8" w14:textId="77777777" w:rsidR="00461622" w:rsidRPr="00BA768C" w:rsidRDefault="00461622" w:rsidP="00461622">
      <w:pPr>
        <w:spacing w:after="0" w:line="240" w:lineRule="auto"/>
        <w:jc w:val="center"/>
        <w:rPr>
          <w:rFonts w:ascii="Times New Roman" w:hAnsi="Times New Roman" w:cs="Times New Roman"/>
        </w:rPr>
      </w:pPr>
    </w:p>
    <w:p w14:paraId="4931484D" w14:textId="77777777" w:rsidR="00BA2401" w:rsidRPr="00BA768C" w:rsidRDefault="00BA2401" w:rsidP="00461622">
      <w:pPr>
        <w:spacing w:after="0" w:line="240" w:lineRule="auto"/>
        <w:jc w:val="center"/>
        <w:rPr>
          <w:rFonts w:ascii="Times New Roman" w:hAnsi="Times New Roman" w:cs="Times New Roman"/>
        </w:rPr>
      </w:pPr>
      <w:r>
        <w:rPr>
          <w:rFonts w:ascii="Times New Roman" w:hAnsi="Times New Roman" w:cs="Times New Roman"/>
        </w:rPr>
        <w:t>A Dissertation submitted to</w:t>
      </w:r>
    </w:p>
    <w:p w14:paraId="02AF7E54" w14:textId="77777777" w:rsidR="005D3B36" w:rsidRDefault="005D3B36" w:rsidP="00461622">
      <w:pPr>
        <w:spacing w:after="0" w:line="240" w:lineRule="auto"/>
        <w:jc w:val="center"/>
        <w:rPr>
          <w:rFonts w:ascii="Times New Roman" w:hAnsi="Times New Roman" w:cs="Times New Roman"/>
        </w:rPr>
      </w:pPr>
    </w:p>
    <w:p w14:paraId="218E1384" w14:textId="77777777" w:rsidR="00461622" w:rsidRDefault="00461622" w:rsidP="00461622">
      <w:pPr>
        <w:spacing w:after="0" w:line="240" w:lineRule="auto"/>
        <w:jc w:val="center"/>
        <w:rPr>
          <w:rFonts w:ascii="Times New Roman" w:hAnsi="Times New Roman" w:cs="Times New Roman"/>
        </w:rPr>
      </w:pPr>
    </w:p>
    <w:p w14:paraId="628F6EDE" w14:textId="77777777" w:rsidR="00461622" w:rsidRPr="00BA768C" w:rsidRDefault="00461622" w:rsidP="00461622">
      <w:pPr>
        <w:spacing w:after="0" w:line="240" w:lineRule="auto"/>
        <w:jc w:val="center"/>
        <w:rPr>
          <w:rFonts w:ascii="Times New Roman" w:hAnsi="Times New Roman" w:cs="Times New Roman"/>
        </w:rPr>
      </w:pPr>
    </w:p>
    <w:p w14:paraId="339D292B" w14:textId="77777777" w:rsidR="005D3B36" w:rsidRDefault="00BA2401" w:rsidP="00461622">
      <w:pPr>
        <w:spacing w:after="0" w:line="240" w:lineRule="auto"/>
        <w:jc w:val="center"/>
        <w:rPr>
          <w:rFonts w:ascii="Times New Roman" w:hAnsi="Times New Roman" w:cs="Times New Roman"/>
        </w:rPr>
      </w:pPr>
      <w:r>
        <w:rPr>
          <w:rFonts w:ascii="Times New Roman" w:hAnsi="Times New Roman" w:cs="Times New Roman"/>
        </w:rPr>
        <w:t xml:space="preserve">The Faculty of </w:t>
      </w:r>
    </w:p>
    <w:p w14:paraId="2F412D64" w14:textId="77777777" w:rsidR="005D3B36" w:rsidRPr="00BA768C" w:rsidRDefault="00BA2401" w:rsidP="00461622">
      <w:pPr>
        <w:spacing w:after="0" w:line="240" w:lineRule="auto"/>
        <w:jc w:val="center"/>
        <w:rPr>
          <w:rFonts w:ascii="Times New Roman" w:hAnsi="Times New Roman" w:cs="Times New Roman"/>
        </w:rPr>
      </w:pPr>
      <w:r>
        <w:rPr>
          <w:rFonts w:ascii="Times New Roman" w:hAnsi="Times New Roman" w:cs="Times New Roman"/>
        </w:rPr>
        <w:t>The School of Engineering and Applied Science</w:t>
      </w:r>
    </w:p>
    <w:p w14:paraId="727715D7" w14:textId="77777777" w:rsidR="00BA2401" w:rsidRPr="00BA768C" w:rsidRDefault="00BA2401" w:rsidP="00461622">
      <w:pPr>
        <w:spacing w:after="0" w:line="240" w:lineRule="auto"/>
        <w:jc w:val="center"/>
        <w:rPr>
          <w:rFonts w:ascii="Times New Roman" w:hAnsi="Times New Roman" w:cs="Times New Roman"/>
        </w:rPr>
      </w:pPr>
      <w:r>
        <w:rPr>
          <w:rFonts w:ascii="Times New Roman" w:hAnsi="Times New Roman" w:cs="Times New Roman"/>
        </w:rPr>
        <w:t>of The George Washington University</w:t>
      </w:r>
    </w:p>
    <w:p w14:paraId="5D8DC201" w14:textId="77777777" w:rsidR="00BA2401" w:rsidRPr="00BA768C" w:rsidRDefault="00BA2401" w:rsidP="00461622">
      <w:pPr>
        <w:spacing w:after="0" w:line="240" w:lineRule="auto"/>
        <w:jc w:val="center"/>
        <w:rPr>
          <w:rFonts w:ascii="Times New Roman" w:hAnsi="Times New Roman" w:cs="Times New Roman"/>
        </w:rPr>
      </w:pPr>
      <w:r>
        <w:rPr>
          <w:rFonts w:ascii="Times New Roman" w:hAnsi="Times New Roman" w:cs="Times New Roman"/>
        </w:rPr>
        <w:t>in partial fulfillment of the requirements</w:t>
      </w:r>
    </w:p>
    <w:p w14:paraId="22588598" w14:textId="77777777" w:rsidR="00BA2401" w:rsidRPr="00BA768C" w:rsidRDefault="00BA2401" w:rsidP="00461622">
      <w:pPr>
        <w:spacing w:after="0" w:line="240" w:lineRule="auto"/>
        <w:jc w:val="center"/>
        <w:rPr>
          <w:rFonts w:ascii="Times New Roman" w:hAnsi="Times New Roman" w:cs="Times New Roman"/>
        </w:rPr>
      </w:pPr>
      <w:r>
        <w:rPr>
          <w:rFonts w:ascii="Times New Roman" w:hAnsi="Times New Roman" w:cs="Times New Roman"/>
        </w:rPr>
        <w:t>for the degree of Doctor of Engineering in Cyber Analytics</w:t>
      </w:r>
    </w:p>
    <w:p w14:paraId="3909DAE8" w14:textId="77777777" w:rsidR="00BA2401" w:rsidRDefault="00BA2401" w:rsidP="00461622">
      <w:pPr>
        <w:spacing w:after="0" w:line="240" w:lineRule="auto"/>
        <w:jc w:val="center"/>
        <w:rPr>
          <w:rFonts w:ascii="Times New Roman" w:hAnsi="Times New Roman" w:cs="Times New Roman"/>
        </w:rPr>
      </w:pPr>
    </w:p>
    <w:p w14:paraId="4A1FC315" w14:textId="77777777" w:rsidR="00461622" w:rsidRPr="00BA768C" w:rsidRDefault="00461622" w:rsidP="00461622">
      <w:pPr>
        <w:spacing w:after="0" w:line="240" w:lineRule="auto"/>
        <w:jc w:val="center"/>
        <w:rPr>
          <w:rFonts w:ascii="Times New Roman" w:hAnsi="Times New Roman" w:cs="Times New Roman"/>
        </w:rPr>
      </w:pPr>
    </w:p>
    <w:p w14:paraId="3F8BDD70" w14:textId="77777777" w:rsidR="005D3B36" w:rsidRDefault="005D3B36" w:rsidP="00461622">
      <w:pPr>
        <w:tabs>
          <w:tab w:val="left" w:pos="0"/>
        </w:tabs>
        <w:spacing w:after="0" w:line="240" w:lineRule="auto"/>
        <w:jc w:val="center"/>
        <w:rPr>
          <w:rFonts w:ascii="Times New Roman" w:hAnsi="Times New Roman" w:cs="Times New Roman"/>
          <w:spacing w:val="-2"/>
        </w:rPr>
      </w:pPr>
    </w:p>
    <w:p w14:paraId="73BADF3C" w14:textId="77777777" w:rsidR="005D3B36" w:rsidRPr="008B4EE5" w:rsidRDefault="005D3B36" w:rsidP="00461622">
      <w:pPr>
        <w:tabs>
          <w:tab w:val="left" w:pos="0"/>
        </w:tabs>
        <w:spacing w:after="0" w:line="240" w:lineRule="auto"/>
        <w:jc w:val="center"/>
        <w:rPr>
          <w:rFonts w:ascii="Times New Roman" w:hAnsi="Times New Roman" w:cs="Times New Roman"/>
          <w:spacing w:val="33"/>
          <w:w w:val="102"/>
        </w:rPr>
      </w:pPr>
      <w:r>
        <w:rPr>
          <w:rFonts w:ascii="Times New Roman" w:hAnsi="Times New Roman" w:cs="Times New Roman"/>
          <w:spacing w:val="-2"/>
        </w:rPr>
        <w:t>[Month</w:t>
      </w:r>
      <w:r>
        <w:rPr>
          <w:rFonts w:ascii="Times New Roman" w:hAnsi="Times New Roman" w:cs="Times New Roman"/>
          <w:spacing w:val="9"/>
        </w:rPr>
        <w:t xml:space="preserve"> </w:t>
      </w:r>
      <w:r>
        <w:rPr>
          <w:rFonts w:ascii="Times New Roman" w:hAnsi="Times New Roman" w:cs="Times New Roman"/>
          <w:spacing w:val="-2"/>
        </w:rPr>
        <w:t>Day,</w:t>
      </w:r>
      <w:r>
        <w:rPr>
          <w:rFonts w:ascii="Times New Roman" w:hAnsi="Times New Roman" w:cs="Times New Roman"/>
          <w:spacing w:val="11"/>
        </w:rPr>
        <w:t xml:space="preserve"> </w:t>
      </w:r>
      <w:r>
        <w:rPr>
          <w:rFonts w:ascii="Times New Roman" w:hAnsi="Times New Roman" w:cs="Times New Roman"/>
          <w:spacing w:val="-2"/>
        </w:rPr>
        <w:t>Year</w:t>
      </w:r>
      <w:r>
        <w:rPr>
          <w:rFonts w:ascii="Times New Roman" w:hAnsi="Times New Roman" w:cs="Times New Roman"/>
          <w:spacing w:val="11"/>
        </w:rPr>
        <w:t xml:space="preserve"> </w:t>
      </w:r>
      <w:r>
        <w:rPr>
          <w:rFonts w:ascii="Times New Roman" w:hAnsi="Times New Roman" w:cs="Times New Roman"/>
          <w:spacing w:val="-2"/>
        </w:rPr>
        <w:t>degree</w:t>
      </w:r>
      <w:r>
        <w:rPr>
          <w:rFonts w:ascii="Times New Roman" w:hAnsi="Times New Roman" w:cs="Times New Roman"/>
          <w:spacing w:val="9"/>
        </w:rPr>
        <w:t xml:space="preserve"> </w:t>
      </w:r>
      <w:r>
        <w:rPr>
          <w:rFonts w:ascii="Times New Roman" w:hAnsi="Times New Roman" w:cs="Times New Roman"/>
          <w:spacing w:val="-2"/>
        </w:rPr>
        <w:t>conferred]</w:t>
      </w:r>
    </w:p>
    <w:p w14:paraId="631300EC" w14:textId="77777777" w:rsidR="005D3B36" w:rsidRDefault="005D3B36" w:rsidP="00461622">
      <w:pPr>
        <w:spacing w:after="0" w:line="240" w:lineRule="auto"/>
        <w:jc w:val="center"/>
        <w:rPr>
          <w:rFonts w:ascii="Times New Roman" w:hAnsi="Times New Roman" w:cs="Times New Roman"/>
        </w:rPr>
      </w:pPr>
    </w:p>
    <w:p w14:paraId="6B174EF3" w14:textId="77777777" w:rsidR="00461622" w:rsidRDefault="00461622" w:rsidP="00461622">
      <w:pPr>
        <w:spacing w:after="0" w:line="240" w:lineRule="auto"/>
        <w:jc w:val="center"/>
        <w:rPr>
          <w:rFonts w:ascii="Times New Roman" w:hAnsi="Times New Roman" w:cs="Times New Roman"/>
        </w:rPr>
      </w:pPr>
    </w:p>
    <w:p w14:paraId="783CABB9" w14:textId="77777777" w:rsidR="00461622" w:rsidRDefault="00461622" w:rsidP="00461622">
      <w:pPr>
        <w:spacing w:after="0" w:line="240" w:lineRule="auto"/>
        <w:jc w:val="center"/>
        <w:rPr>
          <w:rFonts w:ascii="Times New Roman" w:hAnsi="Times New Roman" w:cs="Times New Roman"/>
        </w:rPr>
      </w:pPr>
      <w:r>
        <w:rPr>
          <w:rFonts w:ascii="Times New Roman" w:hAnsi="Times New Roman" w:cs="Times New Roman"/>
        </w:rPr>
        <w:t>Dissertation directed by</w:t>
      </w:r>
    </w:p>
    <w:p w14:paraId="4A94C454" w14:textId="77777777" w:rsidR="00461622" w:rsidRPr="00BA768C" w:rsidRDefault="00461622" w:rsidP="00461622">
      <w:pPr>
        <w:spacing w:after="0" w:line="240" w:lineRule="auto"/>
        <w:jc w:val="center"/>
        <w:rPr>
          <w:rFonts w:ascii="Times New Roman" w:hAnsi="Times New Roman" w:cs="Times New Roman"/>
        </w:rPr>
      </w:pPr>
    </w:p>
    <w:p w14:paraId="483CA88D" w14:textId="77777777" w:rsidR="00BA768C" w:rsidRPr="005D3B36" w:rsidRDefault="005D3B36" w:rsidP="00461622">
      <w:pPr>
        <w:pStyle w:val="BodyText"/>
        <w:tabs>
          <w:tab w:val="left" w:pos="0"/>
        </w:tabs>
        <w:ind w:left="0" w:right="302"/>
        <w:jc w:val="center"/>
        <w:rPr>
          <w:rFonts w:cs="Times New Roman"/>
          <w:spacing w:val="-2"/>
          <w:sz w:val="24"/>
          <w:szCs w:val="24"/>
        </w:rPr>
      </w:pPr>
      <w:r>
        <w:rPr>
          <w:rFonts w:cs="Times New Roman"/>
          <w:spacing w:val="-2"/>
          <w:sz w:val="24"/>
          <w:szCs w:val="24"/>
        </w:rPr>
        <w:t xml:space="preserve">Dr. Hadi Mohammadi </w:t>
      </w:r>
    </w:p>
    <w:p w14:paraId="5A1B017D" w14:textId="77777777" w:rsidR="00F17123" w:rsidRPr="008B4EE5" w:rsidRDefault="00BA768C" w:rsidP="00461622">
      <w:pPr>
        <w:pStyle w:val="BodyText"/>
        <w:tabs>
          <w:tab w:val="left" w:pos="0"/>
        </w:tabs>
        <w:ind w:left="0" w:right="302"/>
        <w:jc w:val="center"/>
        <w:rPr>
          <w:rFonts w:cs="Times New Roman"/>
          <w:sz w:val="24"/>
          <w:szCs w:val="24"/>
        </w:rPr>
      </w:pPr>
      <w:r>
        <w:rPr>
          <w:rFonts w:cs="Times New Roman"/>
          <w:sz w:val="24"/>
          <w:szCs w:val="24"/>
        </w:rPr>
        <w:t xml:space="preserve"> Professorial Lecturer of Engineering and Applied Science</w:t>
      </w:r>
    </w:p>
    <w:p w14:paraId="5914F133" w14:textId="77777777" w:rsidR="00F17123" w:rsidRPr="000A1F2F" w:rsidRDefault="00F17123" w:rsidP="00461622">
      <w:pPr>
        <w:tabs>
          <w:tab w:val="left" w:pos="0"/>
        </w:tabs>
        <w:spacing w:after="0" w:line="240" w:lineRule="auto"/>
        <w:jc w:val="center"/>
        <w:rPr>
          <w:rFonts w:ascii="Times New Roman" w:eastAsia="Times New Roman" w:hAnsi="Times New Roman" w:cs="Times New Roman"/>
        </w:rPr>
      </w:pPr>
    </w:p>
    <w:p w14:paraId="137614BC" w14:textId="77777777" w:rsidR="00F17123" w:rsidRPr="000A1F2F" w:rsidRDefault="00F17123" w:rsidP="00461622">
      <w:pPr>
        <w:tabs>
          <w:tab w:val="left" w:pos="0"/>
        </w:tabs>
        <w:spacing w:after="0" w:line="240" w:lineRule="auto"/>
        <w:jc w:val="center"/>
        <w:rPr>
          <w:rFonts w:ascii="Times New Roman" w:eastAsia="Times New Roman" w:hAnsi="Times New Roman" w:cs="Times New Roman"/>
        </w:rPr>
      </w:pPr>
    </w:p>
    <w:p w14:paraId="340636A8" w14:textId="77777777" w:rsidR="00F17123" w:rsidRPr="000A1F2F" w:rsidRDefault="00F17123" w:rsidP="00461622">
      <w:pPr>
        <w:tabs>
          <w:tab w:val="left" w:pos="0"/>
        </w:tabs>
        <w:spacing w:after="0" w:line="240" w:lineRule="auto"/>
        <w:jc w:val="center"/>
        <w:rPr>
          <w:rFonts w:ascii="Times New Roman" w:eastAsia="Calibri" w:hAnsi="Times New Roman" w:cs="Times New Roman"/>
        </w:rPr>
      </w:pPr>
    </w:p>
    <w:p w14:paraId="6D6B9402" w14:textId="77777777" w:rsidR="00F17123" w:rsidRDefault="00F17123" w:rsidP="00461622">
      <w:pPr>
        <w:tabs>
          <w:tab w:val="left" w:pos="0"/>
        </w:tabs>
        <w:spacing w:after="0" w:line="240" w:lineRule="auto"/>
        <w:jc w:val="center"/>
        <w:rPr>
          <w:rFonts w:ascii="Calibri" w:eastAsia="Calibri" w:hAnsi="Calibri" w:cs="Calibri"/>
        </w:rPr>
      </w:pPr>
    </w:p>
    <w:p w14:paraId="531A0DC8" w14:textId="77777777" w:rsidR="00E66F6D" w:rsidRDefault="00E66F6D" w:rsidP="00461622">
      <w:pPr>
        <w:tabs>
          <w:tab w:val="left" w:pos="0"/>
        </w:tabs>
        <w:spacing w:after="0" w:line="240" w:lineRule="auto"/>
        <w:jc w:val="center"/>
        <w:rPr>
          <w:rFonts w:ascii="Calibri" w:eastAsia="Calibri" w:hAnsi="Calibri" w:cs="Calibri"/>
        </w:rPr>
      </w:pPr>
    </w:p>
    <w:p w14:paraId="298F91A4" w14:textId="77777777" w:rsidR="005D3B36" w:rsidRDefault="005D3B36" w:rsidP="00461622">
      <w:pPr>
        <w:pStyle w:val="BodyText"/>
        <w:tabs>
          <w:tab w:val="left" w:pos="0"/>
        </w:tabs>
        <w:ind w:left="0"/>
        <w:rPr>
          <w:rFonts w:cs="Times New Roman"/>
          <w:sz w:val="24"/>
          <w:szCs w:val="24"/>
        </w:rPr>
      </w:pPr>
    </w:p>
    <w:p w14:paraId="03D30E35" w14:textId="77777777" w:rsidR="00461622" w:rsidRDefault="00461622" w:rsidP="00461622">
      <w:pPr>
        <w:pStyle w:val="BodyText"/>
        <w:tabs>
          <w:tab w:val="left" w:pos="0"/>
        </w:tabs>
        <w:ind w:left="0"/>
        <w:rPr>
          <w:rFonts w:cs="Times New Roman"/>
          <w:sz w:val="24"/>
          <w:szCs w:val="24"/>
        </w:rPr>
      </w:pPr>
    </w:p>
    <w:p w14:paraId="52D4C19F" w14:textId="77777777" w:rsidR="00461622" w:rsidRDefault="00461622" w:rsidP="00461622">
      <w:pPr>
        <w:pStyle w:val="BodyText"/>
        <w:tabs>
          <w:tab w:val="left" w:pos="0"/>
        </w:tabs>
        <w:ind w:left="0"/>
        <w:rPr>
          <w:rFonts w:cs="Times New Roman"/>
          <w:sz w:val="24"/>
          <w:szCs w:val="24"/>
        </w:rPr>
      </w:pPr>
    </w:p>
    <w:p w14:paraId="4714DDB5" w14:textId="77777777" w:rsidR="00461622" w:rsidRDefault="00461622" w:rsidP="00461622">
      <w:pPr>
        <w:pStyle w:val="BodyText"/>
        <w:tabs>
          <w:tab w:val="left" w:pos="0"/>
        </w:tabs>
        <w:ind w:left="0"/>
        <w:rPr>
          <w:rFonts w:cs="Times New Roman"/>
          <w:sz w:val="24"/>
          <w:szCs w:val="24"/>
        </w:rPr>
      </w:pPr>
    </w:p>
    <w:p w14:paraId="068A46A5" w14:textId="77777777" w:rsidR="00F17123" w:rsidRPr="00CE648C" w:rsidRDefault="00F17123" w:rsidP="00461622">
      <w:pPr>
        <w:pStyle w:val="BodyText"/>
        <w:tabs>
          <w:tab w:val="left" w:pos="0"/>
        </w:tabs>
        <w:spacing w:line="480" w:lineRule="auto"/>
        <w:ind w:left="0"/>
        <w:rPr>
          <w:rFonts w:cs="Times New Roman"/>
          <w:sz w:val="24"/>
          <w:szCs w:val="24"/>
        </w:rPr>
      </w:pPr>
      <w:r>
        <w:rPr>
          <w:rFonts w:cs="Times New Roman"/>
          <w:sz w:val="24"/>
          <w:szCs w:val="24"/>
        </w:rPr>
        <w:lastRenderedPageBreak/>
        <w:t>The School of Engineering and Applied Science of The George Washington University</w:t>
      </w:r>
      <w:r>
        <w:rPr>
          <w:rFonts w:cs="Times New Roman"/>
          <w:w w:val="101"/>
          <w:sz w:val="24"/>
          <w:szCs w:val="24"/>
        </w:rPr>
        <w:t xml:space="preserve"> </w:t>
      </w:r>
      <w:r>
        <w:rPr>
          <w:rFonts w:cs="Times New Roman"/>
          <w:sz w:val="24"/>
          <w:szCs w:val="24"/>
        </w:rPr>
        <w:t>certifies that student’s Sanjay Raja has passed the Final Examination for the degree of</w:t>
      </w:r>
      <w:r>
        <w:rPr>
          <w:rFonts w:cs="Times New Roman"/>
          <w:w w:val="101"/>
          <w:sz w:val="24"/>
          <w:szCs w:val="24"/>
        </w:rPr>
        <w:t xml:space="preserve"> </w:t>
      </w:r>
      <w:r>
        <w:rPr>
          <w:rFonts w:cs="Times New Roman"/>
          <w:sz w:val="24"/>
          <w:szCs w:val="24"/>
        </w:rPr>
        <w:t>Doctor of Philosophy as of date of dissertation defense. This is the final and approved</w:t>
      </w:r>
      <w:r>
        <w:rPr>
          <w:rFonts w:cs="Times New Roman"/>
          <w:w w:val="101"/>
          <w:sz w:val="24"/>
          <w:szCs w:val="24"/>
        </w:rPr>
        <w:t xml:space="preserve"> </w:t>
      </w:r>
      <w:r>
        <w:rPr>
          <w:rFonts w:cs="Times New Roman"/>
          <w:sz w:val="24"/>
          <w:szCs w:val="24"/>
        </w:rPr>
        <w:t>form of the dissertation.</w:t>
      </w:r>
    </w:p>
    <w:p w14:paraId="01C4CBE9" w14:textId="77777777" w:rsidR="00F17123" w:rsidRDefault="00F17123" w:rsidP="00461622">
      <w:pPr>
        <w:pStyle w:val="BodyText"/>
        <w:tabs>
          <w:tab w:val="left" w:pos="0"/>
        </w:tabs>
        <w:ind w:left="0"/>
        <w:jc w:val="center"/>
        <w:rPr>
          <w:rFonts w:cs="Times New Roman"/>
          <w:sz w:val="24"/>
          <w:szCs w:val="24"/>
        </w:rPr>
      </w:pPr>
    </w:p>
    <w:p w14:paraId="75CF644F" w14:textId="77777777" w:rsidR="00F17123" w:rsidRPr="00E36006" w:rsidRDefault="00F17123" w:rsidP="00461622">
      <w:pPr>
        <w:pStyle w:val="BodyText"/>
        <w:tabs>
          <w:tab w:val="left" w:pos="0"/>
        </w:tabs>
        <w:ind w:left="0"/>
        <w:jc w:val="center"/>
        <w:rPr>
          <w:rFonts w:cs="Times New Roman"/>
          <w:sz w:val="24"/>
          <w:szCs w:val="24"/>
        </w:rPr>
      </w:pPr>
    </w:p>
    <w:p w14:paraId="30483386" w14:textId="77777777" w:rsidR="00F17123" w:rsidRDefault="00F17123" w:rsidP="00461622">
      <w:pPr>
        <w:spacing w:after="0" w:line="240" w:lineRule="auto"/>
        <w:jc w:val="center"/>
        <w:rPr>
          <w:rFonts w:ascii="Times New Roman" w:hAnsi="Times New Roman" w:cs="Times New Roman"/>
          <w:b/>
          <w:bCs/>
        </w:rPr>
      </w:pPr>
      <w:r>
        <w:rPr>
          <w:rFonts w:ascii="Times New Roman" w:hAnsi="Times New Roman" w:cs="Times New Roman"/>
          <w:b/>
          <w:bCs/>
        </w:rPr>
        <w:t>Framework for Correlating Security Anomalies to with Classification of PII Identify Data Theft Attacks</w:t>
      </w:r>
    </w:p>
    <w:p w14:paraId="5CED59CB" w14:textId="77777777" w:rsidR="00461622" w:rsidRDefault="00461622" w:rsidP="00461622">
      <w:pPr>
        <w:spacing w:after="0" w:line="240" w:lineRule="auto"/>
        <w:jc w:val="center"/>
        <w:rPr>
          <w:rFonts w:ascii="Times New Roman" w:hAnsi="Times New Roman" w:cs="Times New Roman"/>
          <w:b/>
          <w:bCs/>
        </w:rPr>
      </w:pPr>
    </w:p>
    <w:p w14:paraId="189AB0D7" w14:textId="77777777" w:rsidR="00461622" w:rsidRDefault="00461622" w:rsidP="00461622">
      <w:pPr>
        <w:spacing w:after="0" w:line="240" w:lineRule="auto"/>
        <w:jc w:val="center"/>
        <w:rPr>
          <w:rFonts w:ascii="Times New Roman" w:hAnsi="Times New Roman" w:cs="Times New Roman"/>
          <w:b/>
          <w:bCs/>
        </w:rPr>
      </w:pPr>
    </w:p>
    <w:p w14:paraId="017EF7C2" w14:textId="77777777" w:rsidR="00461622" w:rsidRDefault="00461622" w:rsidP="00461622">
      <w:pPr>
        <w:spacing w:after="0" w:line="240" w:lineRule="auto"/>
        <w:jc w:val="center"/>
        <w:rPr>
          <w:rFonts w:ascii="Times New Roman" w:hAnsi="Times New Roman" w:cs="Times New Roman"/>
          <w:b/>
          <w:bCs/>
        </w:rPr>
      </w:pPr>
    </w:p>
    <w:p w14:paraId="7EF3842C" w14:textId="77777777" w:rsidR="00F17123" w:rsidRPr="00CE648C" w:rsidRDefault="00F17123" w:rsidP="00461622">
      <w:pPr>
        <w:pStyle w:val="BodyText"/>
        <w:ind w:left="0"/>
        <w:jc w:val="center"/>
        <w:rPr>
          <w:rFonts w:cs="Times New Roman"/>
          <w:sz w:val="24"/>
          <w:szCs w:val="24"/>
        </w:rPr>
      </w:pPr>
      <w:r>
        <w:rPr>
          <w:rFonts w:cs="Times New Roman"/>
          <w:sz w:val="24"/>
          <w:szCs w:val="24"/>
        </w:rPr>
        <w:t>Sanjay Raja</w:t>
      </w:r>
    </w:p>
    <w:p w14:paraId="5F227CC0" w14:textId="77777777" w:rsidR="00F17123" w:rsidRPr="000A1F2F" w:rsidRDefault="00F17123" w:rsidP="00461622">
      <w:pPr>
        <w:spacing w:after="0" w:line="240" w:lineRule="auto"/>
        <w:jc w:val="center"/>
        <w:rPr>
          <w:rFonts w:ascii="Times New Roman" w:eastAsia="Times New Roman" w:hAnsi="Times New Roman" w:cs="Times New Roman"/>
        </w:rPr>
      </w:pPr>
    </w:p>
    <w:p w14:paraId="4918C55D" w14:textId="77777777" w:rsidR="00F17123" w:rsidRDefault="00F17123" w:rsidP="00461622">
      <w:pPr>
        <w:spacing w:after="0" w:line="240" w:lineRule="auto"/>
        <w:jc w:val="center"/>
        <w:rPr>
          <w:rFonts w:ascii="Times New Roman" w:eastAsia="Arial" w:hAnsi="Times New Roman" w:cs="Times New Roman"/>
        </w:rPr>
      </w:pPr>
    </w:p>
    <w:p w14:paraId="5658650A" w14:textId="77777777" w:rsidR="00461622" w:rsidRPr="000A1F2F" w:rsidRDefault="00461622" w:rsidP="00461622">
      <w:pPr>
        <w:spacing w:after="0" w:line="240" w:lineRule="auto"/>
        <w:jc w:val="center"/>
        <w:rPr>
          <w:rFonts w:ascii="Times New Roman" w:eastAsia="Arial" w:hAnsi="Times New Roman" w:cs="Times New Roman"/>
        </w:rPr>
      </w:pPr>
    </w:p>
    <w:p w14:paraId="18290BD3" w14:textId="77777777" w:rsidR="00F17123" w:rsidRPr="00CE648C" w:rsidRDefault="00F17123" w:rsidP="00461622">
      <w:pPr>
        <w:pStyle w:val="BodyText"/>
        <w:ind w:left="0"/>
        <w:rPr>
          <w:rFonts w:cs="Times New Roman"/>
          <w:sz w:val="24"/>
          <w:szCs w:val="24"/>
        </w:rPr>
      </w:pPr>
      <w:r>
        <w:rPr>
          <w:rFonts w:cs="Times New Roman"/>
          <w:sz w:val="24"/>
          <w:szCs w:val="24"/>
        </w:rPr>
        <w:t>Dissertation Research Committee:</w:t>
      </w:r>
    </w:p>
    <w:p w14:paraId="79B7534C" w14:textId="77777777" w:rsidR="00F17123" w:rsidRPr="00CE648C" w:rsidRDefault="00F17123" w:rsidP="00461622">
      <w:pPr>
        <w:spacing w:after="0" w:line="240" w:lineRule="auto"/>
        <w:rPr>
          <w:rFonts w:ascii="Times New Roman" w:eastAsia="Times New Roman" w:hAnsi="Times New Roman" w:cs="Times New Roman"/>
        </w:rPr>
      </w:pPr>
    </w:p>
    <w:p w14:paraId="09038CEA" w14:textId="77777777" w:rsidR="00F17123" w:rsidRPr="00CE648C" w:rsidRDefault="00F17123" w:rsidP="00461622">
      <w:pPr>
        <w:pStyle w:val="BodyText"/>
        <w:ind w:left="720"/>
        <w:rPr>
          <w:rFonts w:cs="Times New Roman"/>
          <w:sz w:val="24"/>
          <w:szCs w:val="24"/>
        </w:rPr>
      </w:pPr>
      <w:r>
        <w:rPr>
          <w:rFonts w:cs="Times New Roman"/>
          <w:sz w:val="24"/>
          <w:szCs w:val="24"/>
        </w:rPr>
        <w:t>Committee member’s full name, academic title, Dissertation Director</w:t>
      </w:r>
    </w:p>
    <w:p w14:paraId="68419BB0" w14:textId="77777777" w:rsidR="00F17123" w:rsidRPr="00CE648C" w:rsidRDefault="00F17123" w:rsidP="00461622">
      <w:pPr>
        <w:spacing w:after="0" w:line="240" w:lineRule="auto"/>
        <w:ind w:left="720"/>
        <w:rPr>
          <w:rFonts w:ascii="Times New Roman" w:eastAsia="Times New Roman" w:hAnsi="Times New Roman" w:cs="Times New Roman"/>
        </w:rPr>
      </w:pPr>
    </w:p>
    <w:p w14:paraId="37FE8EFF" w14:textId="77777777" w:rsidR="00F17123" w:rsidRPr="00CE648C" w:rsidRDefault="00F17123" w:rsidP="00461622">
      <w:pPr>
        <w:pStyle w:val="BodyText"/>
        <w:ind w:left="720"/>
        <w:rPr>
          <w:rFonts w:cs="Times New Roman"/>
          <w:sz w:val="24"/>
          <w:szCs w:val="24"/>
        </w:rPr>
      </w:pPr>
      <w:r>
        <w:rPr>
          <w:rFonts w:cs="Times New Roman"/>
          <w:sz w:val="24"/>
          <w:szCs w:val="24"/>
        </w:rPr>
        <w:t>Committee member’s full name, academic title, Committee Member</w:t>
      </w:r>
    </w:p>
    <w:p w14:paraId="3BC0A13B" w14:textId="77777777" w:rsidR="00F17123" w:rsidRPr="00CE648C" w:rsidRDefault="00F17123" w:rsidP="00461622">
      <w:pPr>
        <w:pStyle w:val="BodyText"/>
        <w:ind w:left="720"/>
        <w:rPr>
          <w:rFonts w:cs="Times New Roman"/>
          <w:sz w:val="24"/>
          <w:szCs w:val="24"/>
        </w:rPr>
      </w:pPr>
    </w:p>
    <w:p w14:paraId="67F6310B" w14:textId="77777777" w:rsidR="00F17123" w:rsidRPr="00CE648C" w:rsidRDefault="00F17123" w:rsidP="00461622">
      <w:pPr>
        <w:pStyle w:val="BodyText"/>
        <w:ind w:left="720"/>
        <w:rPr>
          <w:rFonts w:cs="Times New Roman"/>
          <w:sz w:val="24"/>
          <w:szCs w:val="24"/>
        </w:rPr>
      </w:pPr>
      <w:r>
        <w:rPr>
          <w:rFonts w:cs="Times New Roman"/>
          <w:sz w:val="24"/>
          <w:szCs w:val="24"/>
        </w:rPr>
        <w:t>Committee member’s full name, academic title, Committee Member</w:t>
      </w:r>
    </w:p>
    <w:p w14:paraId="6AC46050" w14:textId="77777777" w:rsidR="00F17123" w:rsidRPr="00CE648C" w:rsidRDefault="00F17123" w:rsidP="00461622">
      <w:pPr>
        <w:spacing w:after="0" w:line="240" w:lineRule="auto"/>
        <w:rPr>
          <w:rFonts w:ascii="Times New Roman" w:eastAsia="Times New Roman" w:hAnsi="Times New Roman" w:cs="Times New Roman"/>
        </w:rPr>
      </w:pPr>
    </w:p>
    <w:p w14:paraId="0AAFDDCB" w14:textId="77777777" w:rsidR="00F17123" w:rsidRPr="00CE648C" w:rsidRDefault="00F17123" w:rsidP="00461622">
      <w:pPr>
        <w:pStyle w:val="BodyText"/>
        <w:ind w:left="720"/>
        <w:rPr>
          <w:rFonts w:cs="Times New Roman"/>
          <w:sz w:val="24"/>
          <w:szCs w:val="24"/>
        </w:rPr>
      </w:pPr>
      <w:r>
        <w:rPr>
          <w:rFonts w:cs="Times New Roman"/>
          <w:sz w:val="24"/>
          <w:szCs w:val="24"/>
        </w:rPr>
        <w:t>Committee member’s full name, academic title, Committee Member</w:t>
      </w:r>
    </w:p>
    <w:p w14:paraId="17DC6A79" w14:textId="77777777" w:rsidR="00F17123" w:rsidRPr="00CE648C" w:rsidRDefault="00F17123" w:rsidP="00461622">
      <w:pPr>
        <w:pStyle w:val="BodyText"/>
        <w:ind w:left="720"/>
        <w:rPr>
          <w:rFonts w:cs="Times New Roman"/>
          <w:sz w:val="24"/>
          <w:szCs w:val="24"/>
        </w:rPr>
      </w:pPr>
    </w:p>
    <w:p w14:paraId="7DED607F" w14:textId="77777777" w:rsidR="007373E3" w:rsidRDefault="00F17123" w:rsidP="00461622">
      <w:pPr>
        <w:pStyle w:val="BodyText"/>
        <w:ind w:left="720"/>
        <w:rPr>
          <w:rFonts w:cs="Times New Roman"/>
          <w:sz w:val="24"/>
          <w:szCs w:val="24"/>
        </w:rPr>
        <w:sectPr w:rsidR="007373E3" w:rsidSect="007373E3">
          <w:footerReference w:type="default" r:id="rId11"/>
          <w:footerReference w:type="first" r:id="rId12"/>
          <w:pgSz w:w="12240" w:h="15840"/>
          <w:pgMar w:top="1440" w:right="1440" w:bottom="1440" w:left="1440" w:header="720" w:footer="720" w:gutter="0"/>
          <w:pgNumType w:start="1"/>
          <w:cols w:space="720"/>
          <w:titlePg/>
          <w:docGrid w:linePitch="360"/>
        </w:sectPr>
      </w:pPr>
      <w:r>
        <w:rPr>
          <w:rFonts w:cs="Times New Roman"/>
          <w:sz w:val="24"/>
          <w:szCs w:val="24"/>
        </w:rPr>
        <w:t>Committee member’s full name, academic title, Committee Member</w:t>
      </w:r>
    </w:p>
    <w:p w14:paraId="169BDF5A" w14:textId="77777777" w:rsidR="00F17123" w:rsidRPr="00CE648C" w:rsidRDefault="00F17123" w:rsidP="00461622">
      <w:pPr>
        <w:pStyle w:val="BodyText"/>
        <w:ind w:left="720"/>
        <w:rPr>
          <w:rFonts w:cs="Times New Roman"/>
          <w:sz w:val="24"/>
          <w:szCs w:val="24"/>
        </w:rPr>
      </w:pPr>
    </w:p>
    <w:p w14:paraId="74D432DE" w14:textId="77777777" w:rsidR="00BA2401" w:rsidRPr="00F17123" w:rsidRDefault="00BA2401" w:rsidP="00461622">
      <w:pPr>
        <w:spacing w:after="0" w:line="240" w:lineRule="auto"/>
        <w:rPr>
          <w:rFonts w:ascii="Times New Roman" w:hAnsi="Times New Roman" w:cs="Times New Roman"/>
          <w:b/>
          <w:bCs/>
        </w:rPr>
      </w:pPr>
    </w:p>
    <w:p w14:paraId="0BB0712D" w14:textId="77777777" w:rsidR="005D3B36" w:rsidRDefault="005D3B36" w:rsidP="00BA2401">
      <w:pPr>
        <w:rPr>
          <w:rFonts w:ascii="Times New Roman" w:hAnsi="Times New Roman" w:cs="Times New Roman"/>
          <w:b/>
          <w:bCs/>
        </w:rPr>
      </w:pPr>
    </w:p>
    <w:p w14:paraId="0AF28F03" w14:textId="77777777" w:rsidR="00461622" w:rsidRDefault="00461622" w:rsidP="00BA2401">
      <w:pPr>
        <w:rPr>
          <w:rFonts w:ascii="Times New Roman" w:hAnsi="Times New Roman" w:cs="Times New Roman"/>
          <w:b/>
          <w:bCs/>
        </w:rPr>
      </w:pPr>
    </w:p>
    <w:p w14:paraId="16651A65" w14:textId="77777777" w:rsidR="00461622" w:rsidRDefault="00461622" w:rsidP="00BA2401">
      <w:pPr>
        <w:rPr>
          <w:rFonts w:ascii="Times New Roman" w:hAnsi="Times New Roman" w:cs="Times New Roman"/>
          <w:b/>
          <w:bCs/>
        </w:rPr>
      </w:pPr>
    </w:p>
    <w:p w14:paraId="3FB23FED" w14:textId="77777777" w:rsidR="00461622" w:rsidRDefault="00461622" w:rsidP="00BA2401">
      <w:pPr>
        <w:rPr>
          <w:rFonts w:ascii="Times New Roman" w:hAnsi="Times New Roman" w:cs="Times New Roman"/>
          <w:b/>
          <w:bCs/>
        </w:rPr>
      </w:pPr>
    </w:p>
    <w:p w14:paraId="344B3985" w14:textId="77777777" w:rsidR="00461622" w:rsidRDefault="00461622" w:rsidP="00BA2401">
      <w:pPr>
        <w:rPr>
          <w:rFonts w:ascii="Times New Roman" w:hAnsi="Times New Roman" w:cs="Times New Roman"/>
          <w:b/>
          <w:bCs/>
        </w:rPr>
      </w:pPr>
    </w:p>
    <w:p w14:paraId="44EA75AA" w14:textId="77777777" w:rsidR="00461622" w:rsidRDefault="00461622" w:rsidP="00BA2401">
      <w:pPr>
        <w:rPr>
          <w:rFonts w:ascii="Times New Roman" w:hAnsi="Times New Roman" w:cs="Times New Roman"/>
          <w:b/>
          <w:bCs/>
        </w:rPr>
      </w:pPr>
    </w:p>
    <w:p w14:paraId="71B0C622" w14:textId="77777777" w:rsidR="00461622" w:rsidRDefault="00461622" w:rsidP="00BA2401">
      <w:pPr>
        <w:rPr>
          <w:rFonts w:ascii="Times New Roman" w:hAnsi="Times New Roman" w:cs="Times New Roman"/>
          <w:b/>
          <w:bCs/>
        </w:rPr>
      </w:pPr>
    </w:p>
    <w:p w14:paraId="25ADFC37" w14:textId="77777777" w:rsidR="00461622" w:rsidRDefault="00461622" w:rsidP="00BA2401">
      <w:pPr>
        <w:rPr>
          <w:rFonts w:ascii="Times New Roman" w:hAnsi="Times New Roman" w:cs="Times New Roman"/>
          <w:b/>
          <w:bCs/>
        </w:rPr>
      </w:pPr>
    </w:p>
    <w:p w14:paraId="1EB1992F" w14:textId="77777777" w:rsidR="00461622" w:rsidRDefault="00461622" w:rsidP="00BA2401">
      <w:pPr>
        <w:rPr>
          <w:rFonts w:ascii="Times New Roman" w:hAnsi="Times New Roman" w:cs="Times New Roman"/>
          <w:b/>
          <w:bCs/>
        </w:rPr>
      </w:pPr>
    </w:p>
    <w:p w14:paraId="1E4E5354" w14:textId="77777777" w:rsidR="00461622" w:rsidRDefault="00461622" w:rsidP="005D3B36">
      <w:pPr>
        <w:pStyle w:val="BodyText"/>
        <w:ind w:left="0"/>
        <w:jc w:val="center"/>
        <w:rPr>
          <w:sz w:val="24"/>
          <w:szCs w:val="24"/>
        </w:rPr>
      </w:pPr>
    </w:p>
    <w:p w14:paraId="3DDF7A48" w14:textId="77777777" w:rsidR="00461622" w:rsidRDefault="00461622" w:rsidP="005D3B36">
      <w:pPr>
        <w:pStyle w:val="BodyText"/>
        <w:ind w:left="0"/>
        <w:jc w:val="center"/>
        <w:rPr>
          <w:sz w:val="24"/>
          <w:szCs w:val="24"/>
        </w:rPr>
      </w:pPr>
    </w:p>
    <w:p w14:paraId="416301E9" w14:textId="77777777" w:rsidR="00461622" w:rsidRDefault="00461622" w:rsidP="005D3B36">
      <w:pPr>
        <w:pStyle w:val="BodyText"/>
        <w:ind w:left="0"/>
        <w:jc w:val="center"/>
        <w:rPr>
          <w:sz w:val="24"/>
          <w:szCs w:val="24"/>
        </w:rPr>
      </w:pPr>
    </w:p>
    <w:p w14:paraId="0E4D14C0" w14:textId="77777777" w:rsidR="00461622" w:rsidRDefault="00461622" w:rsidP="005D3B36">
      <w:pPr>
        <w:pStyle w:val="BodyText"/>
        <w:ind w:left="0"/>
        <w:jc w:val="center"/>
        <w:rPr>
          <w:sz w:val="24"/>
          <w:szCs w:val="24"/>
        </w:rPr>
      </w:pPr>
    </w:p>
    <w:p w14:paraId="3E21B9B4" w14:textId="77777777" w:rsidR="007373E3" w:rsidRDefault="007373E3" w:rsidP="005D3B36">
      <w:pPr>
        <w:pStyle w:val="BodyText"/>
        <w:ind w:left="0"/>
        <w:jc w:val="center"/>
        <w:rPr>
          <w:sz w:val="24"/>
          <w:szCs w:val="24"/>
        </w:rPr>
      </w:pPr>
    </w:p>
    <w:p w14:paraId="2EDE11D2" w14:textId="77777777" w:rsidR="005D3B36" w:rsidRPr="00E36006" w:rsidRDefault="005D3B36" w:rsidP="005D3B36">
      <w:pPr>
        <w:pStyle w:val="BodyText"/>
        <w:ind w:left="0"/>
        <w:jc w:val="center"/>
        <w:rPr>
          <w:w w:val="101"/>
          <w:sz w:val="24"/>
          <w:szCs w:val="24"/>
        </w:rPr>
      </w:pPr>
      <w:r>
        <w:rPr>
          <w:sz w:val="24"/>
          <w:szCs w:val="24"/>
        </w:rPr>
        <w:t>©</w:t>
      </w:r>
      <w:r>
        <w:rPr>
          <w:spacing w:val="1"/>
          <w:sz w:val="24"/>
          <w:szCs w:val="24"/>
        </w:rPr>
        <w:t xml:space="preserve"> </w:t>
      </w:r>
      <w:r>
        <w:rPr>
          <w:sz w:val="24"/>
          <w:szCs w:val="24"/>
        </w:rPr>
        <w:t>Copyright</w:t>
      </w:r>
      <w:r>
        <w:rPr>
          <w:spacing w:val="4"/>
          <w:sz w:val="24"/>
          <w:szCs w:val="24"/>
        </w:rPr>
        <w:t xml:space="preserve"> </w:t>
      </w:r>
      <w:r>
        <w:rPr>
          <w:sz w:val="24"/>
          <w:szCs w:val="24"/>
        </w:rPr>
        <w:t>2026 degree conferred</w:t>
      </w:r>
      <w:r>
        <w:rPr>
          <w:spacing w:val="5"/>
          <w:sz w:val="24"/>
          <w:szCs w:val="24"/>
        </w:rPr>
        <w:t xml:space="preserve"> </w:t>
      </w:r>
      <w:r>
        <w:rPr>
          <w:sz w:val="24"/>
          <w:szCs w:val="24"/>
        </w:rPr>
        <w:t>by Sanjay Raja</w:t>
      </w:r>
    </w:p>
    <w:p w14:paraId="185E808E" w14:textId="77777777" w:rsidR="005D3B36" w:rsidRPr="00E36006" w:rsidRDefault="005D3B36" w:rsidP="005D3B36">
      <w:pPr>
        <w:pStyle w:val="BodyText"/>
        <w:ind w:left="0"/>
        <w:jc w:val="center"/>
        <w:rPr>
          <w:sz w:val="24"/>
          <w:szCs w:val="24"/>
        </w:rPr>
      </w:pPr>
      <w:r>
        <w:rPr>
          <w:sz w:val="24"/>
          <w:szCs w:val="24"/>
        </w:rPr>
        <w:t>All</w:t>
      </w:r>
      <w:r>
        <w:rPr>
          <w:spacing w:val="1"/>
          <w:sz w:val="24"/>
          <w:szCs w:val="24"/>
        </w:rPr>
        <w:t xml:space="preserve"> </w:t>
      </w:r>
      <w:r>
        <w:rPr>
          <w:sz w:val="24"/>
          <w:szCs w:val="24"/>
        </w:rPr>
        <w:t>rights</w:t>
      </w:r>
      <w:r>
        <w:rPr>
          <w:spacing w:val="2"/>
          <w:sz w:val="24"/>
          <w:szCs w:val="24"/>
        </w:rPr>
        <w:t xml:space="preserve"> </w:t>
      </w:r>
      <w:r>
        <w:rPr>
          <w:sz w:val="24"/>
          <w:szCs w:val="24"/>
        </w:rPr>
        <w:t>reserved</w:t>
      </w:r>
    </w:p>
    <w:p w14:paraId="7C768433" w14:textId="77777777" w:rsidR="005D3B36" w:rsidRDefault="005D3B36" w:rsidP="00BA2401">
      <w:pPr>
        <w:rPr>
          <w:rFonts w:ascii="Times New Roman" w:hAnsi="Times New Roman" w:cs="Times New Roman"/>
          <w:b/>
          <w:bCs/>
        </w:rPr>
      </w:pPr>
    </w:p>
    <w:p w14:paraId="69BA96B4" w14:textId="77777777" w:rsidR="005D3B36" w:rsidRDefault="005D3B36" w:rsidP="00BA2401">
      <w:pPr>
        <w:rPr>
          <w:rFonts w:ascii="Times New Roman" w:hAnsi="Times New Roman" w:cs="Times New Roman"/>
          <w:b/>
          <w:bCs/>
        </w:rPr>
      </w:pPr>
    </w:p>
    <w:p w14:paraId="36347319" w14:textId="77777777" w:rsidR="005D3B36" w:rsidRDefault="005D3B36" w:rsidP="00BA2401">
      <w:pPr>
        <w:rPr>
          <w:rFonts w:ascii="Times New Roman" w:hAnsi="Times New Roman" w:cs="Times New Roman"/>
          <w:b/>
          <w:bCs/>
        </w:rPr>
      </w:pPr>
    </w:p>
    <w:p w14:paraId="15305BA7" w14:textId="77777777" w:rsidR="005D3B36" w:rsidRDefault="005D3B36" w:rsidP="00BA2401">
      <w:pPr>
        <w:rPr>
          <w:rFonts w:ascii="Times New Roman" w:hAnsi="Times New Roman" w:cs="Times New Roman"/>
          <w:b/>
          <w:bCs/>
        </w:rPr>
      </w:pPr>
    </w:p>
    <w:p w14:paraId="7B38D9C6" w14:textId="77777777" w:rsidR="005D3B36" w:rsidRDefault="005D3B36" w:rsidP="00BA2401">
      <w:pPr>
        <w:rPr>
          <w:rFonts w:ascii="Times New Roman" w:hAnsi="Times New Roman" w:cs="Times New Roman"/>
          <w:b/>
          <w:bCs/>
        </w:rPr>
      </w:pPr>
    </w:p>
    <w:p w14:paraId="4F078567" w14:textId="77777777" w:rsidR="005D3B36" w:rsidRDefault="005D3B36" w:rsidP="00BA2401">
      <w:pPr>
        <w:rPr>
          <w:rFonts w:ascii="Times New Roman" w:hAnsi="Times New Roman" w:cs="Times New Roman"/>
          <w:b/>
          <w:bCs/>
        </w:rPr>
      </w:pPr>
    </w:p>
    <w:p w14:paraId="6E959FA6" w14:textId="77777777" w:rsidR="000654C5" w:rsidRDefault="000654C5" w:rsidP="00BA2401">
      <w:pPr>
        <w:rPr>
          <w:rFonts w:ascii="Times New Roman" w:hAnsi="Times New Roman" w:cs="Times New Roman"/>
          <w:b/>
          <w:bCs/>
        </w:rPr>
      </w:pPr>
    </w:p>
    <w:p w14:paraId="7D1A9E55" w14:textId="77777777" w:rsidR="000654C5" w:rsidRDefault="000654C5">
      <w:pPr>
        <w:rPr>
          <w:rFonts w:ascii="Times New Roman" w:hAnsi="Times New Roman" w:cs="Times New Roman"/>
          <w:b/>
          <w:bCs/>
        </w:rPr>
      </w:pPr>
      <w:r>
        <w:rPr>
          <w:rFonts w:ascii="Times New Roman" w:hAnsi="Times New Roman" w:cs="Times New Roman"/>
          <w:b/>
          <w:bCs/>
        </w:rPr>
        <w:br w:type="page"/>
      </w:r>
    </w:p>
    <w:p w14:paraId="01392CFA" w14:textId="77777777" w:rsidR="000654C5" w:rsidRPr="00CE648C" w:rsidRDefault="000654C5" w:rsidP="000654C5">
      <w:pPr>
        <w:pStyle w:val="BodyText"/>
        <w:ind w:left="0"/>
        <w:jc w:val="center"/>
        <w:rPr>
          <w:rFonts w:ascii="Calibri" w:eastAsia="Calibri" w:hAnsi="Calibri" w:cs="Calibri"/>
          <w:b/>
          <w:sz w:val="24"/>
          <w:szCs w:val="24"/>
        </w:rPr>
      </w:pPr>
      <w:r>
        <w:rPr>
          <w:b/>
          <w:sz w:val="24"/>
          <w:szCs w:val="24"/>
        </w:rPr>
        <w:lastRenderedPageBreak/>
        <w:t>Dedication</w:t>
      </w:r>
    </w:p>
    <w:p w14:paraId="097F1D4F" w14:textId="77777777" w:rsidR="000654C5" w:rsidRPr="00CE648C" w:rsidRDefault="000654C5" w:rsidP="000654C5">
      <w:pPr>
        <w:spacing w:before="3"/>
        <w:jc w:val="center"/>
        <w:rPr>
          <w:rFonts w:ascii="Times New Roman" w:eastAsia="Calibri" w:hAnsi="Times New Roman" w:cs="Times New Roman"/>
        </w:rPr>
      </w:pPr>
    </w:p>
    <w:p w14:paraId="6C9412CD" w14:textId="77777777" w:rsidR="000654C5" w:rsidRPr="00CE648C" w:rsidRDefault="000654C5" w:rsidP="000654C5">
      <w:pPr>
        <w:pStyle w:val="BodyText"/>
        <w:spacing w:line="480" w:lineRule="auto"/>
        <w:ind w:left="0" w:firstLine="720"/>
        <w:rPr>
          <w:rFonts w:cs="Times New Roman"/>
          <w:sz w:val="24"/>
          <w:szCs w:val="24"/>
        </w:rPr>
      </w:pPr>
      <w:r>
        <w:rPr>
          <w:rFonts w:cs="Times New Roman"/>
          <w:sz w:val="24"/>
          <w:szCs w:val="24"/>
        </w:rPr>
        <w:t>The author wishes to …</w:t>
      </w:r>
      <w:proofErr w:type="gramStart"/>
      <w:r>
        <w:rPr>
          <w:rFonts w:cs="Times New Roman"/>
          <w:sz w:val="24"/>
          <w:szCs w:val="24"/>
        </w:rPr>
        <w:t>…..</w:t>
      </w:r>
      <w:proofErr w:type="gramEnd"/>
      <w:r>
        <w:rPr>
          <w:rFonts w:cs="Times New Roman"/>
          <w:sz w:val="24"/>
          <w:szCs w:val="24"/>
        </w:rPr>
        <w:t>Please double space this text or delete this page if it is not used.</w:t>
      </w:r>
    </w:p>
    <w:p w14:paraId="07A2232C" w14:textId="77777777" w:rsidR="000654C5" w:rsidRPr="008B4EE5" w:rsidRDefault="000654C5" w:rsidP="000654C5">
      <w:pPr>
        <w:spacing w:line="480" w:lineRule="auto"/>
        <w:rPr>
          <w:rFonts w:ascii="Times New Roman" w:eastAsia="Times New Roman" w:hAnsi="Times New Roman" w:cs="Times New Roman"/>
        </w:rPr>
      </w:pPr>
    </w:p>
    <w:p w14:paraId="722BFF03" w14:textId="77777777" w:rsidR="000654C5" w:rsidRPr="008B4EE5" w:rsidRDefault="000654C5" w:rsidP="000654C5">
      <w:pPr>
        <w:spacing w:line="480" w:lineRule="auto"/>
        <w:rPr>
          <w:rFonts w:ascii="Times New Roman" w:eastAsia="Times New Roman" w:hAnsi="Times New Roman" w:cs="Times New Roman"/>
        </w:rPr>
      </w:pPr>
    </w:p>
    <w:p w14:paraId="1CE3007E" w14:textId="77777777" w:rsidR="000654C5" w:rsidRPr="008B4EE5" w:rsidRDefault="000654C5" w:rsidP="000654C5">
      <w:pPr>
        <w:spacing w:line="480" w:lineRule="auto"/>
        <w:rPr>
          <w:rFonts w:ascii="Times New Roman" w:eastAsia="Times New Roman" w:hAnsi="Times New Roman" w:cs="Times New Roman"/>
        </w:rPr>
      </w:pPr>
    </w:p>
    <w:p w14:paraId="4B96928D" w14:textId="77777777" w:rsidR="000654C5" w:rsidRPr="008B4EE5" w:rsidRDefault="000654C5" w:rsidP="000654C5">
      <w:pPr>
        <w:spacing w:line="480" w:lineRule="auto"/>
        <w:rPr>
          <w:rFonts w:ascii="Times New Roman" w:eastAsia="Times New Roman" w:hAnsi="Times New Roman" w:cs="Times New Roman"/>
        </w:rPr>
      </w:pPr>
    </w:p>
    <w:p w14:paraId="6A810E93" w14:textId="77777777" w:rsidR="000654C5" w:rsidRPr="008B4EE5" w:rsidRDefault="000654C5" w:rsidP="000654C5">
      <w:pPr>
        <w:spacing w:line="480" w:lineRule="auto"/>
        <w:rPr>
          <w:rFonts w:ascii="Times New Roman" w:eastAsia="Times New Roman" w:hAnsi="Times New Roman" w:cs="Times New Roman"/>
        </w:rPr>
      </w:pPr>
    </w:p>
    <w:p w14:paraId="7419180F" w14:textId="77777777" w:rsidR="000654C5" w:rsidRPr="008B4EE5" w:rsidRDefault="000654C5" w:rsidP="000654C5">
      <w:pPr>
        <w:spacing w:line="480" w:lineRule="auto"/>
        <w:rPr>
          <w:rFonts w:ascii="Times New Roman" w:eastAsia="Times New Roman" w:hAnsi="Times New Roman" w:cs="Times New Roman"/>
        </w:rPr>
      </w:pPr>
    </w:p>
    <w:p w14:paraId="01BCDE8E" w14:textId="77777777" w:rsidR="000654C5" w:rsidRPr="008B4EE5" w:rsidRDefault="000654C5" w:rsidP="000654C5">
      <w:pPr>
        <w:spacing w:line="480" w:lineRule="auto"/>
        <w:rPr>
          <w:rFonts w:ascii="Times New Roman" w:eastAsia="Times New Roman" w:hAnsi="Times New Roman" w:cs="Times New Roman"/>
        </w:rPr>
      </w:pPr>
    </w:p>
    <w:p w14:paraId="45B29EAA" w14:textId="77777777" w:rsidR="000654C5" w:rsidRPr="008B4EE5" w:rsidRDefault="000654C5" w:rsidP="000654C5">
      <w:pPr>
        <w:spacing w:line="480" w:lineRule="auto"/>
        <w:rPr>
          <w:rFonts w:ascii="Times New Roman" w:eastAsia="Times New Roman" w:hAnsi="Times New Roman" w:cs="Times New Roman"/>
        </w:rPr>
      </w:pPr>
    </w:p>
    <w:p w14:paraId="707DB89F" w14:textId="77777777" w:rsidR="000654C5" w:rsidRPr="008B4EE5" w:rsidRDefault="000654C5" w:rsidP="000654C5">
      <w:pPr>
        <w:spacing w:line="480" w:lineRule="auto"/>
        <w:rPr>
          <w:rFonts w:ascii="Times New Roman" w:eastAsia="Times New Roman" w:hAnsi="Times New Roman" w:cs="Times New Roman"/>
        </w:rPr>
      </w:pPr>
    </w:p>
    <w:p w14:paraId="2220ACF1" w14:textId="77777777" w:rsidR="000654C5" w:rsidRPr="008B4EE5" w:rsidRDefault="000654C5" w:rsidP="000654C5">
      <w:pPr>
        <w:spacing w:line="480" w:lineRule="auto"/>
        <w:rPr>
          <w:rFonts w:ascii="Times New Roman" w:eastAsia="Times New Roman" w:hAnsi="Times New Roman" w:cs="Times New Roman"/>
        </w:rPr>
      </w:pPr>
    </w:p>
    <w:p w14:paraId="5A9752B8" w14:textId="77777777" w:rsidR="000654C5" w:rsidRPr="008B4EE5" w:rsidRDefault="000654C5" w:rsidP="000654C5">
      <w:pPr>
        <w:spacing w:line="480" w:lineRule="auto"/>
        <w:rPr>
          <w:rFonts w:ascii="Times New Roman" w:eastAsia="Times New Roman" w:hAnsi="Times New Roman" w:cs="Times New Roman"/>
        </w:rPr>
      </w:pPr>
    </w:p>
    <w:p w14:paraId="7A4D4D62" w14:textId="77777777" w:rsidR="000654C5" w:rsidRPr="008B4EE5" w:rsidRDefault="000654C5" w:rsidP="000654C5">
      <w:pPr>
        <w:spacing w:line="480" w:lineRule="auto"/>
        <w:rPr>
          <w:rFonts w:ascii="Times New Roman" w:eastAsia="Times New Roman" w:hAnsi="Times New Roman" w:cs="Times New Roman"/>
        </w:rPr>
      </w:pPr>
    </w:p>
    <w:p w14:paraId="029EA210" w14:textId="77777777" w:rsidR="000654C5" w:rsidRPr="008B4EE5" w:rsidRDefault="000654C5" w:rsidP="000654C5">
      <w:pPr>
        <w:spacing w:line="480" w:lineRule="auto"/>
        <w:rPr>
          <w:rFonts w:ascii="Times New Roman" w:eastAsia="Times New Roman" w:hAnsi="Times New Roman" w:cs="Times New Roman"/>
        </w:rPr>
      </w:pPr>
    </w:p>
    <w:p w14:paraId="1ABC043A" w14:textId="77777777" w:rsidR="000654C5" w:rsidRPr="008B4EE5" w:rsidRDefault="000654C5" w:rsidP="000654C5">
      <w:pPr>
        <w:spacing w:line="480" w:lineRule="auto"/>
        <w:rPr>
          <w:rFonts w:ascii="Times New Roman" w:eastAsia="Times New Roman" w:hAnsi="Times New Roman" w:cs="Times New Roman"/>
        </w:rPr>
      </w:pPr>
    </w:p>
    <w:p w14:paraId="39FAD254" w14:textId="77777777" w:rsidR="000654C5" w:rsidRPr="008B4EE5" w:rsidRDefault="000654C5" w:rsidP="000654C5">
      <w:pPr>
        <w:spacing w:line="480" w:lineRule="auto"/>
        <w:rPr>
          <w:rFonts w:ascii="Times New Roman" w:eastAsia="Times New Roman" w:hAnsi="Times New Roman" w:cs="Times New Roman"/>
        </w:rPr>
      </w:pPr>
    </w:p>
    <w:p w14:paraId="6663C644" w14:textId="77777777" w:rsidR="00461622" w:rsidRDefault="00461622" w:rsidP="000654C5">
      <w:pPr>
        <w:pStyle w:val="BodyText"/>
        <w:ind w:left="0"/>
        <w:jc w:val="center"/>
        <w:rPr>
          <w:b/>
          <w:sz w:val="24"/>
          <w:szCs w:val="24"/>
        </w:rPr>
      </w:pPr>
    </w:p>
    <w:p w14:paraId="1CBA122C" w14:textId="77777777" w:rsidR="000654C5" w:rsidRPr="00CE648C" w:rsidRDefault="000654C5" w:rsidP="000654C5">
      <w:pPr>
        <w:pStyle w:val="BodyText"/>
        <w:ind w:left="0"/>
        <w:jc w:val="center"/>
        <w:rPr>
          <w:rFonts w:ascii="Calibri" w:eastAsia="Calibri" w:hAnsi="Calibri" w:cs="Calibri"/>
          <w:b/>
          <w:sz w:val="24"/>
          <w:szCs w:val="24"/>
        </w:rPr>
      </w:pPr>
      <w:r>
        <w:rPr>
          <w:b/>
          <w:sz w:val="24"/>
          <w:szCs w:val="24"/>
        </w:rPr>
        <w:lastRenderedPageBreak/>
        <w:t>Acknowledgments</w:t>
      </w:r>
    </w:p>
    <w:p w14:paraId="2957D1F1" w14:textId="77777777" w:rsidR="000654C5" w:rsidRPr="000A1F2F" w:rsidRDefault="000654C5" w:rsidP="000654C5">
      <w:pPr>
        <w:jc w:val="center"/>
        <w:rPr>
          <w:rFonts w:ascii="Times New Roman" w:eastAsia="Calibri" w:hAnsi="Times New Roman" w:cs="Times New Roman"/>
        </w:rPr>
      </w:pPr>
    </w:p>
    <w:p w14:paraId="291DC79E" w14:textId="77777777" w:rsidR="000654C5" w:rsidRPr="000A1F2F" w:rsidRDefault="000654C5" w:rsidP="000654C5">
      <w:pPr>
        <w:spacing w:before="3"/>
        <w:jc w:val="center"/>
        <w:rPr>
          <w:rFonts w:ascii="Times New Roman" w:eastAsia="Calibri" w:hAnsi="Times New Roman" w:cs="Times New Roman"/>
        </w:rPr>
      </w:pPr>
    </w:p>
    <w:p w14:paraId="767FD3A8" w14:textId="77777777" w:rsidR="000654C5" w:rsidRPr="00CE648C" w:rsidRDefault="000654C5" w:rsidP="000654C5">
      <w:pPr>
        <w:pStyle w:val="BodyText"/>
        <w:spacing w:line="480" w:lineRule="auto"/>
        <w:ind w:left="0" w:firstLine="607"/>
        <w:rPr>
          <w:rFonts w:cs="Times New Roman"/>
          <w:sz w:val="24"/>
          <w:szCs w:val="24"/>
        </w:rPr>
      </w:pPr>
      <w:r>
        <w:rPr>
          <w:rFonts w:cs="Times New Roman"/>
          <w:sz w:val="24"/>
          <w:szCs w:val="24"/>
        </w:rPr>
        <w:t>The author wishes to acknowledge</w:t>
      </w:r>
      <w:proofErr w:type="gramStart"/>
      <w:r>
        <w:rPr>
          <w:rFonts w:cs="Times New Roman"/>
          <w:sz w:val="24"/>
          <w:szCs w:val="24"/>
        </w:rPr>
        <w:t>…..</w:t>
      </w:r>
      <w:proofErr w:type="gramEnd"/>
      <w:r>
        <w:rPr>
          <w:rFonts w:cs="Times New Roman"/>
          <w:sz w:val="24"/>
          <w:szCs w:val="24"/>
        </w:rPr>
        <w:t xml:space="preserve"> Please double space this text or delete this page if it is not used</w:t>
      </w:r>
    </w:p>
    <w:p w14:paraId="20E7DD61" w14:textId="77777777" w:rsidR="000654C5" w:rsidRPr="000A1F2F" w:rsidRDefault="000654C5" w:rsidP="000654C5">
      <w:pPr>
        <w:spacing w:line="480" w:lineRule="auto"/>
        <w:rPr>
          <w:rFonts w:ascii="Times New Roman" w:eastAsia="Times New Roman" w:hAnsi="Times New Roman" w:cs="Times New Roman"/>
        </w:rPr>
      </w:pPr>
    </w:p>
    <w:p w14:paraId="7A2483C3" w14:textId="77777777" w:rsidR="000654C5" w:rsidRPr="000A1F2F" w:rsidRDefault="000654C5" w:rsidP="000654C5">
      <w:pPr>
        <w:spacing w:line="480" w:lineRule="auto"/>
        <w:rPr>
          <w:rFonts w:ascii="Times New Roman" w:eastAsia="Times New Roman" w:hAnsi="Times New Roman" w:cs="Times New Roman"/>
        </w:rPr>
      </w:pPr>
    </w:p>
    <w:p w14:paraId="65DFD283" w14:textId="77777777" w:rsidR="000654C5" w:rsidRPr="000A1F2F" w:rsidRDefault="000654C5" w:rsidP="000654C5">
      <w:pPr>
        <w:spacing w:line="480" w:lineRule="auto"/>
        <w:rPr>
          <w:rFonts w:ascii="Times New Roman" w:eastAsia="Times New Roman" w:hAnsi="Times New Roman" w:cs="Times New Roman"/>
        </w:rPr>
      </w:pPr>
    </w:p>
    <w:p w14:paraId="569BE366" w14:textId="77777777" w:rsidR="000654C5" w:rsidRPr="000A1F2F" w:rsidRDefault="000654C5" w:rsidP="000654C5">
      <w:pPr>
        <w:spacing w:line="480" w:lineRule="auto"/>
        <w:rPr>
          <w:rFonts w:ascii="Times New Roman" w:eastAsia="Times New Roman" w:hAnsi="Times New Roman" w:cs="Times New Roman"/>
        </w:rPr>
      </w:pPr>
    </w:p>
    <w:p w14:paraId="356FAAE7" w14:textId="77777777" w:rsidR="000654C5" w:rsidRPr="000A1F2F" w:rsidRDefault="000654C5" w:rsidP="000654C5">
      <w:pPr>
        <w:spacing w:line="480" w:lineRule="auto"/>
        <w:rPr>
          <w:rFonts w:ascii="Times New Roman" w:eastAsia="Times New Roman" w:hAnsi="Times New Roman" w:cs="Times New Roman"/>
        </w:rPr>
      </w:pPr>
    </w:p>
    <w:p w14:paraId="17FC3A82" w14:textId="77777777" w:rsidR="000654C5" w:rsidRPr="000A1F2F" w:rsidRDefault="000654C5" w:rsidP="000654C5">
      <w:pPr>
        <w:spacing w:line="480" w:lineRule="auto"/>
        <w:rPr>
          <w:rFonts w:ascii="Times New Roman" w:eastAsia="Times New Roman" w:hAnsi="Times New Roman" w:cs="Times New Roman"/>
        </w:rPr>
      </w:pPr>
    </w:p>
    <w:p w14:paraId="425D57DB" w14:textId="77777777" w:rsidR="000654C5" w:rsidRPr="000A1F2F" w:rsidRDefault="000654C5" w:rsidP="000654C5">
      <w:pPr>
        <w:spacing w:line="480" w:lineRule="auto"/>
        <w:rPr>
          <w:rFonts w:ascii="Times New Roman" w:eastAsia="Times New Roman" w:hAnsi="Times New Roman" w:cs="Times New Roman"/>
        </w:rPr>
      </w:pPr>
    </w:p>
    <w:p w14:paraId="1200431B" w14:textId="77777777" w:rsidR="000654C5" w:rsidRPr="000A1F2F" w:rsidRDefault="000654C5" w:rsidP="000654C5">
      <w:pPr>
        <w:spacing w:line="480" w:lineRule="auto"/>
        <w:rPr>
          <w:rFonts w:ascii="Times New Roman" w:eastAsia="Times New Roman" w:hAnsi="Times New Roman" w:cs="Times New Roman"/>
        </w:rPr>
      </w:pPr>
    </w:p>
    <w:p w14:paraId="2F1B0E6B" w14:textId="77777777" w:rsidR="000654C5" w:rsidRPr="000A1F2F" w:rsidRDefault="000654C5" w:rsidP="000654C5">
      <w:pPr>
        <w:spacing w:line="480" w:lineRule="auto"/>
        <w:rPr>
          <w:rFonts w:ascii="Times New Roman" w:eastAsia="Times New Roman" w:hAnsi="Times New Roman" w:cs="Times New Roman"/>
        </w:rPr>
      </w:pPr>
    </w:p>
    <w:p w14:paraId="3C04EDC5" w14:textId="77777777" w:rsidR="000654C5" w:rsidRPr="000A1F2F" w:rsidRDefault="000654C5" w:rsidP="000654C5">
      <w:pPr>
        <w:spacing w:line="480" w:lineRule="auto"/>
        <w:rPr>
          <w:rFonts w:ascii="Times New Roman" w:eastAsia="Times New Roman" w:hAnsi="Times New Roman" w:cs="Times New Roman"/>
        </w:rPr>
      </w:pPr>
    </w:p>
    <w:p w14:paraId="242282AC" w14:textId="77777777" w:rsidR="000654C5" w:rsidRPr="000A1F2F" w:rsidRDefault="000654C5" w:rsidP="000654C5">
      <w:pPr>
        <w:spacing w:line="480" w:lineRule="auto"/>
        <w:rPr>
          <w:rFonts w:ascii="Times New Roman" w:eastAsia="Times New Roman" w:hAnsi="Times New Roman" w:cs="Times New Roman"/>
        </w:rPr>
      </w:pPr>
    </w:p>
    <w:p w14:paraId="5AFBCDBC" w14:textId="77777777" w:rsidR="000654C5" w:rsidRPr="000A1F2F" w:rsidRDefault="000654C5" w:rsidP="000654C5">
      <w:pPr>
        <w:spacing w:line="480" w:lineRule="auto"/>
        <w:rPr>
          <w:rFonts w:ascii="Times New Roman" w:eastAsia="Times New Roman" w:hAnsi="Times New Roman" w:cs="Times New Roman"/>
        </w:rPr>
      </w:pPr>
    </w:p>
    <w:p w14:paraId="0910898E" w14:textId="77777777" w:rsidR="000654C5" w:rsidRPr="000A1F2F" w:rsidRDefault="000654C5" w:rsidP="000654C5">
      <w:pPr>
        <w:spacing w:line="480" w:lineRule="auto"/>
        <w:rPr>
          <w:rFonts w:ascii="Times New Roman" w:eastAsia="Times New Roman" w:hAnsi="Times New Roman" w:cs="Times New Roman"/>
        </w:rPr>
      </w:pPr>
    </w:p>
    <w:p w14:paraId="5A79C169" w14:textId="77777777" w:rsidR="000654C5" w:rsidRPr="000A1F2F" w:rsidRDefault="000654C5" w:rsidP="000654C5">
      <w:pPr>
        <w:spacing w:line="480" w:lineRule="auto"/>
        <w:rPr>
          <w:rFonts w:ascii="Times New Roman" w:eastAsia="Times New Roman" w:hAnsi="Times New Roman" w:cs="Times New Roman"/>
        </w:rPr>
      </w:pPr>
    </w:p>
    <w:p w14:paraId="0BFDB529" w14:textId="77777777" w:rsidR="000654C5" w:rsidRPr="000A1F2F" w:rsidRDefault="007023C3" w:rsidP="007023C3">
      <w:pPr>
        <w:tabs>
          <w:tab w:val="left" w:pos="6540"/>
        </w:tabs>
        <w:spacing w:line="480" w:lineRule="auto"/>
        <w:rPr>
          <w:rFonts w:ascii="Times New Roman" w:eastAsia="Times New Roman" w:hAnsi="Times New Roman" w:cs="Times New Roman"/>
        </w:rPr>
      </w:pPr>
      <w:r>
        <w:rPr>
          <w:rFonts w:ascii="Times New Roman" w:eastAsia="Times New Roman" w:hAnsi="Times New Roman" w:cs="Times New Roman"/>
        </w:rPr>
        <w:tab/>
      </w:r>
    </w:p>
    <w:p w14:paraId="1F1B9B78" w14:textId="77777777" w:rsidR="000654C5" w:rsidRPr="00CE648C" w:rsidRDefault="000654C5" w:rsidP="000654C5">
      <w:pPr>
        <w:pStyle w:val="BodyText"/>
        <w:ind w:left="0"/>
        <w:jc w:val="center"/>
        <w:rPr>
          <w:rFonts w:cs="Times New Roman"/>
          <w:b/>
          <w:sz w:val="24"/>
          <w:szCs w:val="24"/>
        </w:rPr>
      </w:pPr>
      <w:r>
        <w:rPr>
          <w:rFonts w:cs="Times New Roman"/>
          <w:b/>
          <w:sz w:val="24"/>
          <w:szCs w:val="24"/>
        </w:rPr>
        <w:lastRenderedPageBreak/>
        <w:t>Abstract of Dissertation</w:t>
      </w:r>
    </w:p>
    <w:p w14:paraId="01281F91" w14:textId="77777777" w:rsidR="000654C5" w:rsidRPr="00CE648C" w:rsidRDefault="000654C5" w:rsidP="000654C5">
      <w:pPr>
        <w:spacing w:before="8"/>
        <w:jc w:val="center"/>
        <w:rPr>
          <w:rFonts w:ascii="Times New Roman" w:eastAsia="Times New Roman" w:hAnsi="Times New Roman" w:cs="Times New Roman"/>
        </w:rPr>
      </w:pPr>
    </w:p>
    <w:p w14:paraId="7B4FB066" w14:textId="77777777" w:rsidR="000654C5" w:rsidRPr="00CE648C" w:rsidRDefault="000654C5" w:rsidP="000654C5">
      <w:pPr>
        <w:spacing w:before="8"/>
        <w:jc w:val="center"/>
        <w:rPr>
          <w:rFonts w:ascii="Times New Roman" w:eastAsia="Times New Roman" w:hAnsi="Times New Roman" w:cs="Times New Roman"/>
        </w:rPr>
      </w:pPr>
    </w:p>
    <w:p w14:paraId="3B2F3823" w14:textId="77777777" w:rsidR="000654C5" w:rsidRPr="00CE648C" w:rsidRDefault="000654C5" w:rsidP="000654C5">
      <w:pPr>
        <w:pStyle w:val="BodyText"/>
        <w:ind w:left="0"/>
        <w:jc w:val="center"/>
        <w:rPr>
          <w:rFonts w:eastAsia="Garamond" w:cs="Times New Roman"/>
          <w:b/>
          <w:sz w:val="24"/>
          <w:szCs w:val="24"/>
        </w:rPr>
      </w:pPr>
      <w:r>
        <w:rPr>
          <w:rFonts w:cs="Times New Roman"/>
          <w:b/>
          <w:sz w:val="24"/>
          <w:szCs w:val="24"/>
        </w:rPr>
        <w:t>Dissertation Title in Initial Capitals and Small Letters</w:t>
      </w:r>
    </w:p>
    <w:p w14:paraId="1D895821" w14:textId="77777777" w:rsidR="000654C5" w:rsidRPr="00CE648C" w:rsidRDefault="000654C5" w:rsidP="000654C5">
      <w:pPr>
        <w:jc w:val="center"/>
        <w:rPr>
          <w:rFonts w:ascii="Times New Roman" w:eastAsia="Times New Roman" w:hAnsi="Times New Roman" w:cs="Times New Roman"/>
        </w:rPr>
      </w:pPr>
    </w:p>
    <w:p w14:paraId="3906B36B" w14:textId="77777777" w:rsidR="000654C5" w:rsidRPr="00CE648C" w:rsidRDefault="000654C5" w:rsidP="000654C5">
      <w:pPr>
        <w:rPr>
          <w:rFonts w:ascii="Times New Roman" w:eastAsia="Times New Roman" w:hAnsi="Times New Roman" w:cs="Times New Roman"/>
        </w:rPr>
      </w:pPr>
    </w:p>
    <w:p w14:paraId="511DEA02" w14:textId="77777777" w:rsidR="000654C5" w:rsidRPr="00CE648C" w:rsidRDefault="000654C5" w:rsidP="000654C5">
      <w:pPr>
        <w:spacing w:line="480" w:lineRule="auto"/>
        <w:rPr>
          <w:rFonts w:ascii="Times New Roman" w:eastAsia="Times New Roman" w:hAnsi="Times New Roman" w:cs="Times New Roman"/>
        </w:rPr>
      </w:pPr>
      <w:r>
        <w:rPr>
          <w:rFonts w:ascii="Times New Roman" w:eastAsia="Times New Roman" w:hAnsi="Times New Roman" w:cs="Times New Roman"/>
        </w:rPr>
        <w:tab/>
        <w:t>Please start the text of your abstract here.</w:t>
      </w:r>
    </w:p>
    <w:p w14:paraId="03A73C47" w14:textId="77777777" w:rsidR="000654C5" w:rsidRPr="000A1F2F" w:rsidRDefault="000654C5" w:rsidP="000654C5">
      <w:pPr>
        <w:spacing w:line="480" w:lineRule="auto"/>
        <w:rPr>
          <w:rFonts w:ascii="Times New Roman" w:eastAsia="Times New Roman" w:hAnsi="Times New Roman" w:cs="Times New Roman"/>
        </w:rPr>
      </w:pPr>
    </w:p>
    <w:p w14:paraId="41C01256" w14:textId="77777777" w:rsidR="000654C5" w:rsidRPr="000A1F2F" w:rsidRDefault="000654C5" w:rsidP="000654C5">
      <w:pPr>
        <w:spacing w:line="480" w:lineRule="auto"/>
        <w:rPr>
          <w:rFonts w:ascii="Times New Roman" w:eastAsia="Times New Roman" w:hAnsi="Times New Roman" w:cs="Times New Roman"/>
        </w:rPr>
      </w:pPr>
    </w:p>
    <w:p w14:paraId="008C3CF8" w14:textId="77777777" w:rsidR="000654C5" w:rsidRPr="000A1F2F" w:rsidRDefault="000654C5" w:rsidP="000654C5">
      <w:pPr>
        <w:spacing w:line="480" w:lineRule="auto"/>
        <w:rPr>
          <w:rFonts w:ascii="Times New Roman" w:eastAsia="Times New Roman" w:hAnsi="Times New Roman" w:cs="Times New Roman"/>
        </w:rPr>
      </w:pPr>
    </w:p>
    <w:p w14:paraId="1F0BB3C3" w14:textId="77777777" w:rsidR="000654C5" w:rsidRPr="000A1F2F" w:rsidRDefault="000654C5" w:rsidP="000654C5">
      <w:pPr>
        <w:spacing w:line="480" w:lineRule="auto"/>
        <w:rPr>
          <w:rFonts w:ascii="Times New Roman" w:eastAsia="Times New Roman" w:hAnsi="Times New Roman" w:cs="Times New Roman"/>
        </w:rPr>
      </w:pPr>
    </w:p>
    <w:p w14:paraId="1EFC0620" w14:textId="77777777" w:rsidR="000654C5" w:rsidRPr="000A1F2F" w:rsidRDefault="000654C5" w:rsidP="000654C5">
      <w:pPr>
        <w:spacing w:line="480" w:lineRule="auto"/>
        <w:rPr>
          <w:rFonts w:ascii="Times New Roman" w:eastAsia="Times New Roman" w:hAnsi="Times New Roman" w:cs="Times New Roman"/>
        </w:rPr>
      </w:pPr>
    </w:p>
    <w:p w14:paraId="4583C723" w14:textId="77777777" w:rsidR="000654C5" w:rsidRPr="000A1F2F" w:rsidRDefault="000654C5" w:rsidP="000654C5">
      <w:pPr>
        <w:spacing w:line="480" w:lineRule="auto"/>
        <w:rPr>
          <w:rFonts w:ascii="Times New Roman" w:eastAsia="Times New Roman" w:hAnsi="Times New Roman" w:cs="Times New Roman"/>
        </w:rPr>
      </w:pPr>
    </w:p>
    <w:p w14:paraId="6B7B732D" w14:textId="77777777" w:rsidR="000654C5" w:rsidRPr="000A1F2F" w:rsidRDefault="000654C5" w:rsidP="000654C5">
      <w:pPr>
        <w:spacing w:line="480" w:lineRule="auto"/>
        <w:rPr>
          <w:rFonts w:ascii="Times New Roman" w:eastAsia="Times New Roman" w:hAnsi="Times New Roman" w:cs="Times New Roman"/>
        </w:rPr>
      </w:pPr>
    </w:p>
    <w:p w14:paraId="79FE6541" w14:textId="77777777" w:rsidR="000654C5" w:rsidRPr="000A1F2F" w:rsidRDefault="000654C5" w:rsidP="000654C5">
      <w:pPr>
        <w:spacing w:line="480" w:lineRule="auto"/>
        <w:rPr>
          <w:rFonts w:ascii="Times New Roman" w:eastAsia="Times New Roman" w:hAnsi="Times New Roman" w:cs="Times New Roman"/>
        </w:rPr>
      </w:pPr>
    </w:p>
    <w:p w14:paraId="2F7F5BA3" w14:textId="77777777" w:rsidR="000654C5" w:rsidRDefault="000654C5">
      <w:pPr>
        <w:rPr>
          <w:rFonts w:ascii="Times New Roman" w:hAnsi="Times New Roman" w:cs="Times New Roman"/>
          <w:b/>
          <w:bCs/>
        </w:rPr>
      </w:pPr>
    </w:p>
    <w:p w14:paraId="43EB3AC8" w14:textId="77777777" w:rsidR="000654C5" w:rsidRDefault="000654C5" w:rsidP="00BA2401">
      <w:pPr>
        <w:rPr>
          <w:rFonts w:ascii="Times New Roman" w:hAnsi="Times New Roman" w:cs="Times New Roman"/>
          <w:b/>
          <w:bCs/>
        </w:rPr>
      </w:pPr>
    </w:p>
    <w:p w14:paraId="323AD7D5" w14:textId="77777777" w:rsidR="000654C5" w:rsidRDefault="000654C5">
      <w:pPr>
        <w:rPr>
          <w:rFonts w:ascii="Times New Roman" w:hAnsi="Times New Roman" w:cs="Times New Roman"/>
          <w:b/>
          <w:bCs/>
        </w:rPr>
      </w:pPr>
      <w:r>
        <w:rPr>
          <w:rFonts w:ascii="Times New Roman" w:hAnsi="Times New Roman" w:cs="Times New Roman"/>
          <w:b/>
          <w:bCs/>
        </w:rPr>
        <w:br w:type="page"/>
      </w:r>
    </w:p>
    <w:sdt>
      <w:sdtPr>
        <w:rPr>
          <w:rFonts w:ascii="Times New Roman" w:eastAsiaTheme="minorHAnsi" w:hAnsi="Times New Roman" w:cs="Times New Roman"/>
          <w:b w:val="0"/>
          <w:bCs w:val="0"/>
          <w:color w:val="auto"/>
          <w:kern w:val="2"/>
          <w:sz w:val="24"/>
          <w:szCs w:val="24"/>
          <w14:ligatures w14:val="standardContextual"/>
        </w:rPr>
        <w:id w:val="1687103404"/>
        <w:docPartObj>
          <w:docPartGallery w:val="Table of Contents"/>
          <w:docPartUnique/>
        </w:docPartObj>
      </w:sdtPr>
      <w:sdtEndPr>
        <w:rPr>
          <w:noProof/>
        </w:rPr>
      </w:sdtEndPr>
      <w:sdtContent>
        <w:p w14:paraId="1676E3AB" w14:textId="77777777" w:rsidR="005942A8" w:rsidRPr="00882279" w:rsidRDefault="005942A8" w:rsidP="005D3B36">
          <w:pPr>
            <w:pStyle w:val="TOCHeading"/>
            <w:rPr>
              <w:rFonts w:ascii="Times New Roman" w:hAnsi="Times New Roman" w:cs="Times New Roman"/>
            </w:rPr>
          </w:pPr>
          <w:r>
            <w:rPr>
              <w:rFonts w:ascii="Times New Roman" w:hAnsi="Times New Roman" w:cs="Times New Roman"/>
            </w:rPr>
            <w:t>Table of Contents</w:t>
          </w:r>
        </w:p>
        <w:p w14:paraId="6A08D010" w14:textId="77777777" w:rsidR="00F8138C" w:rsidRPr="00882279" w:rsidRDefault="00F8138C" w:rsidP="00F8138C">
          <w:pPr>
            <w:rPr>
              <w:rFonts w:ascii="Times New Roman" w:hAnsi="Times New Roman" w:cs="Times New Roman"/>
            </w:rPr>
          </w:pPr>
        </w:p>
        <w:p w14:paraId="009A9232" w14:textId="69664A14" w:rsidR="006B3655" w:rsidRPr="006B3655" w:rsidRDefault="005942A8">
          <w:pPr>
            <w:pStyle w:val="TOC1"/>
            <w:tabs>
              <w:tab w:val="right" w:leader="dot" w:pos="9350"/>
            </w:tabs>
            <w:rPr>
              <w:rFonts w:ascii="Times New Roman" w:eastAsiaTheme="minorEastAsia" w:hAnsi="Times New Roman" w:cs="Times New Roman"/>
              <w:noProof/>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35394937" w:history="1">
            <w:r w:rsidR="006B3655" w:rsidRPr="006B3655">
              <w:rPr>
                <w:rStyle w:val="Hyperlink"/>
                <w:rFonts w:ascii="Times New Roman" w:hAnsi="Times New Roman" w:cs="Times New Roman"/>
                <w:noProof/>
              </w:rPr>
              <w:t>Table 1…………………………………….………………………………………………..1</w:t>
            </w:r>
            <w:r w:rsidR="006B3655" w:rsidRPr="006B3655">
              <w:rPr>
                <w:rFonts w:ascii="Times New Roman" w:hAnsi="Times New Roman" w:cs="Times New Roman"/>
                <w:noProof/>
                <w:webHidden/>
              </w:rPr>
              <w:tab/>
            </w:r>
            <w:r w:rsidR="006B3655" w:rsidRPr="006B3655">
              <w:rPr>
                <w:rFonts w:ascii="Times New Roman" w:hAnsi="Times New Roman" w:cs="Times New Roman"/>
                <w:noProof/>
                <w:webHidden/>
              </w:rPr>
              <w:fldChar w:fldCharType="begin"/>
            </w:r>
            <w:r w:rsidR="006B3655" w:rsidRPr="006B3655">
              <w:rPr>
                <w:rFonts w:ascii="Times New Roman" w:hAnsi="Times New Roman" w:cs="Times New Roman"/>
                <w:noProof/>
                <w:webHidden/>
              </w:rPr>
              <w:instrText xml:space="preserve"> PAGEREF _Toc235394937 \h </w:instrText>
            </w:r>
            <w:r w:rsidR="006B3655" w:rsidRPr="006B3655">
              <w:rPr>
                <w:rFonts w:ascii="Times New Roman" w:hAnsi="Times New Roman" w:cs="Times New Roman"/>
                <w:noProof/>
                <w:webHidden/>
              </w:rPr>
            </w:r>
            <w:r w:rsidR="006B3655" w:rsidRPr="006B3655">
              <w:rPr>
                <w:rFonts w:ascii="Times New Roman" w:hAnsi="Times New Roman" w:cs="Times New Roman"/>
                <w:noProof/>
                <w:webHidden/>
              </w:rPr>
              <w:fldChar w:fldCharType="separate"/>
            </w:r>
            <w:r w:rsidR="006B3655" w:rsidRPr="006B3655">
              <w:rPr>
                <w:rFonts w:ascii="Times New Roman" w:hAnsi="Times New Roman" w:cs="Times New Roman"/>
                <w:noProof/>
                <w:webHidden/>
              </w:rPr>
              <w:t>x</w:t>
            </w:r>
            <w:r w:rsidR="006B3655" w:rsidRPr="006B3655">
              <w:rPr>
                <w:rFonts w:ascii="Times New Roman" w:hAnsi="Times New Roman" w:cs="Times New Roman"/>
                <w:noProof/>
                <w:webHidden/>
              </w:rPr>
              <w:fldChar w:fldCharType="end"/>
            </w:r>
          </w:hyperlink>
        </w:p>
        <w:p w14:paraId="44E742AF" w14:textId="465F67F4" w:rsidR="006B3655" w:rsidRPr="006B3655" w:rsidRDefault="006B3655">
          <w:pPr>
            <w:pStyle w:val="TOC1"/>
            <w:tabs>
              <w:tab w:val="right" w:leader="dot" w:pos="9350"/>
            </w:tabs>
            <w:rPr>
              <w:rFonts w:ascii="Times New Roman" w:eastAsiaTheme="minorEastAsia" w:hAnsi="Times New Roman" w:cs="Times New Roman"/>
              <w:noProof/>
            </w:rPr>
          </w:pPr>
          <w:hyperlink w:anchor="_Toc235394938" w:history="1">
            <w:r w:rsidRPr="006B3655">
              <w:rPr>
                <w:rStyle w:val="Hyperlink"/>
                <w:rFonts w:ascii="Times New Roman" w:hAnsi="Times New Roman" w:cs="Times New Roman"/>
                <w:noProof/>
              </w:rPr>
              <w:t>Table 2…………..…………………………………………………………………………2</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_Toc235394938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x</w:t>
            </w:r>
            <w:r w:rsidRPr="006B3655">
              <w:rPr>
                <w:rFonts w:ascii="Times New Roman" w:hAnsi="Times New Roman" w:cs="Times New Roman"/>
                <w:noProof/>
                <w:webHidden/>
              </w:rPr>
              <w:fldChar w:fldCharType="end"/>
            </w:r>
          </w:hyperlink>
        </w:p>
        <w:p w14:paraId="76F60817" w14:textId="5C11F239" w:rsidR="006B3655" w:rsidRPr="006B3655" w:rsidRDefault="006B3655">
          <w:pPr>
            <w:pStyle w:val="TOC1"/>
            <w:tabs>
              <w:tab w:val="right" w:leader="dot" w:pos="9350"/>
            </w:tabs>
            <w:rPr>
              <w:rFonts w:ascii="Times New Roman" w:eastAsiaTheme="minorEastAsia" w:hAnsi="Times New Roman" w:cs="Times New Roman"/>
              <w:noProof/>
            </w:rPr>
          </w:pPr>
          <w:hyperlink w:anchor="_Toc235394939" w:history="1">
            <w:r w:rsidRPr="006B3655">
              <w:rPr>
                <w:rStyle w:val="Hyperlink"/>
                <w:rFonts w:ascii="Times New Roman" w:hAnsi="Times New Roman" w:cs="Times New Roman"/>
                <w:noProof/>
              </w:rPr>
              <w:t>Table 3…………...…………………………………………………………………………3</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_Toc235394939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x</w:t>
            </w:r>
            <w:r w:rsidRPr="006B3655">
              <w:rPr>
                <w:rFonts w:ascii="Times New Roman" w:hAnsi="Times New Roman" w:cs="Times New Roman"/>
                <w:noProof/>
                <w:webHidden/>
              </w:rPr>
              <w:fldChar w:fldCharType="end"/>
            </w:r>
          </w:hyperlink>
        </w:p>
        <w:p w14:paraId="57A161D3" w14:textId="38EA26BA" w:rsidR="006B3655" w:rsidRPr="006B3655" w:rsidRDefault="006B3655">
          <w:pPr>
            <w:pStyle w:val="TOC1"/>
            <w:tabs>
              <w:tab w:val="right" w:leader="dot" w:pos="9350"/>
            </w:tabs>
            <w:rPr>
              <w:rFonts w:ascii="Times New Roman" w:eastAsiaTheme="minorEastAsia" w:hAnsi="Times New Roman" w:cs="Times New Roman"/>
              <w:noProof/>
            </w:rPr>
          </w:pPr>
          <w:hyperlink w:anchor="_Toc235394940" w:history="1">
            <w:r w:rsidRPr="006B3655">
              <w:rPr>
                <w:rStyle w:val="Hyperlink"/>
                <w:rFonts w:ascii="Times New Roman" w:hAnsi="Times New Roman" w:cs="Times New Roman"/>
                <w:noProof/>
              </w:rPr>
              <w:t xml:space="preserve">Glossary of Terms </w:t>
            </w:r>
            <w:r w:rsidRPr="006B3655">
              <w:rPr>
                <w:rStyle w:val="Hyperlink"/>
                <w:rFonts w:ascii="Times New Roman" w:hAnsi="Times New Roman" w:cs="Times New Roman"/>
                <w:i/>
                <w:iCs/>
                <w:noProof/>
              </w:rPr>
              <w:t>(Optional)</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_Toc235394940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xi</w:t>
            </w:r>
            <w:r w:rsidRPr="006B3655">
              <w:rPr>
                <w:rFonts w:ascii="Times New Roman" w:hAnsi="Times New Roman" w:cs="Times New Roman"/>
                <w:noProof/>
                <w:webHidden/>
              </w:rPr>
              <w:fldChar w:fldCharType="end"/>
            </w:r>
          </w:hyperlink>
        </w:p>
        <w:p w14:paraId="6532C513" w14:textId="6BA57FED" w:rsidR="006B3655" w:rsidRPr="006B3655" w:rsidRDefault="006B3655">
          <w:pPr>
            <w:pStyle w:val="TOC1"/>
            <w:tabs>
              <w:tab w:val="right" w:leader="dot" w:pos="9350"/>
            </w:tabs>
            <w:rPr>
              <w:rFonts w:ascii="Times New Roman" w:eastAsiaTheme="minorEastAsia" w:hAnsi="Times New Roman" w:cs="Times New Roman"/>
              <w:noProof/>
            </w:rPr>
          </w:pPr>
          <w:hyperlink w:anchor="_Toc235394941" w:history="1">
            <w:r w:rsidRPr="006B3655">
              <w:rPr>
                <w:rStyle w:val="Hyperlink"/>
                <w:rFonts w:ascii="Times New Roman" w:hAnsi="Times New Roman" w:cs="Times New Roman"/>
                <w:noProof/>
              </w:rPr>
              <w:t>Term 1: Start Definition here</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_Toc235394941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xi</w:t>
            </w:r>
            <w:r w:rsidRPr="006B3655">
              <w:rPr>
                <w:rFonts w:ascii="Times New Roman" w:hAnsi="Times New Roman" w:cs="Times New Roman"/>
                <w:noProof/>
                <w:webHidden/>
              </w:rPr>
              <w:fldChar w:fldCharType="end"/>
            </w:r>
          </w:hyperlink>
        </w:p>
        <w:p w14:paraId="67BF598B" w14:textId="236BADA7" w:rsidR="006B3655" w:rsidRPr="006B3655" w:rsidRDefault="006B3655">
          <w:pPr>
            <w:pStyle w:val="TOC1"/>
            <w:tabs>
              <w:tab w:val="right" w:leader="dot" w:pos="9350"/>
            </w:tabs>
            <w:rPr>
              <w:rFonts w:ascii="Times New Roman" w:eastAsiaTheme="minorEastAsia" w:hAnsi="Times New Roman" w:cs="Times New Roman"/>
              <w:noProof/>
            </w:rPr>
          </w:pPr>
          <w:hyperlink w:anchor="_Toc235394942" w:history="1">
            <w:r w:rsidRPr="006B3655">
              <w:rPr>
                <w:rStyle w:val="Hyperlink"/>
                <w:rFonts w:ascii="Times New Roman" w:hAnsi="Times New Roman" w:cs="Times New Roman"/>
                <w:noProof/>
              </w:rPr>
              <w:t>Term 2: Start Definition here</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_Toc235394942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xi</w:t>
            </w:r>
            <w:r w:rsidRPr="006B3655">
              <w:rPr>
                <w:rFonts w:ascii="Times New Roman" w:hAnsi="Times New Roman" w:cs="Times New Roman"/>
                <w:noProof/>
                <w:webHidden/>
              </w:rPr>
              <w:fldChar w:fldCharType="end"/>
            </w:r>
          </w:hyperlink>
        </w:p>
        <w:p w14:paraId="32DB1C10" w14:textId="72E8E123" w:rsidR="006B3655" w:rsidRPr="006B3655" w:rsidRDefault="006B3655">
          <w:pPr>
            <w:pStyle w:val="TOC1"/>
            <w:tabs>
              <w:tab w:val="right" w:leader="dot" w:pos="9350"/>
            </w:tabs>
            <w:rPr>
              <w:rFonts w:ascii="Times New Roman" w:eastAsiaTheme="minorEastAsia" w:hAnsi="Times New Roman" w:cs="Times New Roman"/>
              <w:noProof/>
            </w:rPr>
          </w:pPr>
          <w:hyperlink w:anchor="_Toc235394943" w:history="1">
            <w:r w:rsidRPr="006B3655">
              <w:rPr>
                <w:rStyle w:val="Hyperlink"/>
                <w:rFonts w:ascii="Times New Roman" w:hAnsi="Times New Roman" w:cs="Times New Roman"/>
                <w:noProof/>
              </w:rPr>
              <w:t>Chapter 1 - Introduction</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_Toc235394943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1</w:t>
            </w:r>
            <w:r w:rsidRPr="006B3655">
              <w:rPr>
                <w:rFonts w:ascii="Times New Roman" w:hAnsi="Times New Roman" w:cs="Times New Roman"/>
                <w:noProof/>
                <w:webHidden/>
              </w:rPr>
              <w:fldChar w:fldCharType="end"/>
            </w:r>
          </w:hyperlink>
        </w:p>
        <w:p w14:paraId="1AD0613D" w14:textId="293717EF" w:rsidR="006B3655" w:rsidRPr="006B3655" w:rsidRDefault="006B3655">
          <w:pPr>
            <w:pStyle w:val="TOC2"/>
            <w:rPr>
              <w:rFonts w:ascii="Times New Roman" w:eastAsiaTheme="minorEastAsia" w:hAnsi="Times New Roman" w:cs="Times New Roman"/>
              <w:noProof/>
            </w:rPr>
          </w:pPr>
          <w:hyperlink w:anchor="_Toc235394944" w:history="1">
            <w:r w:rsidRPr="006B3655">
              <w:rPr>
                <w:rStyle w:val="Hyperlink"/>
                <w:rFonts w:ascii="Times New Roman" w:hAnsi="Times New Roman" w:cs="Times New Roman"/>
                <w:noProof/>
              </w:rPr>
              <w:t>1.1 Background and Research Motivation</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_Toc235394944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1</w:t>
            </w:r>
            <w:r w:rsidRPr="006B3655">
              <w:rPr>
                <w:rFonts w:ascii="Times New Roman" w:hAnsi="Times New Roman" w:cs="Times New Roman"/>
                <w:noProof/>
                <w:webHidden/>
              </w:rPr>
              <w:fldChar w:fldCharType="end"/>
            </w:r>
          </w:hyperlink>
        </w:p>
        <w:p w14:paraId="472F2951" w14:textId="63FBF712" w:rsidR="006B3655" w:rsidRPr="006B3655" w:rsidRDefault="006B3655">
          <w:pPr>
            <w:pStyle w:val="TOC2"/>
            <w:rPr>
              <w:rFonts w:ascii="Times New Roman" w:eastAsiaTheme="minorEastAsia" w:hAnsi="Times New Roman" w:cs="Times New Roman"/>
              <w:noProof/>
            </w:rPr>
          </w:pPr>
          <w:hyperlink w:anchor="_Toc235394945" w:history="1">
            <w:r w:rsidRPr="006B3655">
              <w:rPr>
                <w:rStyle w:val="Hyperlink"/>
                <w:rFonts w:ascii="Times New Roman" w:hAnsi="Times New Roman" w:cs="Times New Roman"/>
                <w:noProof/>
              </w:rPr>
              <w:t>1.2 Problem Statement</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_Toc235394945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2</w:t>
            </w:r>
            <w:r w:rsidRPr="006B3655">
              <w:rPr>
                <w:rFonts w:ascii="Times New Roman" w:hAnsi="Times New Roman" w:cs="Times New Roman"/>
                <w:noProof/>
                <w:webHidden/>
              </w:rPr>
              <w:fldChar w:fldCharType="end"/>
            </w:r>
          </w:hyperlink>
        </w:p>
        <w:p w14:paraId="7750DF31" w14:textId="0E659E27" w:rsidR="006B3655" w:rsidRPr="006B3655" w:rsidRDefault="006B3655">
          <w:pPr>
            <w:pStyle w:val="TOC2"/>
            <w:rPr>
              <w:rFonts w:ascii="Times New Roman" w:eastAsiaTheme="minorEastAsia" w:hAnsi="Times New Roman" w:cs="Times New Roman"/>
              <w:noProof/>
            </w:rPr>
          </w:pPr>
          <w:hyperlink w:anchor="_Toc235394946" w:history="1">
            <w:r w:rsidRPr="006B3655">
              <w:rPr>
                <w:rStyle w:val="Hyperlink"/>
                <w:rFonts w:ascii="Times New Roman" w:hAnsi="Times New Roman" w:cs="Times New Roman"/>
                <w:noProof/>
              </w:rPr>
              <w:t>1.3 Thesis Statement</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_Toc235394946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4</w:t>
            </w:r>
            <w:r w:rsidRPr="006B3655">
              <w:rPr>
                <w:rFonts w:ascii="Times New Roman" w:hAnsi="Times New Roman" w:cs="Times New Roman"/>
                <w:noProof/>
                <w:webHidden/>
              </w:rPr>
              <w:fldChar w:fldCharType="end"/>
            </w:r>
          </w:hyperlink>
        </w:p>
        <w:p w14:paraId="748F41AD" w14:textId="6A1234A9" w:rsidR="006B3655" w:rsidRPr="006B3655" w:rsidRDefault="006B3655">
          <w:pPr>
            <w:pStyle w:val="TOC2"/>
            <w:rPr>
              <w:rFonts w:ascii="Times New Roman" w:eastAsiaTheme="minorEastAsia" w:hAnsi="Times New Roman" w:cs="Times New Roman"/>
              <w:noProof/>
            </w:rPr>
          </w:pPr>
          <w:hyperlink w:anchor="_Toc235394947" w:history="1">
            <w:r w:rsidRPr="006B3655">
              <w:rPr>
                <w:rStyle w:val="Hyperlink"/>
                <w:rFonts w:ascii="Times New Roman" w:hAnsi="Times New Roman" w:cs="Times New Roman"/>
                <w:noProof/>
              </w:rPr>
              <w:t>1.4 Research Objectives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_Toc235394947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4</w:t>
            </w:r>
            <w:r w:rsidRPr="006B3655">
              <w:rPr>
                <w:rFonts w:ascii="Times New Roman" w:hAnsi="Times New Roman" w:cs="Times New Roman"/>
                <w:noProof/>
                <w:webHidden/>
              </w:rPr>
              <w:fldChar w:fldCharType="end"/>
            </w:r>
          </w:hyperlink>
        </w:p>
        <w:p w14:paraId="36D772D3" w14:textId="2808F432" w:rsidR="006B3655" w:rsidRPr="006B3655" w:rsidRDefault="006B3655">
          <w:pPr>
            <w:pStyle w:val="TOC2"/>
            <w:rPr>
              <w:rFonts w:ascii="Times New Roman" w:eastAsiaTheme="minorEastAsia" w:hAnsi="Times New Roman" w:cs="Times New Roman"/>
              <w:noProof/>
            </w:rPr>
          </w:pPr>
          <w:hyperlink w:anchor="_Toc235394948" w:history="1">
            <w:r w:rsidRPr="006B3655">
              <w:rPr>
                <w:rStyle w:val="Hyperlink"/>
                <w:rFonts w:ascii="Times New Roman" w:hAnsi="Times New Roman" w:cs="Times New Roman"/>
                <w:noProof/>
              </w:rPr>
              <w:t>1.5 Research Questions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_Toc235394948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6</w:t>
            </w:r>
            <w:r w:rsidRPr="006B3655">
              <w:rPr>
                <w:rFonts w:ascii="Times New Roman" w:hAnsi="Times New Roman" w:cs="Times New Roman"/>
                <w:noProof/>
                <w:webHidden/>
              </w:rPr>
              <w:fldChar w:fldCharType="end"/>
            </w:r>
          </w:hyperlink>
        </w:p>
        <w:p w14:paraId="025CCE91" w14:textId="08937EC1" w:rsidR="006B3655" w:rsidRPr="006B3655" w:rsidRDefault="006B3655">
          <w:pPr>
            <w:pStyle w:val="TOC2"/>
            <w:rPr>
              <w:rFonts w:ascii="Times New Roman" w:eastAsiaTheme="minorEastAsia" w:hAnsi="Times New Roman" w:cs="Times New Roman"/>
              <w:noProof/>
            </w:rPr>
          </w:pPr>
          <w:hyperlink w:anchor="_Toc235394949" w:history="1">
            <w:r w:rsidRPr="006B3655">
              <w:rPr>
                <w:rStyle w:val="Hyperlink"/>
                <w:rFonts w:ascii="Times New Roman" w:hAnsi="Times New Roman" w:cs="Times New Roman"/>
                <w:noProof/>
              </w:rPr>
              <w:t>1.6</w:t>
            </w:r>
            <w:r w:rsidRPr="006B3655">
              <w:rPr>
                <w:rFonts w:ascii="Times New Roman" w:eastAsiaTheme="minorEastAsia" w:hAnsi="Times New Roman" w:cs="Times New Roman"/>
                <w:noProof/>
              </w:rPr>
              <w:tab/>
            </w:r>
            <w:r w:rsidRPr="006B3655">
              <w:rPr>
                <w:rStyle w:val="Hyperlink"/>
                <w:rFonts w:ascii="Times New Roman" w:hAnsi="Times New Roman" w:cs="Times New Roman"/>
                <w:noProof/>
              </w:rPr>
              <w:t>Research Hypotheses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_Toc235394949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6</w:t>
            </w:r>
            <w:r w:rsidRPr="006B3655">
              <w:rPr>
                <w:rFonts w:ascii="Times New Roman" w:hAnsi="Times New Roman" w:cs="Times New Roman"/>
                <w:noProof/>
                <w:webHidden/>
              </w:rPr>
              <w:fldChar w:fldCharType="end"/>
            </w:r>
          </w:hyperlink>
        </w:p>
        <w:p w14:paraId="3D6D2FD9" w14:textId="474BB390" w:rsidR="006B3655" w:rsidRPr="006B3655" w:rsidRDefault="006B3655">
          <w:pPr>
            <w:pStyle w:val="TOC3"/>
            <w:tabs>
              <w:tab w:val="right" w:leader="dot" w:pos="9350"/>
            </w:tabs>
            <w:rPr>
              <w:rFonts w:ascii="Times New Roman" w:eastAsiaTheme="minorEastAsia" w:hAnsi="Times New Roman" w:cs="Times New Roman"/>
              <w:noProof/>
            </w:rPr>
          </w:pPr>
          <w:hyperlink w:anchor="_Toc235394950" w:history="1">
            <w:r w:rsidRPr="006B3655">
              <w:rPr>
                <w:rStyle w:val="Hyperlink"/>
                <w:rFonts w:ascii="Times New Roman" w:hAnsi="Times New Roman" w:cs="Times New Roman"/>
                <w:noProof/>
              </w:rPr>
              <w:t>1.6.1 Hypothesis 1</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_Toc235394950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7</w:t>
            </w:r>
            <w:r w:rsidRPr="006B3655">
              <w:rPr>
                <w:rFonts w:ascii="Times New Roman" w:hAnsi="Times New Roman" w:cs="Times New Roman"/>
                <w:noProof/>
                <w:webHidden/>
              </w:rPr>
              <w:fldChar w:fldCharType="end"/>
            </w:r>
          </w:hyperlink>
        </w:p>
        <w:p w14:paraId="20D160E4" w14:textId="7F455667" w:rsidR="006B3655" w:rsidRPr="006B3655" w:rsidRDefault="006B3655">
          <w:pPr>
            <w:pStyle w:val="TOC3"/>
            <w:tabs>
              <w:tab w:val="left" w:pos="1440"/>
              <w:tab w:val="right" w:leader="dot" w:pos="9350"/>
            </w:tabs>
            <w:rPr>
              <w:rFonts w:ascii="Times New Roman" w:eastAsiaTheme="minorEastAsia" w:hAnsi="Times New Roman" w:cs="Times New Roman"/>
              <w:noProof/>
            </w:rPr>
          </w:pPr>
          <w:hyperlink w:anchor="_Toc235394951" w:history="1">
            <w:r w:rsidRPr="006B3655">
              <w:rPr>
                <w:rStyle w:val="Hyperlink"/>
                <w:rFonts w:ascii="Times New Roman" w:hAnsi="Times New Roman" w:cs="Times New Roman"/>
                <w:noProof/>
              </w:rPr>
              <w:t>1.6.2</w:t>
            </w:r>
            <w:r w:rsidRPr="006B3655">
              <w:rPr>
                <w:rFonts w:ascii="Times New Roman" w:eastAsiaTheme="minorEastAsia" w:hAnsi="Times New Roman" w:cs="Times New Roman"/>
                <w:noProof/>
              </w:rPr>
              <w:tab/>
            </w:r>
            <w:r w:rsidRPr="006B3655">
              <w:rPr>
                <w:rStyle w:val="Hyperlink"/>
                <w:rFonts w:ascii="Times New Roman" w:hAnsi="Times New Roman" w:cs="Times New Roman"/>
                <w:noProof/>
              </w:rPr>
              <w:t>Hypothesis 2</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_Toc235394951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7</w:t>
            </w:r>
            <w:r w:rsidRPr="006B3655">
              <w:rPr>
                <w:rFonts w:ascii="Times New Roman" w:hAnsi="Times New Roman" w:cs="Times New Roman"/>
                <w:noProof/>
                <w:webHidden/>
              </w:rPr>
              <w:fldChar w:fldCharType="end"/>
            </w:r>
          </w:hyperlink>
        </w:p>
        <w:p w14:paraId="1B7ED921" w14:textId="74F87D79" w:rsidR="006B3655" w:rsidRPr="006B3655" w:rsidRDefault="006B3655">
          <w:pPr>
            <w:pStyle w:val="TOC3"/>
            <w:tabs>
              <w:tab w:val="right" w:leader="dot" w:pos="9350"/>
            </w:tabs>
            <w:rPr>
              <w:rFonts w:ascii="Times New Roman" w:eastAsiaTheme="minorEastAsia" w:hAnsi="Times New Roman" w:cs="Times New Roman"/>
              <w:noProof/>
            </w:rPr>
          </w:pPr>
          <w:hyperlink w:anchor="_Toc235394952" w:history="1">
            <w:r w:rsidRPr="006B3655">
              <w:rPr>
                <w:rStyle w:val="Hyperlink"/>
                <w:rFonts w:ascii="Times New Roman" w:hAnsi="Times New Roman" w:cs="Times New Roman"/>
                <w:noProof/>
              </w:rPr>
              <w:t>1.6.3 Hypothesis 3</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_Toc235394952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7</w:t>
            </w:r>
            <w:r w:rsidRPr="006B3655">
              <w:rPr>
                <w:rFonts w:ascii="Times New Roman" w:hAnsi="Times New Roman" w:cs="Times New Roman"/>
                <w:noProof/>
                <w:webHidden/>
              </w:rPr>
              <w:fldChar w:fldCharType="end"/>
            </w:r>
          </w:hyperlink>
        </w:p>
        <w:p w14:paraId="6C5C99B5" w14:textId="1EDAC35F" w:rsidR="006B3655" w:rsidRPr="006B3655" w:rsidRDefault="006B3655">
          <w:pPr>
            <w:pStyle w:val="TOC2"/>
            <w:rPr>
              <w:rFonts w:ascii="Times New Roman" w:eastAsiaTheme="minorEastAsia" w:hAnsi="Times New Roman" w:cs="Times New Roman"/>
              <w:noProof/>
            </w:rPr>
          </w:pPr>
          <w:hyperlink w:anchor="_Toc235394953" w:history="1">
            <w:r w:rsidRPr="006B3655">
              <w:rPr>
                <w:rStyle w:val="Hyperlink"/>
                <w:rFonts w:ascii="Times New Roman" w:hAnsi="Times New Roman" w:cs="Times New Roman"/>
                <w:noProof/>
              </w:rPr>
              <w:t>1.6</w:t>
            </w:r>
            <w:r w:rsidRPr="006B3655">
              <w:rPr>
                <w:rFonts w:ascii="Times New Roman" w:eastAsiaTheme="minorEastAsia" w:hAnsi="Times New Roman" w:cs="Times New Roman"/>
                <w:noProof/>
              </w:rPr>
              <w:tab/>
            </w:r>
            <w:r w:rsidRPr="006B3655">
              <w:rPr>
                <w:rStyle w:val="Hyperlink"/>
                <w:rFonts w:ascii="Times New Roman" w:hAnsi="Times New Roman" w:cs="Times New Roman"/>
                <w:noProof/>
              </w:rPr>
              <w:t>Research Scope and Limitations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_Toc235394953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7</w:t>
            </w:r>
            <w:r w:rsidRPr="006B3655">
              <w:rPr>
                <w:rFonts w:ascii="Times New Roman" w:hAnsi="Times New Roman" w:cs="Times New Roman"/>
                <w:noProof/>
                <w:webHidden/>
              </w:rPr>
              <w:fldChar w:fldCharType="end"/>
            </w:r>
          </w:hyperlink>
        </w:p>
        <w:p w14:paraId="3781A2F9" w14:textId="2DC2177A" w:rsidR="006B3655" w:rsidRPr="006B3655" w:rsidRDefault="006B3655">
          <w:pPr>
            <w:pStyle w:val="TOC2"/>
            <w:rPr>
              <w:rFonts w:ascii="Times New Roman" w:eastAsiaTheme="minorEastAsia" w:hAnsi="Times New Roman" w:cs="Times New Roman"/>
              <w:noProof/>
            </w:rPr>
          </w:pPr>
          <w:hyperlink w:anchor="_Toc235394954" w:history="1">
            <w:r w:rsidRPr="006B3655">
              <w:rPr>
                <w:rStyle w:val="Hyperlink"/>
                <w:rFonts w:ascii="Times New Roman" w:hAnsi="Times New Roman" w:cs="Times New Roman"/>
                <w:noProof/>
              </w:rPr>
              <w:t>2.1 Introduction</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_Toc235394954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9</w:t>
            </w:r>
            <w:r w:rsidRPr="006B3655">
              <w:rPr>
                <w:rFonts w:ascii="Times New Roman" w:hAnsi="Times New Roman" w:cs="Times New Roman"/>
                <w:noProof/>
                <w:webHidden/>
              </w:rPr>
              <w:fldChar w:fldCharType="end"/>
            </w:r>
          </w:hyperlink>
        </w:p>
        <w:p w14:paraId="03560BCB" w14:textId="7582A2ED" w:rsidR="006B3655" w:rsidRPr="006B3655" w:rsidRDefault="006B3655">
          <w:pPr>
            <w:pStyle w:val="TOC2"/>
            <w:rPr>
              <w:rFonts w:ascii="Times New Roman" w:eastAsiaTheme="minorEastAsia" w:hAnsi="Times New Roman" w:cs="Times New Roman"/>
              <w:noProof/>
            </w:rPr>
          </w:pPr>
          <w:hyperlink w:anchor="_Toc235394955" w:history="1">
            <w:r w:rsidRPr="006B3655">
              <w:rPr>
                <w:rStyle w:val="Hyperlink"/>
                <w:rFonts w:ascii="Times New Roman" w:hAnsi="Times New Roman" w:cs="Times New Roman"/>
                <w:noProof/>
              </w:rPr>
              <w:t>2.2 Identity Theft and Financial Fraud</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_Toc235394955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10</w:t>
            </w:r>
            <w:r w:rsidRPr="006B3655">
              <w:rPr>
                <w:rFonts w:ascii="Times New Roman" w:hAnsi="Times New Roman" w:cs="Times New Roman"/>
                <w:noProof/>
                <w:webHidden/>
              </w:rPr>
              <w:fldChar w:fldCharType="end"/>
            </w:r>
          </w:hyperlink>
        </w:p>
        <w:p w14:paraId="170F1C5A" w14:textId="41399034" w:rsidR="006B3655" w:rsidRPr="006B3655" w:rsidRDefault="006B3655">
          <w:pPr>
            <w:pStyle w:val="TOC2"/>
            <w:rPr>
              <w:rFonts w:ascii="Times New Roman" w:eastAsiaTheme="minorEastAsia" w:hAnsi="Times New Roman" w:cs="Times New Roman"/>
              <w:noProof/>
            </w:rPr>
          </w:pPr>
          <w:hyperlink w:anchor="_Toc235394956" w:history="1">
            <w:r w:rsidRPr="006B3655">
              <w:rPr>
                <w:rStyle w:val="Hyperlink"/>
                <w:rFonts w:ascii="Times New Roman" w:hAnsi="Times New Roman" w:cs="Times New Roman"/>
                <w:noProof/>
              </w:rPr>
              <w:t>2.3 Common Attack Vectors Used by Threat Actors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_Toc235394956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13</w:t>
            </w:r>
            <w:r w:rsidRPr="006B3655">
              <w:rPr>
                <w:rFonts w:ascii="Times New Roman" w:hAnsi="Times New Roman" w:cs="Times New Roman"/>
                <w:noProof/>
                <w:webHidden/>
              </w:rPr>
              <w:fldChar w:fldCharType="end"/>
            </w:r>
          </w:hyperlink>
        </w:p>
        <w:p w14:paraId="39BF659D" w14:textId="28AA8E49" w:rsidR="006B3655" w:rsidRPr="006B3655" w:rsidRDefault="006B3655">
          <w:pPr>
            <w:pStyle w:val="TOC3"/>
            <w:tabs>
              <w:tab w:val="right" w:leader="dot" w:pos="9350"/>
            </w:tabs>
            <w:rPr>
              <w:rFonts w:ascii="Times New Roman" w:eastAsiaTheme="minorEastAsia" w:hAnsi="Times New Roman" w:cs="Times New Roman"/>
              <w:noProof/>
            </w:rPr>
          </w:pPr>
          <w:hyperlink w:anchor="_Toc235394957" w:history="1">
            <w:r w:rsidRPr="006B3655">
              <w:rPr>
                <w:rStyle w:val="Hyperlink"/>
                <w:rFonts w:ascii="Times New Roman" w:eastAsia="Arial" w:hAnsi="Times New Roman" w:cs="Times New Roman"/>
                <w:noProof/>
              </w:rPr>
              <w:t>2.3.1 Phishing and Social Engineering</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_Toc235394957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14</w:t>
            </w:r>
            <w:r w:rsidRPr="006B3655">
              <w:rPr>
                <w:rFonts w:ascii="Times New Roman" w:hAnsi="Times New Roman" w:cs="Times New Roman"/>
                <w:noProof/>
                <w:webHidden/>
              </w:rPr>
              <w:fldChar w:fldCharType="end"/>
            </w:r>
          </w:hyperlink>
        </w:p>
        <w:p w14:paraId="7EAA055C" w14:textId="450A6023" w:rsidR="006B3655" w:rsidRPr="006B3655" w:rsidRDefault="006B3655">
          <w:pPr>
            <w:pStyle w:val="TOC3"/>
            <w:tabs>
              <w:tab w:val="right" w:leader="dot" w:pos="9350"/>
            </w:tabs>
            <w:rPr>
              <w:rFonts w:ascii="Times New Roman" w:eastAsiaTheme="minorEastAsia" w:hAnsi="Times New Roman" w:cs="Times New Roman"/>
              <w:noProof/>
            </w:rPr>
          </w:pPr>
          <w:hyperlink w:anchor="_Toc235394958" w:history="1">
            <w:r w:rsidRPr="006B3655">
              <w:rPr>
                <w:rStyle w:val="Hyperlink"/>
                <w:rFonts w:ascii="Times New Roman" w:hAnsi="Times New Roman" w:cs="Times New Roman"/>
                <w:noProof/>
              </w:rPr>
              <w:t>2.3.2 Malware and Credential Theft</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_Toc235394958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15</w:t>
            </w:r>
            <w:r w:rsidRPr="006B3655">
              <w:rPr>
                <w:rFonts w:ascii="Times New Roman" w:hAnsi="Times New Roman" w:cs="Times New Roman"/>
                <w:noProof/>
                <w:webHidden/>
              </w:rPr>
              <w:fldChar w:fldCharType="end"/>
            </w:r>
          </w:hyperlink>
        </w:p>
        <w:p w14:paraId="5B9C85A5" w14:textId="1F4FC57E" w:rsidR="006B3655" w:rsidRPr="006B3655" w:rsidRDefault="006B3655">
          <w:pPr>
            <w:pStyle w:val="TOC3"/>
            <w:tabs>
              <w:tab w:val="left" w:pos="1440"/>
              <w:tab w:val="right" w:leader="dot" w:pos="9350"/>
            </w:tabs>
            <w:rPr>
              <w:rFonts w:ascii="Times New Roman" w:eastAsiaTheme="minorEastAsia" w:hAnsi="Times New Roman" w:cs="Times New Roman"/>
              <w:noProof/>
            </w:rPr>
          </w:pPr>
          <w:hyperlink w:anchor="_Toc235394959" w:history="1">
            <w:r w:rsidRPr="006B3655">
              <w:rPr>
                <w:rStyle w:val="Hyperlink"/>
                <w:rFonts w:ascii="Times New Roman" w:eastAsia="Arial" w:hAnsi="Times New Roman" w:cs="Times New Roman"/>
                <w:noProof/>
              </w:rPr>
              <w:t>2.3.3</w:t>
            </w:r>
            <w:r w:rsidRPr="006B3655">
              <w:rPr>
                <w:rFonts w:ascii="Times New Roman" w:eastAsiaTheme="minorEastAsia" w:hAnsi="Times New Roman" w:cs="Times New Roman"/>
                <w:noProof/>
              </w:rPr>
              <w:tab/>
            </w:r>
            <w:r w:rsidRPr="006B3655">
              <w:rPr>
                <w:rStyle w:val="Hyperlink"/>
                <w:rFonts w:ascii="Times New Roman" w:eastAsia="Arial" w:hAnsi="Times New Roman" w:cs="Times New Roman"/>
                <w:noProof/>
              </w:rPr>
              <w:t>Data Breaches and Large-Scale PII Exfiltration</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_Toc235394959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16</w:t>
            </w:r>
            <w:r w:rsidRPr="006B3655">
              <w:rPr>
                <w:rFonts w:ascii="Times New Roman" w:hAnsi="Times New Roman" w:cs="Times New Roman"/>
                <w:noProof/>
                <w:webHidden/>
              </w:rPr>
              <w:fldChar w:fldCharType="end"/>
            </w:r>
          </w:hyperlink>
        </w:p>
        <w:p w14:paraId="1EBFE216" w14:textId="1BF988D4" w:rsidR="006B3655" w:rsidRPr="006B3655" w:rsidRDefault="006B3655">
          <w:pPr>
            <w:pStyle w:val="TOC3"/>
            <w:tabs>
              <w:tab w:val="left" w:pos="1440"/>
              <w:tab w:val="right" w:leader="dot" w:pos="9350"/>
            </w:tabs>
            <w:rPr>
              <w:rFonts w:ascii="Times New Roman" w:eastAsiaTheme="minorEastAsia" w:hAnsi="Times New Roman" w:cs="Times New Roman"/>
              <w:noProof/>
            </w:rPr>
          </w:pPr>
          <w:hyperlink w:anchor="_Toc235394960" w:history="1">
            <w:r w:rsidRPr="006B3655">
              <w:rPr>
                <w:rStyle w:val="Hyperlink"/>
                <w:rFonts w:ascii="Times New Roman" w:eastAsia="Arial" w:hAnsi="Times New Roman" w:cs="Times New Roman"/>
                <w:noProof/>
              </w:rPr>
              <w:t>2.3.4</w:t>
            </w:r>
            <w:r w:rsidRPr="006B3655">
              <w:rPr>
                <w:rFonts w:ascii="Times New Roman" w:eastAsiaTheme="minorEastAsia" w:hAnsi="Times New Roman" w:cs="Times New Roman"/>
                <w:noProof/>
              </w:rPr>
              <w:tab/>
            </w:r>
            <w:r w:rsidRPr="006B3655">
              <w:rPr>
                <w:rStyle w:val="Hyperlink"/>
                <w:rFonts w:ascii="Times New Roman" w:hAnsi="Times New Roman" w:cs="Times New Roman"/>
                <w:noProof/>
              </w:rPr>
              <w:t>The Evolution of Ransomware: From Encryption to Double and Triple Extortion</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_Toc235394960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17</w:t>
            </w:r>
            <w:r w:rsidRPr="006B3655">
              <w:rPr>
                <w:rFonts w:ascii="Times New Roman" w:hAnsi="Times New Roman" w:cs="Times New Roman"/>
                <w:noProof/>
                <w:webHidden/>
              </w:rPr>
              <w:fldChar w:fldCharType="end"/>
            </w:r>
          </w:hyperlink>
        </w:p>
        <w:p w14:paraId="425122FC" w14:textId="3E0620F4" w:rsidR="006B3655" w:rsidRPr="006B3655" w:rsidRDefault="006B3655">
          <w:pPr>
            <w:pStyle w:val="TOC3"/>
            <w:tabs>
              <w:tab w:val="left" w:pos="1440"/>
              <w:tab w:val="right" w:leader="dot" w:pos="9350"/>
            </w:tabs>
            <w:rPr>
              <w:rFonts w:ascii="Times New Roman" w:eastAsiaTheme="minorEastAsia" w:hAnsi="Times New Roman" w:cs="Times New Roman"/>
              <w:noProof/>
            </w:rPr>
          </w:pPr>
          <w:hyperlink w:anchor="_Toc235394961" w:history="1">
            <w:r w:rsidRPr="006B3655">
              <w:rPr>
                <w:rStyle w:val="Hyperlink"/>
                <w:rFonts w:ascii="Times New Roman" w:eastAsia="Arial" w:hAnsi="Times New Roman" w:cs="Times New Roman"/>
                <w:noProof/>
              </w:rPr>
              <w:t>2.3.5</w:t>
            </w:r>
            <w:r w:rsidRPr="006B3655">
              <w:rPr>
                <w:rFonts w:ascii="Times New Roman" w:eastAsiaTheme="minorEastAsia" w:hAnsi="Times New Roman" w:cs="Times New Roman"/>
                <w:noProof/>
              </w:rPr>
              <w:tab/>
            </w:r>
            <w:r w:rsidRPr="006B3655">
              <w:rPr>
                <w:rStyle w:val="Hyperlink"/>
                <w:rFonts w:ascii="Times New Roman" w:eastAsia="Arial" w:hAnsi="Times New Roman" w:cs="Times New Roman"/>
                <w:noProof/>
              </w:rPr>
              <w:t>Encryption-Only Ransomware</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_Toc235394961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18</w:t>
            </w:r>
            <w:r w:rsidRPr="006B3655">
              <w:rPr>
                <w:rFonts w:ascii="Times New Roman" w:hAnsi="Times New Roman" w:cs="Times New Roman"/>
                <w:noProof/>
                <w:webHidden/>
              </w:rPr>
              <w:fldChar w:fldCharType="end"/>
            </w:r>
          </w:hyperlink>
        </w:p>
        <w:p w14:paraId="3DB7F1D7" w14:textId="6818DB0E" w:rsidR="006B3655" w:rsidRPr="006B3655" w:rsidRDefault="006B3655">
          <w:pPr>
            <w:pStyle w:val="TOC3"/>
            <w:tabs>
              <w:tab w:val="left" w:pos="1440"/>
              <w:tab w:val="right" w:leader="dot" w:pos="9350"/>
            </w:tabs>
            <w:rPr>
              <w:rFonts w:ascii="Times New Roman" w:eastAsiaTheme="minorEastAsia" w:hAnsi="Times New Roman" w:cs="Times New Roman"/>
              <w:noProof/>
            </w:rPr>
          </w:pPr>
          <w:hyperlink w:anchor="_Toc235394962" w:history="1">
            <w:r w:rsidRPr="006B3655">
              <w:rPr>
                <w:rStyle w:val="Hyperlink"/>
                <w:rFonts w:ascii="Times New Roman" w:eastAsia="Arial" w:hAnsi="Times New Roman" w:cs="Times New Roman"/>
                <w:noProof/>
              </w:rPr>
              <w:t>2.3.6</w:t>
            </w:r>
            <w:r w:rsidRPr="006B3655">
              <w:rPr>
                <w:rFonts w:ascii="Times New Roman" w:eastAsiaTheme="minorEastAsia" w:hAnsi="Times New Roman" w:cs="Times New Roman"/>
                <w:noProof/>
              </w:rPr>
              <w:tab/>
            </w:r>
            <w:r w:rsidRPr="006B3655">
              <w:rPr>
                <w:rStyle w:val="Hyperlink"/>
                <w:rFonts w:ascii="Times New Roman" w:eastAsia="Arial" w:hAnsi="Times New Roman" w:cs="Times New Roman"/>
                <w:noProof/>
              </w:rPr>
              <w:t>Double Extortion – Steal First, Encrypt Second</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_Toc235394962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18</w:t>
            </w:r>
            <w:r w:rsidRPr="006B3655">
              <w:rPr>
                <w:rFonts w:ascii="Times New Roman" w:hAnsi="Times New Roman" w:cs="Times New Roman"/>
                <w:noProof/>
                <w:webHidden/>
              </w:rPr>
              <w:fldChar w:fldCharType="end"/>
            </w:r>
          </w:hyperlink>
        </w:p>
        <w:p w14:paraId="54C5AC35" w14:textId="24A5B147" w:rsidR="006B3655" w:rsidRPr="006B3655" w:rsidRDefault="006B3655">
          <w:pPr>
            <w:pStyle w:val="TOC3"/>
            <w:tabs>
              <w:tab w:val="left" w:pos="1440"/>
              <w:tab w:val="right" w:leader="dot" w:pos="9350"/>
            </w:tabs>
            <w:rPr>
              <w:rFonts w:ascii="Times New Roman" w:eastAsiaTheme="minorEastAsia" w:hAnsi="Times New Roman" w:cs="Times New Roman"/>
              <w:noProof/>
            </w:rPr>
          </w:pPr>
          <w:hyperlink w:anchor="_Toc235394963" w:history="1">
            <w:r w:rsidRPr="006B3655">
              <w:rPr>
                <w:rStyle w:val="Hyperlink"/>
                <w:rFonts w:ascii="Times New Roman" w:eastAsia="Arial" w:hAnsi="Times New Roman" w:cs="Times New Roman"/>
                <w:noProof/>
              </w:rPr>
              <w:t>2.3.7</w:t>
            </w:r>
            <w:r w:rsidRPr="006B3655">
              <w:rPr>
                <w:rFonts w:ascii="Times New Roman" w:eastAsiaTheme="minorEastAsia" w:hAnsi="Times New Roman" w:cs="Times New Roman"/>
                <w:noProof/>
              </w:rPr>
              <w:tab/>
            </w:r>
            <w:r w:rsidRPr="006B3655">
              <w:rPr>
                <w:rStyle w:val="Hyperlink"/>
                <w:rFonts w:ascii="Times New Roman" w:eastAsia="Arial" w:hAnsi="Times New Roman" w:cs="Times New Roman"/>
                <w:noProof/>
              </w:rPr>
              <w:t>Triple Extortion and Regulatory Weaponization</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_Toc235394963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19</w:t>
            </w:r>
            <w:r w:rsidRPr="006B3655">
              <w:rPr>
                <w:rFonts w:ascii="Times New Roman" w:hAnsi="Times New Roman" w:cs="Times New Roman"/>
                <w:noProof/>
                <w:webHidden/>
              </w:rPr>
              <w:fldChar w:fldCharType="end"/>
            </w:r>
          </w:hyperlink>
        </w:p>
        <w:p w14:paraId="3E6C44B2" w14:textId="133511C0" w:rsidR="006B3655" w:rsidRPr="006B3655" w:rsidRDefault="006B3655">
          <w:pPr>
            <w:pStyle w:val="TOC3"/>
            <w:tabs>
              <w:tab w:val="left" w:pos="1440"/>
              <w:tab w:val="right" w:leader="dot" w:pos="9350"/>
            </w:tabs>
            <w:rPr>
              <w:rFonts w:ascii="Times New Roman" w:eastAsiaTheme="minorEastAsia" w:hAnsi="Times New Roman" w:cs="Times New Roman"/>
              <w:noProof/>
            </w:rPr>
          </w:pPr>
          <w:hyperlink w:anchor="_Toc235394964" w:history="1">
            <w:r w:rsidRPr="006B3655">
              <w:rPr>
                <w:rStyle w:val="Hyperlink"/>
                <w:rFonts w:ascii="Times New Roman" w:eastAsia="Arial" w:hAnsi="Times New Roman" w:cs="Times New Roman"/>
                <w:noProof/>
              </w:rPr>
              <w:t>2.3.8</w:t>
            </w:r>
            <w:r w:rsidRPr="006B3655">
              <w:rPr>
                <w:rFonts w:ascii="Times New Roman" w:eastAsiaTheme="minorEastAsia" w:hAnsi="Times New Roman" w:cs="Times New Roman"/>
                <w:noProof/>
              </w:rPr>
              <w:tab/>
            </w:r>
            <w:r w:rsidRPr="006B3655">
              <w:rPr>
                <w:rStyle w:val="Hyperlink"/>
                <w:rFonts w:ascii="Times New Roman" w:eastAsia="Arial" w:hAnsi="Times New Roman" w:cs="Times New Roman"/>
                <w:noProof/>
              </w:rPr>
              <w:t>Targeting Financial Institutions: Why PII is the Primary Objective</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_Toc235394964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20</w:t>
            </w:r>
            <w:r w:rsidRPr="006B3655">
              <w:rPr>
                <w:rFonts w:ascii="Times New Roman" w:hAnsi="Times New Roman" w:cs="Times New Roman"/>
                <w:noProof/>
                <w:webHidden/>
              </w:rPr>
              <w:fldChar w:fldCharType="end"/>
            </w:r>
          </w:hyperlink>
        </w:p>
        <w:p w14:paraId="5A943987" w14:textId="1181FA30" w:rsidR="006B3655" w:rsidRPr="006B3655" w:rsidRDefault="006B3655">
          <w:pPr>
            <w:pStyle w:val="TOC2"/>
            <w:rPr>
              <w:rFonts w:ascii="Times New Roman" w:eastAsiaTheme="minorEastAsia" w:hAnsi="Times New Roman" w:cs="Times New Roman"/>
              <w:noProof/>
            </w:rPr>
          </w:pPr>
          <w:hyperlink w:anchor="_Toc235394965" w:history="1">
            <w:r w:rsidRPr="006B3655">
              <w:rPr>
                <w:rStyle w:val="Hyperlink"/>
                <w:rFonts w:ascii="Times New Roman" w:hAnsi="Times New Roman" w:cs="Times New Roman"/>
                <w:noProof/>
              </w:rPr>
              <w:t>2.4 Major Breaches That Have Targeted PII in Financial Institutions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_Toc235394965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22</w:t>
            </w:r>
            <w:r w:rsidRPr="006B3655">
              <w:rPr>
                <w:rFonts w:ascii="Times New Roman" w:hAnsi="Times New Roman" w:cs="Times New Roman"/>
                <w:noProof/>
                <w:webHidden/>
              </w:rPr>
              <w:fldChar w:fldCharType="end"/>
            </w:r>
          </w:hyperlink>
        </w:p>
        <w:p w14:paraId="036FDA38" w14:textId="1EE9CBCE" w:rsidR="006B3655" w:rsidRPr="006B3655" w:rsidRDefault="006B3655">
          <w:pPr>
            <w:pStyle w:val="TOC3"/>
            <w:tabs>
              <w:tab w:val="left" w:pos="1440"/>
              <w:tab w:val="right" w:leader="dot" w:pos="9350"/>
            </w:tabs>
            <w:rPr>
              <w:rFonts w:ascii="Times New Roman" w:eastAsiaTheme="minorEastAsia" w:hAnsi="Times New Roman" w:cs="Times New Roman"/>
              <w:noProof/>
            </w:rPr>
          </w:pPr>
          <w:hyperlink w:anchor="_Toc235394966" w:history="1">
            <w:r w:rsidRPr="006B3655">
              <w:rPr>
                <w:rStyle w:val="Hyperlink"/>
                <w:rFonts w:ascii="Times New Roman" w:eastAsia="Arial" w:hAnsi="Times New Roman" w:cs="Times New Roman"/>
                <w:noProof/>
              </w:rPr>
              <w:t>2.4.1</w:t>
            </w:r>
            <w:r w:rsidRPr="006B3655">
              <w:rPr>
                <w:rFonts w:ascii="Times New Roman" w:eastAsiaTheme="minorEastAsia" w:hAnsi="Times New Roman" w:cs="Times New Roman"/>
                <w:noProof/>
              </w:rPr>
              <w:tab/>
            </w:r>
            <w:r w:rsidRPr="006B3655">
              <w:rPr>
                <w:rStyle w:val="Hyperlink"/>
                <w:rFonts w:ascii="Times New Roman" w:eastAsia="Arial" w:hAnsi="Times New Roman" w:cs="Times New Roman"/>
                <w:noProof/>
              </w:rPr>
              <w:t>First American Financial Corp</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_Toc235394966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23</w:t>
            </w:r>
            <w:r w:rsidRPr="006B3655">
              <w:rPr>
                <w:rFonts w:ascii="Times New Roman" w:hAnsi="Times New Roman" w:cs="Times New Roman"/>
                <w:noProof/>
                <w:webHidden/>
              </w:rPr>
              <w:fldChar w:fldCharType="end"/>
            </w:r>
          </w:hyperlink>
        </w:p>
        <w:p w14:paraId="75135894" w14:textId="4855ACBB" w:rsidR="006B3655" w:rsidRPr="006B3655" w:rsidRDefault="006B3655">
          <w:pPr>
            <w:pStyle w:val="TOC3"/>
            <w:tabs>
              <w:tab w:val="right" w:leader="dot" w:pos="9350"/>
            </w:tabs>
            <w:rPr>
              <w:rFonts w:ascii="Times New Roman" w:eastAsiaTheme="minorEastAsia" w:hAnsi="Times New Roman" w:cs="Times New Roman"/>
              <w:noProof/>
            </w:rPr>
          </w:pPr>
          <w:hyperlink w:anchor="_Toc235394967" w:history="1">
            <w:r w:rsidRPr="006B3655">
              <w:rPr>
                <w:rStyle w:val="Hyperlink"/>
                <w:rFonts w:ascii="Times New Roman" w:hAnsi="Times New Roman" w:cs="Times New Roman"/>
                <w:noProof/>
              </w:rPr>
              <w:t>2.4.2 Equifax Breach</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_Toc235394967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24</w:t>
            </w:r>
            <w:r w:rsidRPr="006B3655">
              <w:rPr>
                <w:rFonts w:ascii="Times New Roman" w:hAnsi="Times New Roman" w:cs="Times New Roman"/>
                <w:noProof/>
                <w:webHidden/>
              </w:rPr>
              <w:fldChar w:fldCharType="end"/>
            </w:r>
          </w:hyperlink>
        </w:p>
        <w:p w14:paraId="023A157D" w14:textId="6C65A9AE" w:rsidR="006B3655" w:rsidRPr="006B3655" w:rsidRDefault="006B3655">
          <w:pPr>
            <w:pStyle w:val="TOC3"/>
            <w:tabs>
              <w:tab w:val="right" w:leader="dot" w:pos="9350"/>
            </w:tabs>
            <w:rPr>
              <w:rFonts w:ascii="Times New Roman" w:eastAsiaTheme="minorEastAsia" w:hAnsi="Times New Roman" w:cs="Times New Roman"/>
              <w:noProof/>
            </w:rPr>
          </w:pPr>
          <w:hyperlink w:anchor="_Toc235394968" w:history="1">
            <w:r w:rsidRPr="006B3655">
              <w:rPr>
                <w:rStyle w:val="Hyperlink"/>
                <w:rFonts w:ascii="Times New Roman" w:hAnsi="Times New Roman" w:cs="Times New Roman"/>
                <w:noProof/>
              </w:rPr>
              <w:t>2.4.3 Heartland Payment Systems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_Toc235394968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25</w:t>
            </w:r>
            <w:r w:rsidRPr="006B3655">
              <w:rPr>
                <w:rFonts w:ascii="Times New Roman" w:hAnsi="Times New Roman" w:cs="Times New Roman"/>
                <w:noProof/>
                <w:webHidden/>
              </w:rPr>
              <w:fldChar w:fldCharType="end"/>
            </w:r>
          </w:hyperlink>
        </w:p>
        <w:p w14:paraId="0957094C" w14:textId="05A04D4B" w:rsidR="006B3655" w:rsidRPr="006B3655" w:rsidRDefault="006B3655">
          <w:pPr>
            <w:pStyle w:val="TOC3"/>
            <w:tabs>
              <w:tab w:val="right" w:leader="dot" w:pos="9350"/>
            </w:tabs>
            <w:rPr>
              <w:rFonts w:ascii="Times New Roman" w:eastAsiaTheme="minorEastAsia" w:hAnsi="Times New Roman" w:cs="Times New Roman"/>
              <w:noProof/>
            </w:rPr>
          </w:pPr>
          <w:hyperlink w:anchor="_Toc235394969" w:history="1">
            <w:r w:rsidRPr="006B3655">
              <w:rPr>
                <w:rStyle w:val="Hyperlink"/>
                <w:rFonts w:ascii="Times New Roman" w:hAnsi="Times New Roman" w:cs="Times New Roman"/>
                <w:noProof/>
              </w:rPr>
              <w:t>2.4.4 Capital One</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_Toc235394969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26</w:t>
            </w:r>
            <w:r w:rsidRPr="006B3655">
              <w:rPr>
                <w:rFonts w:ascii="Times New Roman" w:hAnsi="Times New Roman" w:cs="Times New Roman"/>
                <w:noProof/>
                <w:webHidden/>
              </w:rPr>
              <w:fldChar w:fldCharType="end"/>
            </w:r>
          </w:hyperlink>
        </w:p>
        <w:p w14:paraId="6B0C5484" w14:textId="375B4DF1" w:rsidR="006B3655" w:rsidRPr="006B3655" w:rsidRDefault="006B3655">
          <w:pPr>
            <w:pStyle w:val="TOC3"/>
            <w:tabs>
              <w:tab w:val="right" w:leader="dot" w:pos="9350"/>
            </w:tabs>
            <w:rPr>
              <w:rFonts w:ascii="Times New Roman" w:eastAsiaTheme="minorEastAsia" w:hAnsi="Times New Roman" w:cs="Times New Roman"/>
              <w:noProof/>
            </w:rPr>
          </w:pPr>
          <w:hyperlink w:anchor="_Toc235394970" w:history="1">
            <w:r w:rsidRPr="006B3655">
              <w:rPr>
                <w:rStyle w:val="Hyperlink"/>
                <w:rFonts w:ascii="Times New Roman" w:hAnsi="Times New Roman" w:cs="Times New Roman"/>
                <w:noProof/>
              </w:rPr>
              <w:t>2.4.5 Desjardins Group</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_Toc235394970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27</w:t>
            </w:r>
            <w:r w:rsidRPr="006B3655">
              <w:rPr>
                <w:rFonts w:ascii="Times New Roman" w:hAnsi="Times New Roman" w:cs="Times New Roman"/>
                <w:noProof/>
                <w:webHidden/>
              </w:rPr>
              <w:fldChar w:fldCharType="end"/>
            </w:r>
          </w:hyperlink>
        </w:p>
        <w:p w14:paraId="53134DB8" w14:textId="0E85E721" w:rsidR="006B3655" w:rsidRPr="006B3655" w:rsidRDefault="006B3655">
          <w:pPr>
            <w:pStyle w:val="TOC3"/>
            <w:tabs>
              <w:tab w:val="right" w:leader="dot" w:pos="9350"/>
            </w:tabs>
            <w:rPr>
              <w:rFonts w:ascii="Times New Roman" w:eastAsiaTheme="minorEastAsia" w:hAnsi="Times New Roman" w:cs="Times New Roman"/>
              <w:noProof/>
            </w:rPr>
          </w:pPr>
          <w:hyperlink w:anchor="_Toc235394971" w:history="1">
            <w:r w:rsidRPr="006B3655">
              <w:rPr>
                <w:rStyle w:val="Hyperlink"/>
                <w:rFonts w:ascii="Times New Roman" w:hAnsi="Times New Roman" w:cs="Times New Roman"/>
                <w:noProof/>
              </w:rPr>
              <w:t>2.4.6 JPMorgan Chase</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_Toc235394971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28</w:t>
            </w:r>
            <w:r w:rsidRPr="006B3655">
              <w:rPr>
                <w:rFonts w:ascii="Times New Roman" w:hAnsi="Times New Roman" w:cs="Times New Roman"/>
                <w:noProof/>
                <w:webHidden/>
              </w:rPr>
              <w:fldChar w:fldCharType="end"/>
            </w:r>
          </w:hyperlink>
        </w:p>
        <w:p w14:paraId="26996DA1" w14:textId="2B8D6D13" w:rsidR="006B3655" w:rsidRPr="006B3655" w:rsidRDefault="006B3655">
          <w:pPr>
            <w:pStyle w:val="TOC2"/>
            <w:rPr>
              <w:rFonts w:ascii="Times New Roman" w:eastAsiaTheme="minorEastAsia" w:hAnsi="Times New Roman" w:cs="Times New Roman"/>
              <w:noProof/>
            </w:rPr>
          </w:pPr>
          <w:hyperlink w:anchor="_Toc235394972" w:history="1">
            <w:r w:rsidRPr="006B3655">
              <w:rPr>
                <w:rStyle w:val="Hyperlink"/>
                <w:rFonts w:ascii="Times New Roman" w:hAnsi="Times New Roman" w:cs="Times New Roman"/>
                <w:noProof/>
              </w:rPr>
              <w:t>2.5 Data Security Posture Management (DSPM)</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_Toc235394972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30</w:t>
            </w:r>
            <w:r w:rsidRPr="006B3655">
              <w:rPr>
                <w:rFonts w:ascii="Times New Roman" w:hAnsi="Times New Roman" w:cs="Times New Roman"/>
                <w:noProof/>
                <w:webHidden/>
              </w:rPr>
              <w:fldChar w:fldCharType="end"/>
            </w:r>
          </w:hyperlink>
        </w:p>
        <w:p w14:paraId="670F6E89" w14:textId="31C9D556" w:rsidR="006B3655" w:rsidRPr="006B3655" w:rsidRDefault="006B3655">
          <w:pPr>
            <w:pStyle w:val="TOC2"/>
            <w:rPr>
              <w:rFonts w:ascii="Times New Roman" w:eastAsiaTheme="minorEastAsia" w:hAnsi="Times New Roman" w:cs="Times New Roman"/>
              <w:noProof/>
            </w:rPr>
          </w:pPr>
          <w:hyperlink w:anchor="_Toc235394973" w:history="1">
            <w:r w:rsidRPr="006B3655">
              <w:rPr>
                <w:rStyle w:val="Hyperlink"/>
                <w:rFonts w:ascii="Times New Roman" w:hAnsi="Times New Roman" w:cs="Times New Roman"/>
                <w:noProof/>
              </w:rPr>
              <w:t>2.6 The Role of the SOC</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_Toc235394973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33</w:t>
            </w:r>
            <w:r w:rsidRPr="006B3655">
              <w:rPr>
                <w:rFonts w:ascii="Times New Roman" w:hAnsi="Times New Roman" w:cs="Times New Roman"/>
                <w:noProof/>
                <w:webHidden/>
              </w:rPr>
              <w:fldChar w:fldCharType="end"/>
            </w:r>
          </w:hyperlink>
        </w:p>
        <w:p w14:paraId="56106EAF" w14:textId="4836F410" w:rsidR="006B3655" w:rsidRPr="006B3655" w:rsidRDefault="006B3655">
          <w:pPr>
            <w:pStyle w:val="TOC2"/>
            <w:rPr>
              <w:rFonts w:ascii="Times New Roman" w:eastAsiaTheme="minorEastAsia" w:hAnsi="Times New Roman" w:cs="Times New Roman"/>
              <w:noProof/>
            </w:rPr>
          </w:pPr>
          <w:hyperlink w:anchor="_Toc235394974" w:history="1">
            <w:r w:rsidRPr="006B3655">
              <w:rPr>
                <w:rStyle w:val="Hyperlink"/>
                <w:rFonts w:ascii="Times New Roman" w:hAnsi="Times New Roman" w:cs="Times New Roman"/>
                <w:noProof/>
              </w:rPr>
              <w:t>2.7 The SOC Flow: From Signal to Action</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_Toc235394974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36</w:t>
            </w:r>
            <w:r w:rsidRPr="006B3655">
              <w:rPr>
                <w:rFonts w:ascii="Times New Roman" w:hAnsi="Times New Roman" w:cs="Times New Roman"/>
                <w:noProof/>
                <w:webHidden/>
              </w:rPr>
              <w:fldChar w:fldCharType="end"/>
            </w:r>
          </w:hyperlink>
        </w:p>
        <w:p w14:paraId="4F732583" w14:textId="03B81654" w:rsidR="006B3655" w:rsidRPr="006B3655" w:rsidRDefault="006B3655">
          <w:pPr>
            <w:pStyle w:val="TOC3"/>
            <w:tabs>
              <w:tab w:val="right" w:leader="dot" w:pos="9350"/>
            </w:tabs>
            <w:rPr>
              <w:rFonts w:ascii="Times New Roman" w:eastAsiaTheme="minorEastAsia" w:hAnsi="Times New Roman" w:cs="Times New Roman"/>
              <w:noProof/>
            </w:rPr>
          </w:pPr>
          <w:hyperlink w:anchor="_Toc235394975" w:history="1">
            <w:r w:rsidRPr="006B3655">
              <w:rPr>
                <w:rStyle w:val="Hyperlink"/>
                <w:rFonts w:ascii="Times New Roman" w:hAnsi="Times New Roman" w:cs="Times New Roman"/>
                <w:noProof/>
              </w:rPr>
              <w:t>2.7.1 Data Ingestion &amp; Normalization</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_Toc235394975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37</w:t>
            </w:r>
            <w:r w:rsidRPr="006B3655">
              <w:rPr>
                <w:rFonts w:ascii="Times New Roman" w:hAnsi="Times New Roman" w:cs="Times New Roman"/>
                <w:noProof/>
                <w:webHidden/>
              </w:rPr>
              <w:fldChar w:fldCharType="end"/>
            </w:r>
          </w:hyperlink>
        </w:p>
        <w:p w14:paraId="0F72E8B0" w14:textId="70C93AE9" w:rsidR="006B3655" w:rsidRPr="006B3655" w:rsidRDefault="006B3655">
          <w:pPr>
            <w:pStyle w:val="TOC3"/>
            <w:tabs>
              <w:tab w:val="right" w:leader="dot" w:pos="9350"/>
            </w:tabs>
            <w:rPr>
              <w:rFonts w:ascii="Times New Roman" w:eastAsiaTheme="minorEastAsia" w:hAnsi="Times New Roman" w:cs="Times New Roman"/>
              <w:noProof/>
            </w:rPr>
          </w:pPr>
          <w:hyperlink w:anchor="_Toc235394976" w:history="1">
            <w:r w:rsidRPr="006B3655">
              <w:rPr>
                <w:rStyle w:val="Hyperlink"/>
                <w:rFonts w:ascii="Times New Roman" w:hAnsi="Times New Roman" w:cs="Times New Roman"/>
                <w:noProof/>
              </w:rPr>
              <w:t>2.7.2 Detection &amp; Alerting</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_Toc235394976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38</w:t>
            </w:r>
            <w:r w:rsidRPr="006B3655">
              <w:rPr>
                <w:rFonts w:ascii="Times New Roman" w:hAnsi="Times New Roman" w:cs="Times New Roman"/>
                <w:noProof/>
                <w:webHidden/>
              </w:rPr>
              <w:fldChar w:fldCharType="end"/>
            </w:r>
          </w:hyperlink>
        </w:p>
        <w:p w14:paraId="46555019" w14:textId="79C63DBC" w:rsidR="006B3655" w:rsidRPr="006B3655" w:rsidRDefault="006B3655">
          <w:pPr>
            <w:pStyle w:val="TOC3"/>
            <w:tabs>
              <w:tab w:val="right" w:leader="dot" w:pos="9350"/>
            </w:tabs>
            <w:rPr>
              <w:rFonts w:ascii="Times New Roman" w:eastAsiaTheme="minorEastAsia" w:hAnsi="Times New Roman" w:cs="Times New Roman"/>
              <w:noProof/>
            </w:rPr>
          </w:pPr>
          <w:hyperlink w:anchor="_Toc235394977" w:history="1">
            <w:r w:rsidRPr="006B3655">
              <w:rPr>
                <w:rStyle w:val="Hyperlink"/>
                <w:rFonts w:ascii="Times New Roman" w:hAnsi="Times New Roman" w:cs="Times New Roman"/>
                <w:noProof/>
              </w:rPr>
              <w:t>2.7.3 Triage &amp; Prioritization</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_Toc235394977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39</w:t>
            </w:r>
            <w:r w:rsidRPr="006B3655">
              <w:rPr>
                <w:rFonts w:ascii="Times New Roman" w:hAnsi="Times New Roman" w:cs="Times New Roman"/>
                <w:noProof/>
                <w:webHidden/>
              </w:rPr>
              <w:fldChar w:fldCharType="end"/>
            </w:r>
          </w:hyperlink>
        </w:p>
        <w:p w14:paraId="51EEB6B5" w14:textId="0EBF3319" w:rsidR="006B3655" w:rsidRPr="006B3655" w:rsidRDefault="006B3655">
          <w:pPr>
            <w:pStyle w:val="TOC3"/>
            <w:tabs>
              <w:tab w:val="right" w:leader="dot" w:pos="9350"/>
            </w:tabs>
            <w:rPr>
              <w:rFonts w:ascii="Times New Roman" w:eastAsiaTheme="minorEastAsia" w:hAnsi="Times New Roman" w:cs="Times New Roman"/>
              <w:noProof/>
            </w:rPr>
          </w:pPr>
          <w:hyperlink w:anchor="_Toc235394978" w:history="1">
            <w:r w:rsidRPr="006B3655">
              <w:rPr>
                <w:rStyle w:val="Hyperlink"/>
                <w:rFonts w:ascii="Times New Roman" w:hAnsi="Times New Roman" w:cs="Times New Roman"/>
                <w:noProof/>
              </w:rPr>
              <w:t>2.7.4 Investigation &amp; Context Gathering</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_Toc235394978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39</w:t>
            </w:r>
            <w:r w:rsidRPr="006B3655">
              <w:rPr>
                <w:rFonts w:ascii="Times New Roman" w:hAnsi="Times New Roman" w:cs="Times New Roman"/>
                <w:noProof/>
                <w:webHidden/>
              </w:rPr>
              <w:fldChar w:fldCharType="end"/>
            </w:r>
          </w:hyperlink>
        </w:p>
        <w:p w14:paraId="4DE41F9C" w14:textId="2AC51503" w:rsidR="006B3655" w:rsidRPr="006B3655" w:rsidRDefault="006B3655">
          <w:pPr>
            <w:pStyle w:val="TOC3"/>
            <w:tabs>
              <w:tab w:val="right" w:leader="dot" w:pos="9350"/>
            </w:tabs>
            <w:rPr>
              <w:rFonts w:ascii="Times New Roman" w:eastAsiaTheme="minorEastAsia" w:hAnsi="Times New Roman" w:cs="Times New Roman"/>
              <w:noProof/>
            </w:rPr>
          </w:pPr>
          <w:hyperlink w:anchor="_Toc235394979" w:history="1">
            <w:r w:rsidRPr="006B3655">
              <w:rPr>
                <w:rStyle w:val="Hyperlink"/>
                <w:rFonts w:ascii="Times New Roman" w:hAnsi="Times New Roman" w:cs="Times New Roman"/>
                <w:noProof/>
              </w:rPr>
              <w:t>2.7.5 Response &amp; Containment</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_Toc235394979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40</w:t>
            </w:r>
            <w:r w:rsidRPr="006B3655">
              <w:rPr>
                <w:rFonts w:ascii="Times New Roman" w:hAnsi="Times New Roman" w:cs="Times New Roman"/>
                <w:noProof/>
                <w:webHidden/>
              </w:rPr>
              <w:fldChar w:fldCharType="end"/>
            </w:r>
          </w:hyperlink>
        </w:p>
        <w:p w14:paraId="439D860E" w14:textId="2494E2C9" w:rsidR="006B3655" w:rsidRPr="006B3655" w:rsidRDefault="006B3655">
          <w:pPr>
            <w:pStyle w:val="TOC2"/>
            <w:rPr>
              <w:rFonts w:ascii="Times New Roman" w:eastAsiaTheme="minorEastAsia" w:hAnsi="Times New Roman" w:cs="Times New Roman"/>
              <w:noProof/>
            </w:rPr>
          </w:pPr>
          <w:hyperlink w:anchor="_Toc235394980" w:history="1">
            <w:r w:rsidRPr="006B3655">
              <w:rPr>
                <w:rStyle w:val="Hyperlink"/>
                <w:rFonts w:ascii="Times New Roman" w:hAnsi="Times New Roman" w:cs="Times New Roman"/>
                <w:noProof/>
              </w:rPr>
              <w:t>2.8 Main Challenges for the SOC</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_Toc235394980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41</w:t>
            </w:r>
            <w:r w:rsidRPr="006B3655">
              <w:rPr>
                <w:rFonts w:ascii="Times New Roman" w:hAnsi="Times New Roman" w:cs="Times New Roman"/>
                <w:noProof/>
                <w:webHidden/>
              </w:rPr>
              <w:fldChar w:fldCharType="end"/>
            </w:r>
          </w:hyperlink>
        </w:p>
        <w:p w14:paraId="0D2C8D86" w14:textId="1BD239AD" w:rsidR="006B3655" w:rsidRPr="006B3655" w:rsidRDefault="006B3655">
          <w:pPr>
            <w:pStyle w:val="TOC3"/>
            <w:tabs>
              <w:tab w:val="right" w:leader="dot" w:pos="9350"/>
            </w:tabs>
            <w:rPr>
              <w:rFonts w:ascii="Times New Roman" w:eastAsiaTheme="minorEastAsia" w:hAnsi="Times New Roman" w:cs="Times New Roman"/>
              <w:noProof/>
            </w:rPr>
          </w:pPr>
          <w:hyperlink w:anchor="_Toc235394981" w:history="1">
            <w:r w:rsidRPr="006B3655">
              <w:rPr>
                <w:rStyle w:val="Hyperlink"/>
                <w:rFonts w:ascii="Times New Roman" w:hAnsi="Times New Roman" w:cs="Times New Roman"/>
                <w:noProof/>
              </w:rPr>
              <w:t>2.8.1 Too Much Noise and Alert Fatigue</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_Toc235394981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42</w:t>
            </w:r>
            <w:r w:rsidRPr="006B3655">
              <w:rPr>
                <w:rFonts w:ascii="Times New Roman" w:hAnsi="Times New Roman" w:cs="Times New Roman"/>
                <w:noProof/>
                <w:webHidden/>
              </w:rPr>
              <w:fldChar w:fldCharType="end"/>
            </w:r>
          </w:hyperlink>
        </w:p>
        <w:p w14:paraId="013DF745" w14:textId="473EA03D" w:rsidR="006B3655" w:rsidRPr="006B3655" w:rsidRDefault="006B3655">
          <w:pPr>
            <w:pStyle w:val="TOC3"/>
            <w:tabs>
              <w:tab w:val="right" w:leader="dot" w:pos="9350"/>
            </w:tabs>
            <w:rPr>
              <w:rFonts w:ascii="Times New Roman" w:eastAsiaTheme="minorEastAsia" w:hAnsi="Times New Roman" w:cs="Times New Roman"/>
              <w:noProof/>
            </w:rPr>
          </w:pPr>
          <w:hyperlink w:anchor="_Toc235394982" w:history="1">
            <w:r w:rsidRPr="006B3655">
              <w:rPr>
                <w:rStyle w:val="Hyperlink"/>
                <w:rFonts w:ascii="Times New Roman" w:hAnsi="Times New Roman" w:cs="Times New Roman"/>
                <w:noProof/>
              </w:rPr>
              <w:t>2.8.2 Prioritization Inhibits Threat Detection and Response</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_Toc235394982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43</w:t>
            </w:r>
            <w:r w:rsidRPr="006B3655">
              <w:rPr>
                <w:rFonts w:ascii="Times New Roman" w:hAnsi="Times New Roman" w:cs="Times New Roman"/>
                <w:noProof/>
                <w:webHidden/>
              </w:rPr>
              <w:fldChar w:fldCharType="end"/>
            </w:r>
          </w:hyperlink>
        </w:p>
        <w:p w14:paraId="4143BE46" w14:textId="4123C205" w:rsidR="006B3655" w:rsidRPr="006B3655" w:rsidRDefault="006B3655">
          <w:pPr>
            <w:pStyle w:val="TOC3"/>
            <w:tabs>
              <w:tab w:val="right" w:leader="dot" w:pos="9350"/>
            </w:tabs>
            <w:rPr>
              <w:rFonts w:ascii="Times New Roman" w:eastAsiaTheme="minorEastAsia" w:hAnsi="Times New Roman" w:cs="Times New Roman"/>
              <w:noProof/>
            </w:rPr>
          </w:pPr>
          <w:hyperlink w:anchor="_Toc235394983" w:history="1">
            <w:r w:rsidRPr="006B3655">
              <w:rPr>
                <w:rStyle w:val="Hyperlink"/>
                <w:rFonts w:ascii="Times New Roman" w:hAnsi="Times New Roman" w:cs="Times New Roman"/>
                <w:noProof/>
              </w:rPr>
              <w:t>2.8.3 The Slow and Silent Attacker Is The Most Dangerous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_Toc235394983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44</w:t>
            </w:r>
            <w:r w:rsidRPr="006B3655">
              <w:rPr>
                <w:rFonts w:ascii="Times New Roman" w:hAnsi="Times New Roman" w:cs="Times New Roman"/>
                <w:noProof/>
                <w:webHidden/>
              </w:rPr>
              <w:fldChar w:fldCharType="end"/>
            </w:r>
          </w:hyperlink>
        </w:p>
        <w:p w14:paraId="5EE763B6" w14:textId="3AB2C161" w:rsidR="006B3655" w:rsidRPr="006B3655" w:rsidRDefault="006B3655">
          <w:pPr>
            <w:pStyle w:val="TOC2"/>
            <w:rPr>
              <w:rFonts w:ascii="Times New Roman" w:eastAsiaTheme="minorEastAsia" w:hAnsi="Times New Roman" w:cs="Times New Roman"/>
              <w:noProof/>
            </w:rPr>
          </w:pPr>
          <w:hyperlink w:anchor="_Toc235394984" w:history="1">
            <w:r w:rsidRPr="006B3655">
              <w:rPr>
                <w:rStyle w:val="Hyperlink"/>
                <w:rFonts w:ascii="Times New Roman" w:hAnsi="Times New Roman" w:cs="Times New Roman"/>
                <w:noProof/>
              </w:rPr>
              <w:t>2.9 MITRE ATT&amp;CK Framework as a Cornerstone of Security Operations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_Toc235394984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46</w:t>
            </w:r>
            <w:r w:rsidRPr="006B3655">
              <w:rPr>
                <w:rFonts w:ascii="Times New Roman" w:hAnsi="Times New Roman" w:cs="Times New Roman"/>
                <w:noProof/>
                <w:webHidden/>
              </w:rPr>
              <w:fldChar w:fldCharType="end"/>
            </w:r>
          </w:hyperlink>
        </w:p>
        <w:p w14:paraId="6DE93214" w14:textId="1268D27E" w:rsidR="006B3655" w:rsidRPr="006B3655" w:rsidRDefault="006B3655">
          <w:pPr>
            <w:pStyle w:val="TOC2"/>
            <w:rPr>
              <w:rFonts w:ascii="Times New Roman" w:eastAsiaTheme="minorEastAsia" w:hAnsi="Times New Roman" w:cs="Times New Roman"/>
              <w:noProof/>
            </w:rPr>
          </w:pPr>
          <w:hyperlink w:anchor="_Toc235394985" w:history="1">
            <w:r w:rsidRPr="006B3655">
              <w:rPr>
                <w:rStyle w:val="Hyperlink"/>
                <w:rFonts w:ascii="Times New Roman" w:hAnsi="Times New Roman" w:cs="Times New Roman"/>
                <w:noProof/>
              </w:rPr>
              <w:t>2.10 Establishing the Potential of a PII Context Framework to Improve SOC Efficacy</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_Toc235394985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49</w:t>
            </w:r>
            <w:r w:rsidRPr="006B3655">
              <w:rPr>
                <w:rFonts w:ascii="Times New Roman" w:hAnsi="Times New Roman" w:cs="Times New Roman"/>
                <w:noProof/>
                <w:webHidden/>
              </w:rPr>
              <w:fldChar w:fldCharType="end"/>
            </w:r>
          </w:hyperlink>
        </w:p>
        <w:p w14:paraId="263317DD" w14:textId="2CA2594D" w:rsidR="006B3655" w:rsidRPr="006B3655" w:rsidRDefault="006B3655">
          <w:pPr>
            <w:pStyle w:val="TOC2"/>
            <w:rPr>
              <w:rFonts w:ascii="Times New Roman" w:eastAsiaTheme="minorEastAsia" w:hAnsi="Times New Roman" w:cs="Times New Roman"/>
              <w:noProof/>
            </w:rPr>
          </w:pPr>
          <w:hyperlink w:anchor="_Toc235394986" w:history="1">
            <w:r w:rsidRPr="006B3655">
              <w:rPr>
                <w:rStyle w:val="Hyperlink"/>
                <w:rFonts w:ascii="Times New Roman" w:hAnsi="Times New Roman" w:cs="Times New Roman"/>
                <w:noProof/>
              </w:rPr>
              <w:t>3.1 Overview and Research Design</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_Toc235394986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52</w:t>
            </w:r>
            <w:r w:rsidRPr="006B3655">
              <w:rPr>
                <w:rFonts w:ascii="Times New Roman" w:hAnsi="Times New Roman" w:cs="Times New Roman"/>
                <w:noProof/>
                <w:webHidden/>
              </w:rPr>
              <w:fldChar w:fldCharType="end"/>
            </w:r>
          </w:hyperlink>
        </w:p>
        <w:p w14:paraId="112730A9" w14:textId="5D23B50C" w:rsidR="006B3655" w:rsidRPr="006B3655" w:rsidRDefault="006B3655">
          <w:pPr>
            <w:pStyle w:val="TOC2"/>
            <w:rPr>
              <w:rFonts w:ascii="Times New Roman" w:eastAsiaTheme="minorEastAsia" w:hAnsi="Times New Roman" w:cs="Times New Roman"/>
              <w:noProof/>
            </w:rPr>
          </w:pPr>
          <w:hyperlink w:anchor="_Toc235394987" w:history="1">
            <w:r w:rsidRPr="006B3655">
              <w:rPr>
                <w:rStyle w:val="Hyperlink"/>
                <w:rFonts w:ascii="Times New Roman" w:eastAsia="Times New Roman" w:hAnsi="Times New Roman" w:cs="Times New Roman"/>
                <w:noProof/>
              </w:rPr>
              <w:t>3.2 Research Approach</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_Toc235394987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54</w:t>
            </w:r>
            <w:r w:rsidRPr="006B3655">
              <w:rPr>
                <w:rFonts w:ascii="Times New Roman" w:hAnsi="Times New Roman" w:cs="Times New Roman"/>
                <w:noProof/>
                <w:webHidden/>
              </w:rPr>
              <w:fldChar w:fldCharType="end"/>
            </w:r>
          </w:hyperlink>
        </w:p>
        <w:p w14:paraId="27827FCA" w14:textId="271645C9" w:rsidR="006B3655" w:rsidRPr="006B3655" w:rsidRDefault="006B3655">
          <w:pPr>
            <w:pStyle w:val="TOC2"/>
            <w:rPr>
              <w:rFonts w:ascii="Times New Roman" w:eastAsiaTheme="minorEastAsia" w:hAnsi="Times New Roman" w:cs="Times New Roman"/>
              <w:noProof/>
            </w:rPr>
          </w:pPr>
          <w:hyperlink w:anchor="_Toc235394988" w:history="1">
            <w:r w:rsidRPr="006B3655">
              <w:rPr>
                <w:rStyle w:val="Hyperlink"/>
                <w:rFonts w:ascii="Times New Roman" w:eastAsia="Times New Roman" w:hAnsi="Times New Roman" w:cs="Times New Roman"/>
                <w:noProof/>
              </w:rPr>
              <w:t>3.3 Research Questions and Hypotheses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_Toc235394988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56</w:t>
            </w:r>
            <w:r w:rsidRPr="006B3655">
              <w:rPr>
                <w:rFonts w:ascii="Times New Roman" w:hAnsi="Times New Roman" w:cs="Times New Roman"/>
                <w:noProof/>
                <w:webHidden/>
              </w:rPr>
              <w:fldChar w:fldCharType="end"/>
            </w:r>
          </w:hyperlink>
        </w:p>
        <w:p w14:paraId="546D2B4B" w14:textId="72838294" w:rsidR="006B3655" w:rsidRPr="006B3655" w:rsidRDefault="006B3655">
          <w:pPr>
            <w:pStyle w:val="TOC3"/>
            <w:tabs>
              <w:tab w:val="left" w:pos="1440"/>
              <w:tab w:val="right" w:leader="dot" w:pos="9350"/>
            </w:tabs>
            <w:rPr>
              <w:rFonts w:ascii="Times New Roman" w:eastAsiaTheme="minorEastAsia" w:hAnsi="Times New Roman" w:cs="Times New Roman"/>
              <w:noProof/>
            </w:rPr>
          </w:pPr>
          <w:hyperlink w:anchor="_Toc235394989" w:history="1">
            <w:r w:rsidRPr="006B3655">
              <w:rPr>
                <w:rStyle w:val="Hyperlink"/>
                <w:rFonts w:ascii="Times New Roman" w:hAnsi="Times New Roman" w:cs="Times New Roman"/>
                <w:noProof/>
              </w:rPr>
              <w:t>3.3.1</w:t>
            </w:r>
            <w:r w:rsidRPr="006B3655">
              <w:rPr>
                <w:rFonts w:ascii="Times New Roman" w:eastAsiaTheme="minorEastAsia" w:hAnsi="Times New Roman" w:cs="Times New Roman"/>
                <w:noProof/>
              </w:rPr>
              <w:tab/>
            </w:r>
            <w:r w:rsidRPr="006B3655">
              <w:rPr>
                <w:rStyle w:val="Hyperlink"/>
                <w:rFonts w:ascii="Times New Roman" w:hAnsi="Times New Roman" w:cs="Times New Roman"/>
                <w:noProof/>
              </w:rPr>
              <w:t>Research Questions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_Toc235394989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56</w:t>
            </w:r>
            <w:r w:rsidRPr="006B3655">
              <w:rPr>
                <w:rFonts w:ascii="Times New Roman" w:hAnsi="Times New Roman" w:cs="Times New Roman"/>
                <w:noProof/>
                <w:webHidden/>
              </w:rPr>
              <w:fldChar w:fldCharType="end"/>
            </w:r>
          </w:hyperlink>
        </w:p>
        <w:p w14:paraId="7B22BDF3" w14:textId="2EDF5B76" w:rsidR="006B3655" w:rsidRPr="006B3655" w:rsidRDefault="006B3655">
          <w:pPr>
            <w:pStyle w:val="TOC3"/>
            <w:tabs>
              <w:tab w:val="left" w:pos="1440"/>
              <w:tab w:val="right" w:leader="dot" w:pos="9350"/>
            </w:tabs>
            <w:rPr>
              <w:rFonts w:ascii="Times New Roman" w:eastAsiaTheme="minorEastAsia" w:hAnsi="Times New Roman" w:cs="Times New Roman"/>
              <w:noProof/>
            </w:rPr>
          </w:pPr>
          <w:hyperlink w:anchor="_Toc235394990" w:history="1">
            <w:r w:rsidRPr="006B3655">
              <w:rPr>
                <w:rStyle w:val="Hyperlink"/>
                <w:rFonts w:ascii="Times New Roman" w:hAnsi="Times New Roman" w:cs="Times New Roman"/>
                <w:noProof/>
              </w:rPr>
              <w:t>3.3.2</w:t>
            </w:r>
            <w:r w:rsidRPr="006B3655">
              <w:rPr>
                <w:rFonts w:ascii="Times New Roman" w:eastAsiaTheme="minorEastAsia" w:hAnsi="Times New Roman" w:cs="Times New Roman"/>
                <w:noProof/>
              </w:rPr>
              <w:tab/>
            </w:r>
            <w:r w:rsidRPr="006B3655">
              <w:rPr>
                <w:rStyle w:val="Hyperlink"/>
                <w:rFonts w:ascii="Times New Roman" w:hAnsi="Times New Roman" w:cs="Times New Roman"/>
                <w:noProof/>
              </w:rPr>
              <w:t>Hypotheses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_Toc235394990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57</w:t>
            </w:r>
            <w:r w:rsidRPr="006B3655">
              <w:rPr>
                <w:rFonts w:ascii="Times New Roman" w:hAnsi="Times New Roman" w:cs="Times New Roman"/>
                <w:noProof/>
                <w:webHidden/>
              </w:rPr>
              <w:fldChar w:fldCharType="end"/>
            </w:r>
          </w:hyperlink>
        </w:p>
        <w:p w14:paraId="7EDE0E15" w14:textId="145BFF2E" w:rsidR="006B3655" w:rsidRPr="006B3655" w:rsidRDefault="006B3655">
          <w:pPr>
            <w:pStyle w:val="TOC2"/>
            <w:rPr>
              <w:rFonts w:ascii="Times New Roman" w:eastAsiaTheme="minorEastAsia" w:hAnsi="Times New Roman" w:cs="Times New Roman"/>
              <w:noProof/>
            </w:rPr>
          </w:pPr>
          <w:hyperlink w:anchor="_Toc235394991" w:history="1">
            <w:r w:rsidRPr="006B3655">
              <w:rPr>
                <w:rStyle w:val="Hyperlink"/>
                <w:rFonts w:ascii="Times New Roman" w:eastAsia="Times New Roman" w:hAnsi="Times New Roman" w:cs="Times New Roman"/>
                <w:noProof/>
              </w:rPr>
              <w:t>3.4 Experimental Design</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_Toc235394991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58</w:t>
            </w:r>
            <w:r w:rsidRPr="006B3655">
              <w:rPr>
                <w:rFonts w:ascii="Times New Roman" w:hAnsi="Times New Roman" w:cs="Times New Roman"/>
                <w:noProof/>
                <w:webHidden/>
              </w:rPr>
              <w:fldChar w:fldCharType="end"/>
            </w:r>
          </w:hyperlink>
        </w:p>
        <w:p w14:paraId="27CF30BE" w14:textId="057F2CBD" w:rsidR="006B3655" w:rsidRPr="006B3655" w:rsidRDefault="006B3655">
          <w:pPr>
            <w:pStyle w:val="TOC2"/>
            <w:rPr>
              <w:rFonts w:ascii="Times New Roman" w:eastAsiaTheme="minorEastAsia" w:hAnsi="Times New Roman" w:cs="Times New Roman"/>
              <w:noProof/>
            </w:rPr>
          </w:pPr>
          <w:hyperlink w:anchor="_Toc235394992" w:history="1">
            <w:r w:rsidRPr="006B3655">
              <w:rPr>
                <w:rStyle w:val="Hyperlink"/>
                <w:rFonts w:ascii="Times New Roman" w:eastAsia="Times New Roman" w:hAnsi="Times New Roman" w:cs="Times New Roman"/>
                <w:noProof/>
              </w:rPr>
              <w:t>3.5 The Graphical Model and Conceptual Framework</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_Toc235394992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60</w:t>
            </w:r>
            <w:r w:rsidRPr="006B3655">
              <w:rPr>
                <w:rFonts w:ascii="Times New Roman" w:hAnsi="Times New Roman" w:cs="Times New Roman"/>
                <w:noProof/>
                <w:webHidden/>
              </w:rPr>
              <w:fldChar w:fldCharType="end"/>
            </w:r>
          </w:hyperlink>
        </w:p>
        <w:p w14:paraId="528DBF44" w14:textId="17DF6E24" w:rsidR="006B3655" w:rsidRPr="006B3655" w:rsidRDefault="006B3655">
          <w:pPr>
            <w:pStyle w:val="TOC2"/>
            <w:rPr>
              <w:rFonts w:ascii="Times New Roman" w:eastAsiaTheme="minorEastAsia" w:hAnsi="Times New Roman" w:cs="Times New Roman"/>
              <w:noProof/>
            </w:rPr>
          </w:pPr>
          <w:hyperlink w:anchor="_Toc235394993" w:history="1">
            <w:r w:rsidRPr="006B3655">
              <w:rPr>
                <w:rStyle w:val="Hyperlink"/>
                <w:rFonts w:ascii="Times New Roman" w:eastAsia="Times New Roman" w:hAnsi="Times New Roman" w:cs="Times New Roman"/>
                <w:noProof/>
              </w:rPr>
              <w:t>3.6 Datasets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_Toc235394993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63</w:t>
            </w:r>
            <w:r w:rsidRPr="006B3655">
              <w:rPr>
                <w:rFonts w:ascii="Times New Roman" w:hAnsi="Times New Roman" w:cs="Times New Roman"/>
                <w:noProof/>
                <w:webHidden/>
              </w:rPr>
              <w:fldChar w:fldCharType="end"/>
            </w:r>
          </w:hyperlink>
        </w:p>
        <w:p w14:paraId="22EF702B" w14:textId="65836846" w:rsidR="006B3655" w:rsidRPr="006B3655" w:rsidRDefault="006B3655">
          <w:pPr>
            <w:pStyle w:val="TOC3"/>
            <w:tabs>
              <w:tab w:val="left" w:pos="1440"/>
              <w:tab w:val="right" w:leader="dot" w:pos="9350"/>
            </w:tabs>
            <w:rPr>
              <w:rFonts w:ascii="Times New Roman" w:eastAsiaTheme="minorEastAsia" w:hAnsi="Times New Roman" w:cs="Times New Roman"/>
              <w:noProof/>
            </w:rPr>
          </w:pPr>
          <w:hyperlink w:anchor="_Toc235394994" w:history="1">
            <w:r w:rsidRPr="006B3655">
              <w:rPr>
                <w:rStyle w:val="Hyperlink"/>
                <w:rFonts w:ascii="Times New Roman" w:hAnsi="Times New Roman" w:cs="Times New Roman"/>
                <w:noProof/>
              </w:rPr>
              <w:t>3.6.1</w:t>
            </w:r>
            <w:r w:rsidRPr="006B3655">
              <w:rPr>
                <w:rFonts w:ascii="Times New Roman" w:eastAsiaTheme="minorEastAsia" w:hAnsi="Times New Roman" w:cs="Times New Roman"/>
                <w:noProof/>
              </w:rPr>
              <w:tab/>
            </w:r>
            <w:r w:rsidRPr="006B3655">
              <w:rPr>
                <w:rStyle w:val="Hyperlink"/>
                <w:rFonts w:ascii="Times New Roman" w:hAnsi="Times New Roman" w:cs="Times New Roman"/>
                <w:noProof/>
              </w:rPr>
              <w:t>Primary Scenario: Remote Access Trojan with PII Exfiltration</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_Toc235394994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64</w:t>
            </w:r>
            <w:r w:rsidRPr="006B3655">
              <w:rPr>
                <w:rFonts w:ascii="Times New Roman" w:hAnsi="Times New Roman" w:cs="Times New Roman"/>
                <w:noProof/>
                <w:webHidden/>
              </w:rPr>
              <w:fldChar w:fldCharType="end"/>
            </w:r>
          </w:hyperlink>
        </w:p>
        <w:p w14:paraId="56AEDAA4" w14:textId="3A845F53" w:rsidR="006B3655" w:rsidRPr="006B3655" w:rsidRDefault="006B3655">
          <w:pPr>
            <w:pStyle w:val="TOC3"/>
            <w:tabs>
              <w:tab w:val="left" w:pos="1440"/>
              <w:tab w:val="right" w:leader="dot" w:pos="9350"/>
            </w:tabs>
            <w:rPr>
              <w:rFonts w:ascii="Times New Roman" w:eastAsiaTheme="minorEastAsia" w:hAnsi="Times New Roman" w:cs="Times New Roman"/>
              <w:noProof/>
            </w:rPr>
          </w:pPr>
          <w:hyperlink w:anchor="_Toc235394995" w:history="1">
            <w:r w:rsidRPr="006B3655">
              <w:rPr>
                <w:rStyle w:val="Hyperlink"/>
                <w:rFonts w:ascii="Times New Roman" w:hAnsi="Times New Roman" w:cs="Times New Roman"/>
                <w:noProof/>
              </w:rPr>
              <w:t>3.6.2</w:t>
            </w:r>
            <w:r w:rsidRPr="006B3655">
              <w:rPr>
                <w:rFonts w:ascii="Times New Roman" w:eastAsiaTheme="minorEastAsia" w:hAnsi="Times New Roman" w:cs="Times New Roman"/>
                <w:noProof/>
              </w:rPr>
              <w:tab/>
            </w:r>
            <w:r w:rsidRPr="006B3655">
              <w:rPr>
                <w:rStyle w:val="Hyperlink"/>
                <w:rFonts w:ascii="Times New Roman" w:hAnsi="Times New Roman" w:cs="Times New Roman"/>
                <w:noProof/>
              </w:rPr>
              <w:t>Remaining Scenarios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_Toc235394995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65</w:t>
            </w:r>
            <w:r w:rsidRPr="006B3655">
              <w:rPr>
                <w:rFonts w:ascii="Times New Roman" w:hAnsi="Times New Roman" w:cs="Times New Roman"/>
                <w:noProof/>
                <w:webHidden/>
              </w:rPr>
              <w:fldChar w:fldCharType="end"/>
            </w:r>
          </w:hyperlink>
        </w:p>
        <w:p w14:paraId="0D06A830" w14:textId="3F729328" w:rsidR="006B3655" w:rsidRPr="006B3655" w:rsidRDefault="006B3655">
          <w:pPr>
            <w:pStyle w:val="TOC2"/>
            <w:rPr>
              <w:rFonts w:ascii="Times New Roman" w:eastAsiaTheme="minorEastAsia" w:hAnsi="Times New Roman" w:cs="Times New Roman"/>
              <w:noProof/>
            </w:rPr>
          </w:pPr>
          <w:hyperlink w:anchor="_Toc235394996" w:history="1">
            <w:r w:rsidRPr="006B3655">
              <w:rPr>
                <w:rStyle w:val="Hyperlink"/>
                <w:rFonts w:ascii="Times New Roman" w:eastAsia="Times New Roman" w:hAnsi="Times New Roman" w:cs="Times New Roman"/>
                <w:noProof/>
              </w:rPr>
              <w:t>3.7 Techniques and Tools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_Toc235394996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67</w:t>
            </w:r>
            <w:r w:rsidRPr="006B3655">
              <w:rPr>
                <w:rFonts w:ascii="Times New Roman" w:hAnsi="Times New Roman" w:cs="Times New Roman"/>
                <w:noProof/>
                <w:webHidden/>
              </w:rPr>
              <w:fldChar w:fldCharType="end"/>
            </w:r>
          </w:hyperlink>
        </w:p>
        <w:p w14:paraId="536EEE69" w14:textId="4F3B624F" w:rsidR="006B3655" w:rsidRPr="006B3655" w:rsidRDefault="006B3655">
          <w:pPr>
            <w:pStyle w:val="TOC3"/>
            <w:tabs>
              <w:tab w:val="right" w:leader="dot" w:pos="9350"/>
            </w:tabs>
            <w:rPr>
              <w:rFonts w:ascii="Times New Roman" w:eastAsiaTheme="minorEastAsia" w:hAnsi="Times New Roman" w:cs="Times New Roman"/>
              <w:noProof/>
            </w:rPr>
          </w:pPr>
          <w:hyperlink w:anchor="_Toc235394997" w:history="1">
            <w:r w:rsidRPr="006B3655">
              <w:rPr>
                <w:rStyle w:val="Hyperlink"/>
                <w:rFonts w:ascii="Times New Roman" w:hAnsi="Times New Roman" w:cs="Times New Roman"/>
                <w:noProof/>
              </w:rPr>
              <w:t>3.7.1 Platform and Containerization</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_Toc235394997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67</w:t>
            </w:r>
            <w:r w:rsidRPr="006B3655">
              <w:rPr>
                <w:rFonts w:ascii="Times New Roman" w:hAnsi="Times New Roman" w:cs="Times New Roman"/>
                <w:noProof/>
                <w:webHidden/>
              </w:rPr>
              <w:fldChar w:fldCharType="end"/>
            </w:r>
          </w:hyperlink>
        </w:p>
        <w:p w14:paraId="61BD1C17" w14:textId="4ACB63EE" w:rsidR="006B3655" w:rsidRPr="006B3655" w:rsidRDefault="006B3655">
          <w:pPr>
            <w:pStyle w:val="TOC3"/>
            <w:tabs>
              <w:tab w:val="right" w:leader="dot" w:pos="9350"/>
            </w:tabs>
            <w:rPr>
              <w:rFonts w:ascii="Times New Roman" w:eastAsiaTheme="minorEastAsia" w:hAnsi="Times New Roman" w:cs="Times New Roman"/>
              <w:noProof/>
            </w:rPr>
          </w:pPr>
          <w:hyperlink w:anchor="_Toc235394998" w:history="1">
            <w:r w:rsidRPr="006B3655">
              <w:rPr>
                <w:rStyle w:val="Hyperlink"/>
                <w:rFonts w:ascii="Times New Roman" w:hAnsi="Times New Roman" w:cs="Times New Roman"/>
                <w:noProof/>
              </w:rPr>
              <w:t>3.7.2 Data Normalization: Elastic Common Schema</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_Toc235394998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69</w:t>
            </w:r>
            <w:r w:rsidRPr="006B3655">
              <w:rPr>
                <w:rFonts w:ascii="Times New Roman" w:hAnsi="Times New Roman" w:cs="Times New Roman"/>
                <w:noProof/>
                <w:webHidden/>
              </w:rPr>
              <w:fldChar w:fldCharType="end"/>
            </w:r>
          </w:hyperlink>
        </w:p>
        <w:p w14:paraId="2EEB986A" w14:textId="6F17DF22" w:rsidR="006B3655" w:rsidRPr="006B3655" w:rsidRDefault="006B3655">
          <w:pPr>
            <w:pStyle w:val="TOC3"/>
            <w:tabs>
              <w:tab w:val="right" w:leader="dot" w:pos="9350"/>
            </w:tabs>
            <w:rPr>
              <w:rFonts w:ascii="Times New Roman" w:eastAsiaTheme="minorEastAsia" w:hAnsi="Times New Roman" w:cs="Times New Roman"/>
              <w:noProof/>
            </w:rPr>
          </w:pPr>
          <w:hyperlink w:anchor="_Toc235394999" w:history="1">
            <w:r w:rsidRPr="006B3655">
              <w:rPr>
                <w:rStyle w:val="Hyperlink"/>
                <w:rFonts w:ascii="Times New Roman" w:hAnsi="Times New Roman" w:cs="Times New Roman"/>
                <w:noProof/>
              </w:rPr>
              <w:t>3.7.3 Aggregation, Correlation, and Visualization Logic</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_Toc235394999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69</w:t>
            </w:r>
            <w:r w:rsidRPr="006B3655">
              <w:rPr>
                <w:rFonts w:ascii="Times New Roman" w:hAnsi="Times New Roman" w:cs="Times New Roman"/>
                <w:noProof/>
                <w:webHidden/>
              </w:rPr>
              <w:fldChar w:fldCharType="end"/>
            </w:r>
          </w:hyperlink>
        </w:p>
        <w:p w14:paraId="1F42F03A" w14:textId="575E8E18" w:rsidR="006B3655" w:rsidRPr="006B3655" w:rsidRDefault="006B3655">
          <w:pPr>
            <w:pStyle w:val="TOC3"/>
            <w:tabs>
              <w:tab w:val="right" w:leader="dot" w:pos="9350"/>
            </w:tabs>
            <w:rPr>
              <w:rFonts w:ascii="Times New Roman" w:eastAsiaTheme="minorEastAsia" w:hAnsi="Times New Roman" w:cs="Times New Roman"/>
              <w:noProof/>
            </w:rPr>
          </w:pPr>
          <w:hyperlink w:anchor="_Toc235395000" w:history="1">
            <w:r w:rsidRPr="006B3655">
              <w:rPr>
                <w:rStyle w:val="Hyperlink"/>
                <w:rFonts w:ascii="Times New Roman" w:hAnsi="Times New Roman" w:cs="Times New Roman"/>
                <w:noProof/>
              </w:rPr>
              <w:t>3.7.4 The PII Context Framework</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_Toc235395000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70</w:t>
            </w:r>
            <w:r w:rsidRPr="006B3655">
              <w:rPr>
                <w:rFonts w:ascii="Times New Roman" w:hAnsi="Times New Roman" w:cs="Times New Roman"/>
                <w:noProof/>
                <w:webHidden/>
              </w:rPr>
              <w:fldChar w:fldCharType="end"/>
            </w:r>
          </w:hyperlink>
        </w:p>
        <w:p w14:paraId="6606B31D" w14:textId="3E31BB0F" w:rsidR="006B3655" w:rsidRPr="006B3655" w:rsidRDefault="006B3655">
          <w:pPr>
            <w:pStyle w:val="TOC2"/>
            <w:rPr>
              <w:rFonts w:ascii="Times New Roman" w:eastAsiaTheme="minorEastAsia" w:hAnsi="Times New Roman" w:cs="Times New Roman"/>
              <w:noProof/>
            </w:rPr>
          </w:pPr>
          <w:hyperlink w:anchor="_Toc235395001" w:history="1">
            <w:r w:rsidRPr="006B3655">
              <w:rPr>
                <w:rStyle w:val="Hyperlink"/>
                <w:rFonts w:ascii="Times New Roman" w:eastAsia="Times New Roman" w:hAnsi="Times New Roman" w:cs="Times New Roman"/>
                <w:noProof/>
              </w:rPr>
              <w:t>3.8 Testing Procedures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_Toc235395001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72</w:t>
            </w:r>
            <w:r w:rsidRPr="006B3655">
              <w:rPr>
                <w:rFonts w:ascii="Times New Roman" w:hAnsi="Times New Roman" w:cs="Times New Roman"/>
                <w:noProof/>
                <w:webHidden/>
              </w:rPr>
              <w:fldChar w:fldCharType="end"/>
            </w:r>
          </w:hyperlink>
        </w:p>
        <w:p w14:paraId="2A125BC5" w14:textId="3F9B4296" w:rsidR="006B3655" w:rsidRPr="006B3655" w:rsidRDefault="006B3655">
          <w:pPr>
            <w:pStyle w:val="TOC3"/>
            <w:tabs>
              <w:tab w:val="right" w:leader="dot" w:pos="9350"/>
            </w:tabs>
            <w:rPr>
              <w:rFonts w:ascii="Times New Roman" w:eastAsiaTheme="minorEastAsia" w:hAnsi="Times New Roman" w:cs="Times New Roman"/>
              <w:noProof/>
            </w:rPr>
          </w:pPr>
          <w:hyperlink w:anchor="_Toc235395002" w:history="1">
            <w:r w:rsidRPr="006B3655">
              <w:rPr>
                <w:rStyle w:val="Hyperlink"/>
                <w:rFonts w:ascii="Times New Roman" w:hAnsi="Times New Roman" w:cs="Times New Roman"/>
                <w:noProof/>
              </w:rPr>
              <w:t>3.8.1 Baseline Establishment and Enriched Execution</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_Toc235395002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72</w:t>
            </w:r>
            <w:r w:rsidRPr="006B3655">
              <w:rPr>
                <w:rFonts w:ascii="Times New Roman" w:hAnsi="Times New Roman" w:cs="Times New Roman"/>
                <w:noProof/>
                <w:webHidden/>
              </w:rPr>
              <w:fldChar w:fldCharType="end"/>
            </w:r>
          </w:hyperlink>
        </w:p>
        <w:p w14:paraId="1D574E30" w14:textId="06410AF3" w:rsidR="006B3655" w:rsidRPr="006B3655" w:rsidRDefault="006B3655">
          <w:pPr>
            <w:pStyle w:val="TOC3"/>
            <w:tabs>
              <w:tab w:val="right" w:leader="dot" w:pos="9350"/>
            </w:tabs>
            <w:rPr>
              <w:rFonts w:ascii="Times New Roman" w:eastAsiaTheme="minorEastAsia" w:hAnsi="Times New Roman" w:cs="Times New Roman"/>
              <w:noProof/>
            </w:rPr>
          </w:pPr>
          <w:hyperlink w:anchor="_Toc235395003" w:history="1">
            <w:r w:rsidRPr="006B3655">
              <w:rPr>
                <w:rStyle w:val="Hyperlink"/>
                <w:rFonts w:ascii="Times New Roman" w:hAnsi="Times New Roman" w:cs="Times New Roman"/>
                <w:noProof/>
              </w:rPr>
              <w:t>3.8.2 Primary Performance Metrics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_Toc235395003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74</w:t>
            </w:r>
            <w:r w:rsidRPr="006B3655">
              <w:rPr>
                <w:rFonts w:ascii="Times New Roman" w:hAnsi="Times New Roman" w:cs="Times New Roman"/>
                <w:noProof/>
                <w:webHidden/>
              </w:rPr>
              <w:fldChar w:fldCharType="end"/>
            </w:r>
          </w:hyperlink>
        </w:p>
        <w:p w14:paraId="395F5510" w14:textId="28243369" w:rsidR="006B3655" w:rsidRPr="006B3655" w:rsidRDefault="006B3655">
          <w:pPr>
            <w:pStyle w:val="TOC3"/>
            <w:tabs>
              <w:tab w:val="right" w:leader="dot" w:pos="9350"/>
            </w:tabs>
            <w:rPr>
              <w:rFonts w:ascii="Times New Roman" w:eastAsiaTheme="minorEastAsia" w:hAnsi="Times New Roman" w:cs="Times New Roman"/>
              <w:noProof/>
            </w:rPr>
          </w:pPr>
          <w:hyperlink w:anchor="_Toc235395004" w:history="1">
            <w:r w:rsidRPr="006B3655">
              <w:rPr>
                <w:rStyle w:val="Hyperlink"/>
                <w:rFonts w:ascii="Times New Roman" w:hAnsi="Times New Roman" w:cs="Times New Roman"/>
                <w:noProof/>
              </w:rPr>
              <w:t>3.8.3 Secondary Validation Metrics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_Toc235395004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75</w:t>
            </w:r>
            <w:r w:rsidRPr="006B3655">
              <w:rPr>
                <w:rFonts w:ascii="Times New Roman" w:hAnsi="Times New Roman" w:cs="Times New Roman"/>
                <w:noProof/>
                <w:webHidden/>
              </w:rPr>
              <w:fldChar w:fldCharType="end"/>
            </w:r>
          </w:hyperlink>
        </w:p>
        <w:p w14:paraId="194F278C" w14:textId="7AA6A52B" w:rsidR="006B3655" w:rsidRPr="006B3655" w:rsidRDefault="006B3655">
          <w:pPr>
            <w:pStyle w:val="TOC3"/>
            <w:tabs>
              <w:tab w:val="right" w:leader="dot" w:pos="9350"/>
            </w:tabs>
            <w:rPr>
              <w:rFonts w:ascii="Times New Roman" w:eastAsiaTheme="minorEastAsia" w:hAnsi="Times New Roman" w:cs="Times New Roman"/>
              <w:noProof/>
            </w:rPr>
          </w:pPr>
          <w:hyperlink w:anchor="_Toc235395005" w:history="1">
            <w:r w:rsidRPr="006B3655">
              <w:rPr>
                <w:rStyle w:val="Hyperlink"/>
                <w:rFonts w:ascii="Times New Roman" w:hAnsi="Times New Roman" w:cs="Times New Roman"/>
                <w:noProof/>
              </w:rPr>
              <w:t>3.8.4 Statistical Analysis Approach</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_Toc235395005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75</w:t>
            </w:r>
            <w:r w:rsidRPr="006B3655">
              <w:rPr>
                <w:rFonts w:ascii="Times New Roman" w:hAnsi="Times New Roman" w:cs="Times New Roman"/>
                <w:noProof/>
                <w:webHidden/>
              </w:rPr>
              <w:fldChar w:fldCharType="end"/>
            </w:r>
          </w:hyperlink>
        </w:p>
        <w:p w14:paraId="0CACEC72" w14:textId="42D0943A" w:rsidR="006B3655" w:rsidRPr="006B3655" w:rsidRDefault="006B3655">
          <w:pPr>
            <w:pStyle w:val="TOC2"/>
            <w:rPr>
              <w:rFonts w:ascii="Times New Roman" w:eastAsiaTheme="minorEastAsia" w:hAnsi="Times New Roman" w:cs="Times New Roman"/>
              <w:noProof/>
            </w:rPr>
          </w:pPr>
          <w:hyperlink w:anchor="_Toc235395006" w:history="1">
            <w:r w:rsidRPr="006B3655">
              <w:rPr>
                <w:rStyle w:val="Hyperlink"/>
                <w:rFonts w:ascii="Times New Roman" w:eastAsia="Times New Roman" w:hAnsi="Times New Roman" w:cs="Times New Roman"/>
                <w:noProof/>
              </w:rPr>
              <w:t>3.9 Ethical Considerations and Research Limitations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_Toc235395006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76</w:t>
            </w:r>
            <w:r w:rsidRPr="006B3655">
              <w:rPr>
                <w:rFonts w:ascii="Times New Roman" w:hAnsi="Times New Roman" w:cs="Times New Roman"/>
                <w:noProof/>
                <w:webHidden/>
              </w:rPr>
              <w:fldChar w:fldCharType="end"/>
            </w:r>
          </w:hyperlink>
        </w:p>
        <w:p w14:paraId="60F788EF" w14:textId="05729C35" w:rsidR="006B3655" w:rsidRPr="006B3655" w:rsidRDefault="006B3655">
          <w:pPr>
            <w:pStyle w:val="TOC3"/>
            <w:tabs>
              <w:tab w:val="right" w:leader="dot" w:pos="9350"/>
            </w:tabs>
            <w:rPr>
              <w:rFonts w:ascii="Times New Roman" w:eastAsiaTheme="minorEastAsia" w:hAnsi="Times New Roman" w:cs="Times New Roman"/>
              <w:noProof/>
            </w:rPr>
          </w:pPr>
          <w:hyperlink w:anchor="_Toc235395007" w:history="1">
            <w:r w:rsidRPr="006B3655">
              <w:rPr>
                <w:rStyle w:val="Hyperlink"/>
                <w:rFonts w:ascii="Times New Roman" w:hAnsi="Times New Roman" w:cs="Times New Roman"/>
                <w:noProof/>
              </w:rPr>
              <w:t>3.9.1 Research Limitations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_Toc235395007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76</w:t>
            </w:r>
            <w:r w:rsidRPr="006B3655">
              <w:rPr>
                <w:rFonts w:ascii="Times New Roman" w:hAnsi="Times New Roman" w:cs="Times New Roman"/>
                <w:noProof/>
                <w:webHidden/>
              </w:rPr>
              <w:fldChar w:fldCharType="end"/>
            </w:r>
          </w:hyperlink>
        </w:p>
        <w:p w14:paraId="134D2985" w14:textId="47F860D3" w:rsidR="006B3655" w:rsidRPr="006B3655" w:rsidRDefault="006B3655">
          <w:pPr>
            <w:pStyle w:val="TOC2"/>
            <w:rPr>
              <w:rFonts w:ascii="Times New Roman" w:eastAsiaTheme="minorEastAsia" w:hAnsi="Times New Roman" w:cs="Times New Roman"/>
              <w:noProof/>
            </w:rPr>
          </w:pPr>
          <w:hyperlink w:anchor="_Toc235395008" w:history="1">
            <w:r w:rsidRPr="006B3655">
              <w:rPr>
                <w:rStyle w:val="Hyperlink"/>
                <w:rFonts w:ascii="Times New Roman" w:eastAsia="Times New Roman" w:hAnsi="Times New Roman" w:cs="Times New Roman"/>
                <w:noProof/>
              </w:rPr>
              <w:t>3.10 Chapter Summary</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_Toc235395008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77</w:t>
            </w:r>
            <w:r w:rsidRPr="006B3655">
              <w:rPr>
                <w:rFonts w:ascii="Times New Roman" w:hAnsi="Times New Roman" w:cs="Times New Roman"/>
                <w:noProof/>
                <w:webHidden/>
              </w:rPr>
              <w:fldChar w:fldCharType="end"/>
            </w:r>
          </w:hyperlink>
        </w:p>
        <w:p w14:paraId="123E8DFD" w14:textId="149BCFB7" w:rsidR="006B3655" w:rsidRDefault="006B3655">
          <w:pPr>
            <w:pStyle w:val="TOC1"/>
            <w:tabs>
              <w:tab w:val="right" w:leader="dot" w:pos="9350"/>
            </w:tabs>
            <w:rPr>
              <w:rFonts w:eastAsiaTheme="minorEastAsia"/>
              <w:noProof/>
            </w:rPr>
          </w:pPr>
          <w:hyperlink w:anchor="_Toc235395009" w:history="1">
            <w:r w:rsidRPr="006B3655">
              <w:rPr>
                <w:rStyle w:val="Hyperlink"/>
                <w:rFonts w:ascii="Times New Roman" w:eastAsia="Times New Roman" w:hAnsi="Times New Roman" w:cs="Times New Roman"/>
                <w:noProof/>
              </w:rPr>
              <w:t>References</w:t>
            </w:r>
            <w:r w:rsidRPr="006B3655">
              <w:rPr>
                <w:rFonts w:ascii="Times New Roman" w:hAnsi="Times New Roman" w:cs="Times New Roman"/>
                <w:noProof/>
                <w:webHidden/>
              </w:rPr>
              <w:tab/>
            </w:r>
            <w:r w:rsidRPr="006B3655">
              <w:rPr>
                <w:rFonts w:ascii="Times New Roman" w:hAnsi="Times New Roman" w:cs="Times New Roman"/>
                <w:noProof/>
                <w:webHidden/>
              </w:rPr>
              <w:fldChar w:fldCharType="begin"/>
            </w:r>
            <w:r w:rsidRPr="006B3655">
              <w:rPr>
                <w:rFonts w:ascii="Times New Roman" w:hAnsi="Times New Roman" w:cs="Times New Roman"/>
                <w:noProof/>
                <w:webHidden/>
              </w:rPr>
              <w:instrText xml:space="preserve"> PAGEREF _Toc235395009 \h </w:instrText>
            </w:r>
            <w:r w:rsidRPr="006B3655">
              <w:rPr>
                <w:rFonts w:ascii="Times New Roman" w:hAnsi="Times New Roman" w:cs="Times New Roman"/>
                <w:noProof/>
                <w:webHidden/>
              </w:rPr>
            </w:r>
            <w:r w:rsidRPr="006B3655">
              <w:rPr>
                <w:rFonts w:ascii="Times New Roman" w:hAnsi="Times New Roman" w:cs="Times New Roman"/>
                <w:noProof/>
                <w:webHidden/>
              </w:rPr>
              <w:fldChar w:fldCharType="separate"/>
            </w:r>
            <w:r w:rsidRPr="006B3655">
              <w:rPr>
                <w:rFonts w:ascii="Times New Roman" w:hAnsi="Times New Roman" w:cs="Times New Roman"/>
                <w:noProof/>
                <w:webHidden/>
              </w:rPr>
              <w:t>79</w:t>
            </w:r>
            <w:r w:rsidRPr="006B3655">
              <w:rPr>
                <w:rFonts w:ascii="Times New Roman" w:hAnsi="Times New Roman" w:cs="Times New Roman"/>
                <w:noProof/>
                <w:webHidden/>
              </w:rPr>
              <w:fldChar w:fldCharType="end"/>
            </w:r>
          </w:hyperlink>
        </w:p>
        <w:p w14:paraId="792D89F3" w14:textId="04D9DF02" w:rsidR="00926CB9" w:rsidRPr="00C92967" w:rsidRDefault="005942A8">
          <w:pPr>
            <w:rPr>
              <w:rFonts w:ascii="Times New Roman" w:hAnsi="Times New Roman" w:cs="Times New Roman"/>
              <w:b/>
              <w:bCs/>
              <w:noProof/>
            </w:rPr>
          </w:pPr>
          <w:r>
            <w:rPr>
              <w:rFonts w:ascii="Times New Roman" w:hAnsi="Times New Roman" w:cs="Times New Roman"/>
              <w:b/>
              <w:bCs/>
              <w:noProof/>
            </w:rPr>
            <w:fldChar w:fldCharType="end"/>
          </w:r>
        </w:p>
      </w:sdtContent>
    </w:sdt>
    <w:p w14:paraId="63122284" w14:textId="77777777" w:rsidR="00926CB9" w:rsidRDefault="00926CB9" w:rsidP="00267887">
      <w:pPr>
        <w:rPr>
          <w:rFonts w:ascii="Times New Roman" w:hAnsi="Times New Roman" w:cs="Times New Roman"/>
          <w:i/>
          <w:iCs/>
        </w:rPr>
      </w:pPr>
      <w:r>
        <w:rPr>
          <w:rFonts w:ascii="Times New Roman" w:hAnsi="Times New Roman" w:cs="Times New Roman"/>
          <w:b/>
          <w:bCs/>
          <w:noProof/>
        </w:rPr>
        <w:br w:type="page"/>
      </w:r>
      <w:r>
        <w:rPr>
          <w:rFonts w:ascii="Times New Roman" w:hAnsi="Times New Roman" w:cs="Times New Roman"/>
        </w:rPr>
        <w:lastRenderedPageBreak/>
        <w:t xml:space="preserve">List of Tables </w:t>
      </w:r>
      <w:r>
        <w:rPr>
          <w:rFonts w:ascii="Times New Roman" w:hAnsi="Times New Roman" w:cs="Times New Roman"/>
          <w:i/>
          <w:iCs/>
        </w:rPr>
        <w:t xml:space="preserve">(Required if there are tables) </w:t>
      </w:r>
    </w:p>
    <w:p w14:paraId="49C309E1" w14:textId="77777777" w:rsidR="006A7B16" w:rsidRDefault="006A7B16" w:rsidP="006A7B16">
      <w:pPr>
        <w:spacing w:after="0" w:line="240" w:lineRule="auto"/>
      </w:pPr>
    </w:p>
    <w:p w14:paraId="5A5ED41A" w14:textId="77777777" w:rsidR="006A7B16" w:rsidRPr="006A7B16" w:rsidRDefault="006A7B16" w:rsidP="006A7B16">
      <w:pPr>
        <w:spacing w:after="0" w:line="240" w:lineRule="auto"/>
      </w:pPr>
    </w:p>
    <w:p w14:paraId="02FBE1B6" w14:textId="77777777" w:rsidR="00926CB9" w:rsidRDefault="00926CB9" w:rsidP="006A7B16">
      <w:pPr>
        <w:pStyle w:val="Heading1"/>
        <w:spacing w:before="0" w:after="0"/>
        <w:rPr>
          <w:rFonts w:ascii="Times New Roman" w:hAnsi="Times New Roman" w:cs="Times New Roman"/>
          <w:sz w:val="24"/>
          <w:szCs w:val="24"/>
        </w:rPr>
      </w:pPr>
      <w:bookmarkStart w:id="0" w:name="_Toc228742699"/>
      <w:bookmarkStart w:id="1" w:name="_Toc228742772"/>
      <w:bookmarkStart w:id="2" w:name="_Toc235394937"/>
      <w:r>
        <w:rPr>
          <w:rFonts w:ascii="Times New Roman" w:hAnsi="Times New Roman" w:cs="Times New Roman"/>
          <w:sz w:val="24"/>
          <w:szCs w:val="24"/>
        </w:rPr>
        <w:t>Table 1…………………………………….……………………………………………</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1</w:t>
      </w:r>
      <w:bookmarkEnd w:id="0"/>
      <w:bookmarkEnd w:id="1"/>
      <w:bookmarkEnd w:id="2"/>
      <w:r>
        <w:rPr>
          <w:rFonts w:ascii="Times New Roman" w:hAnsi="Times New Roman" w:cs="Times New Roman"/>
          <w:sz w:val="24"/>
          <w:szCs w:val="24"/>
        </w:rPr>
        <w:t xml:space="preserve"> </w:t>
      </w:r>
    </w:p>
    <w:p w14:paraId="140EA4B0" w14:textId="77777777" w:rsidR="006A7B16" w:rsidRPr="006A7B16" w:rsidRDefault="006A7B16" w:rsidP="006A7B16">
      <w:pPr>
        <w:spacing w:after="0" w:line="240" w:lineRule="auto"/>
      </w:pPr>
    </w:p>
    <w:p w14:paraId="10D0B5CE" w14:textId="77777777" w:rsidR="00926CB9" w:rsidRDefault="00926CB9" w:rsidP="006A7B16">
      <w:pPr>
        <w:pStyle w:val="Heading1"/>
        <w:spacing w:before="0" w:after="0"/>
        <w:rPr>
          <w:rFonts w:ascii="Times New Roman" w:hAnsi="Times New Roman" w:cs="Times New Roman"/>
          <w:sz w:val="24"/>
          <w:szCs w:val="24"/>
        </w:rPr>
      </w:pPr>
      <w:bookmarkStart w:id="3" w:name="_Toc228742700"/>
      <w:bookmarkStart w:id="4" w:name="_Toc228742773"/>
      <w:bookmarkStart w:id="5" w:name="_Toc235394938"/>
      <w:r>
        <w:rPr>
          <w:rFonts w:ascii="Times New Roman" w:hAnsi="Times New Roman" w:cs="Times New Roman"/>
          <w:sz w:val="24"/>
          <w:szCs w:val="24"/>
        </w:rPr>
        <w:t>Table 2………</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…………………………………………………………………………2</w:t>
      </w:r>
      <w:bookmarkEnd w:id="3"/>
      <w:bookmarkEnd w:id="4"/>
      <w:bookmarkEnd w:id="5"/>
      <w:r>
        <w:rPr>
          <w:rFonts w:ascii="Times New Roman" w:hAnsi="Times New Roman" w:cs="Times New Roman"/>
          <w:sz w:val="24"/>
          <w:szCs w:val="24"/>
        </w:rPr>
        <w:t xml:space="preserve"> </w:t>
      </w:r>
    </w:p>
    <w:p w14:paraId="31DB5D5A" w14:textId="77777777" w:rsidR="006A7B16" w:rsidRPr="006A7B16" w:rsidRDefault="006A7B16" w:rsidP="006A7B16">
      <w:pPr>
        <w:spacing w:after="0" w:line="240" w:lineRule="auto"/>
      </w:pPr>
    </w:p>
    <w:p w14:paraId="47992468" w14:textId="77777777" w:rsidR="007373E3" w:rsidRDefault="00926CB9" w:rsidP="006A7B16">
      <w:pPr>
        <w:pStyle w:val="Heading1"/>
        <w:spacing w:before="0" w:after="0"/>
        <w:rPr>
          <w:rFonts w:ascii="Times New Roman" w:hAnsi="Times New Roman" w:cs="Times New Roman"/>
          <w:sz w:val="24"/>
          <w:szCs w:val="24"/>
        </w:rPr>
      </w:pPr>
      <w:bookmarkStart w:id="6" w:name="_Toc228742701"/>
      <w:bookmarkStart w:id="7" w:name="_Toc228742774"/>
      <w:bookmarkStart w:id="8" w:name="_Toc235394939"/>
      <w:r>
        <w:rPr>
          <w:rFonts w:ascii="Times New Roman" w:hAnsi="Times New Roman" w:cs="Times New Roman"/>
          <w:sz w:val="24"/>
          <w:szCs w:val="24"/>
        </w:rPr>
        <w:t>Table 3…………...…………………………………………………………………………3</w:t>
      </w:r>
      <w:bookmarkEnd w:id="6"/>
      <w:bookmarkEnd w:id="7"/>
      <w:bookmarkEnd w:id="8"/>
    </w:p>
    <w:p w14:paraId="59167409" w14:textId="77777777" w:rsidR="007373E3" w:rsidRDefault="007373E3">
      <w:pPr>
        <w:rPr>
          <w:rFonts w:ascii="Times New Roman" w:eastAsiaTheme="majorEastAsia" w:hAnsi="Times New Roman" w:cs="Times New Roman"/>
          <w:b/>
          <w:bCs/>
          <w:color w:val="000000" w:themeColor="text1"/>
        </w:rPr>
      </w:pPr>
      <w:r>
        <w:rPr>
          <w:rFonts w:ascii="Times New Roman" w:hAnsi="Times New Roman" w:cs="Times New Roman"/>
        </w:rPr>
        <w:br w:type="page"/>
      </w:r>
    </w:p>
    <w:p w14:paraId="4D6E5755" w14:textId="77777777" w:rsidR="007373E3" w:rsidRDefault="007373E3" w:rsidP="006A7B16">
      <w:pPr>
        <w:pStyle w:val="Heading1"/>
        <w:spacing w:before="0" w:after="0"/>
        <w:rPr>
          <w:rFonts w:ascii="Times New Roman" w:hAnsi="Times New Roman" w:cs="Times New Roman"/>
          <w:i/>
          <w:iCs/>
          <w:sz w:val="24"/>
          <w:szCs w:val="24"/>
        </w:rPr>
      </w:pPr>
      <w:bookmarkStart w:id="9" w:name="_Toc228742702"/>
      <w:bookmarkStart w:id="10" w:name="_Toc228742775"/>
      <w:bookmarkStart w:id="11" w:name="_Toc235394940"/>
      <w:r>
        <w:rPr>
          <w:rFonts w:ascii="Times New Roman" w:hAnsi="Times New Roman" w:cs="Times New Roman"/>
          <w:sz w:val="24"/>
          <w:szCs w:val="24"/>
        </w:rPr>
        <w:lastRenderedPageBreak/>
        <w:t xml:space="preserve">Glossary of Terms </w:t>
      </w:r>
      <w:r>
        <w:rPr>
          <w:rFonts w:ascii="Times New Roman" w:hAnsi="Times New Roman" w:cs="Times New Roman"/>
          <w:i/>
          <w:iCs/>
          <w:sz w:val="24"/>
          <w:szCs w:val="24"/>
        </w:rPr>
        <w:t>(Optional)</w:t>
      </w:r>
      <w:bookmarkEnd w:id="9"/>
      <w:bookmarkEnd w:id="10"/>
      <w:bookmarkEnd w:id="11"/>
      <w:r>
        <w:rPr>
          <w:rFonts w:ascii="Times New Roman" w:hAnsi="Times New Roman" w:cs="Times New Roman"/>
          <w:i/>
          <w:iCs/>
          <w:sz w:val="24"/>
          <w:szCs w:val="24"/>
        </w:rPr>
        <w:t xml:space="preserve"> </w:t>
      </w:r>
    </w:p>
    <w:p w14:paraId="1D193E75" w14:textId="77777777" w:rsidR="006A7B16" w:rsidRDefault="006A7B16" w:rsidP="006A7B16">
      <w:pPr>
        <w:spacing w:after="0" w:line="240" w:lineRule="auto"/>
      </w:pPr>
    </w:p>
    <w:p w14:paraId="6C7DDB87" w14:textId="77777777" w:rsidR="006A7B16" w:rsidRPr="006A7B16" w:rsidRDefault="006A7B16" w:rsidP="006A7B16">
      <w:pPr>
        <w:spacing w:after="0" w:line="240" w:lineRule="auto"/>
      </w:pPr>
    </w:p>
    <w:p w14:paraId="335BBFC2" w14:textId="77777777" w:rsidR="007373E3" w:rsidRDefault="007373E3" w:rsidP="006A7B16">
      <w:pPr>
        <w:pStyle w:val="Heading1"/>
        <w:spacing w:before="0" w:after="0"/>
        <w:jc w:val="left"/>
        <w:rPr>
          <w:rFonts w:ascii="Times New Roman" w:hAnsi="Times New Roman" w:cs="Times New Roman"/>
          <w:sz w:val="24"/>
          <w:szCs w:val="24"/>
        </w:rPr>
      </w:pPr>
      <w:bookmarkStart w:id="12" w:name="_Toc228742703"/>
      <w:bookmarkStart w:id="13" w:name="_Toc228742776"/>
      <w:bookmarkStart w:id="14" w:name="_Toc235394941"/>
      <w:r>
        <w:rPr>
          <w:rFonts w:ascii="Times New Roman" w:hAnsi="Times New Roman" w:cs="Times New Roman"/>
          <w:sz w:val="24"/>
          <w:szCs w:val="24"/>
        </w:rPr>
        <w:t>Term 1: Start Definition here</w:t>
      </w:r>
      <w:bookmarkEnd w:id="12"/>
      <w:bookmarkEnd w:id="13"/>
      <w:bookmarkEnd w:id="14"/>
      <w:r>
        <w:rPr>
          <w:rFonts w:ascii="Times New Roman" w:hAnsi="Times New Roman" w:cs="Times New Roman"/>
          <w:sz w:val="24"/>
          <w:szCs w:val="24"/>
        </w:rPr>
        <w:t xml:space="preserve"> </w:t>
      </w:r>
    </w:p>
    <w:p w14:paraId="61D836BD" w14:textId="77777777" w:rsidR="006A7B16" w:rsidRPr="006A7B16" w:rsidRDefault="006A7B16" w:rsidP="006A7B16">
      <w:pPr>
        <w:spacing w:after="0" w:line="240" w:lineRule="auto"/>
      </w:pPr>
    </w:p>
    <w:p w14:paraId="3EB8D284" w14:textId="77777777" w:rsidR="007373E3" w:rsidRDefault="007373E3" w:rsidP="006A7B16">
      <w:pPr>
        <w:pStyle w:val="Heading1"/>
        <w:spacing w:before="0" w:after="0"/>
        <w:jc w:val="left"/>
        <w:rPr>
          <w:rFonts w:ascii="Times New Roman" w:hAnsi="Times New Roman" w:cs="Times New Roman"/>
          <w:sz w:val="24"/>
          <w:szCs w:val="24"/>
        </w:rPr>
        <w:sectPr w:rsidR="007373E3" w:rsidSect="007373E3">
          <w:footerReference w:type="default" r:id="rId13"/>
          <w:footerReference w:type="first" r:id="rId14"/>
          <w:pgSz w:w="12240" w:h="15840"/>
          <w:pgMar w:top="1440" w:right="1440" w:bottom="1440" w:left="1440" w:header="720" w:footer="720" w:gutter="0"/>
          <w:pgNumType w:fmt="lowerRoman"/>
          <w:cols w:space="720"/>
          <w:titlePg/>
          <w:docGrid w:linePitch="360"/>
        </w:sectPr>
      </w:pPr>
      <w:bookmarkStart w:id="15" w:name="_Toc228742704"/>
      <w:bookmarkStart w:id="16" w:name="_Toc228742777"/>
      <w:bookmarkStart w:id="17" w:name="_Toc235394942"/>
      <w:r>
        <w:rPr>
          <w:rFonts w:ascii="Times New Roman" w:hAnsi="Times New Roman" w:cs="Times New Roman"/>
          <w:sz w:val="24"/>
          <w:szCs w:val="24"/>
        </w:rPr>
        <w:t>Term 2: Start Definition here</w:t>
      </w:r>
      <w:bookmarkEnd w:id="15"/>
      <w:bookmarkEnd w:id="16"/>
      <w:bookmarkEnd w:id="17"/>
    </w:p>
    <w:p w14:paraId="5370F455" w14:textId="77777777" w:rsidR="00EC3320" w:rsidRPr="00FF649F" w:rsidRDefault="007373E3" w:rsidP="00B57117">
      <w:pPr>
        <w:pStyle w:val="Heading1"/>
        <w:rPr>
          <w:rFonts w:ascii="Times New Roman" w:hAnsi="Times New Roman" w:cs="Times New Roman"/>
          <w:sz w:val="24"/>
          <w:szCs w:val="24"/>
        </w:rPr>
      </w:pPr>
      <w:bookmarkStart w:id="18" w:name="_Toc235394943"/>
      <w:r>
        <w:rPr>
          <w:rFonts w:ascii="Times New Roman" w:hAnsi="Times New Roman" w:cs="Times New Roman"/>
          <w:sz w:val="24"/>
          <w:szCs w:val="28"/>
        </w:rPr>
        <w:lastRenderedPageBreak/>
        <w:t>Chapter 1 - Introduction</w:t>
      </w:r>
      <w:bookmarkEnd w:id="18"/>
    </w:p>
    <w:p w14:paraId="2F5A4DAD" w14:textId="77777777" w:rsidR="00EC3320" w:rsidRPr="00FF649F" w:rsidRDefault="00EC3320" w:rsidP="00613613">
      <w:pPr>
        <w:rPr>
          <w:rFonts w:ascii="Times New Roman" w:hAnsi="Times New Roman" w:cs="Times New Roman"/>
          <w:b/>
          <w:bCs/>
        </w:rPr>
      </w:pPr>
    </w:p>
    <w:p w14:paraId="3662B5CC" w14:textId="77777777" w:rsidR="00E66F6D" w:rsidRPr="00FF649F" w:rsidRDefault="00E66F6D" w:rsidP="00613613">
      <w:pPr>
        <w:rPr>
          <w:rFonts w:ascii="Times New Roman" w:hAnsi="Times New Roman" w:cs="Times New Roman"/>
          <w:b/>
          <w:bCs/>
        </w:rPr>
      </w:pPr>
    </w:p>
    <w:p w14:paraId="03E525AF" w14:textId="77777777" w:rsidR="00613613" w:rsidRPr="00FF649F" w:rsidRDefault="00EC3320" w:rsidP="00B57117">
      <w:pPr>
        <w:pStyle w:val="Heading2"/>
        <w:rPr>
          <w:rFonts w:cs="Times New Roman"/>
          <w:szCs w:val="24"/>
        </w:rPr>
      </w:pPr>
      <w:bookmarkStart w:id="19" w:name="_Toc235394944"/>
      <w:r>
        <w:rPr>
          <w:rFonts w:cs="Times New Roman"/>
          <w:szCs w:val="24"/>
        </w:rPr>
        <w:t>1.1 Background and Research Motivation</w:t>
      </w:r>
      <w:bookmarkEnd w:id="19"/>
    </w:p>
    <w:p w14:paraId="08E3647F" w14:textId="711FA892" w:rsidR="00EC3320" w:rsidRPr="00F17123" w:rsidRDefault="00613613" w:rsidP="00CB152A">
      <w:pPr>
        <w:spacing w:line="480" w:lineRule="auto"/>
        <w:ind w:left="360"/>
        <w:rPr>
          <w:rFonts w:ascii="Times New Roman" w:hAnsi="Times New Roman" w:cs="Times New Roman"/>
        </w:rPr>
      </w:pPr>
      <w:r>
        <w:rPr>
          <w:rFonts w:ascii="Times New Roman" w:hAnsi="Times New Roman" w:cs="Times New Roman"/>
        </w:rPr>
        <w:t>Organizations acting as custodians for Personally Identifiable Information (PII), banking credentials, and Payment Card Industry (PCI) data now operate in a "</w:t>
      </w:r>
      <w:proofErr w:type="gramStart"/>
      <w:r>
        <w:rPr>
          <w:rFonts w:ascii="Times New Roman" w:hAnsi="Times New Roman" w:cs="Times New Roman"/>
        </w:rPr>
        <w:t>high-trust</w:t>
      </w:r>
      <w:proofErr w:type="gramEnd"/>
      <w:r>
        <w:rPr>
          <w:rFonts w:ascii="Times New Roman" w:hAnsi="Times New Roman" w:cs="Times New Roman"/>
        </w:rPr>
        <w:t xml:space="preserve">, </w:t>
      </w:r>
      <w:r w:rsidR="00E20C47">
        <w:rPr>
          <w:rFonts w:ascii="Times New Roman" w:hAnsi="Times New Roman" w:cs="Times New Roman"/>
        </w:rPr>
        <w:t xml:space="preserve">but </w:t>
      </w:r>
      <w:r>
        <w:rPr>
          <w:rFonts w:ascii="Times New Roman" w:hAnsi="Times New Roman" w:cs="Times New Roman"/>
        </w:rPr>
        <w:t xml:space="preserve">high-risk" environment. Organizations that use and store PII along with banking and payment card information are a top target for threat actors due to opportunities for financial gain. </w:t>
      </w:r>
    </w:p>
    <w:p w14:paraId="16931F46" w14:textId="51A1215B" w:rsidR="00EC3320" w:rsidRPr="00F17123" w:rsidRDefault="007B44F4" w:rsidP="00CB152A">
      <w:pPr>
        <w:spacing w:line="480" w:lineRule="auto"/>
        <w:ind w:left="360"/>
        <w:rPr>
          <w:rFonts w:ascii="Times New Roman" w:hAnsi="Times New Roman" w:cs="Times New Roman"/>
        </w:rPr>
      </w:pPr>
      <w:r>
        <w:rPr>
          <w:rFonts w:ascii="Times New Roman" w:hAnsi="Times New Roman" w:cs="Times New Roman"/>
        </w:rPr>
        <w:t>Even if pure financial gain isn’t the end goal, exploitation of vulnerabilities increased by 34% from 2024 to 2025. However, 28% of espionage actors are now seeking financial supplements alongside traditional state-driven goals (Verizon, 2025). North Korea alone has sustained their economy by stealing billions of dollars</w:t>
      </w:r>
      <w:r w:rsidR="00E20C47">
        <w:rPr>
          <w:rFonts w:ascii="Times New Roman" w:hAnsi="Times New Roman" w:cs="Times New Roman"/>
        </w:rPr>
        <w:t xml:space="preserve"> through cybercrime</w:t>
      </w:r>
      <w:r>
        <w:rPr>
          <w:rFonts w:ascii="Times New Roman" w:hAnsi="Times New Roman" w:cs="Times New Roman"/>
        </w:rPr>
        <w:t xml:space="preserve"> (ENISA, 2025). This shift suggests a blurring of lines between state-sponsored activity and high-end cybercrime. Studies across the U.S. and Europe confirm this trajectory, documenting "threats against data" (PII theft/leaks) as a top-tier concern, specifically with the financial sector positioned as the prime target (Klepper, 2025). The distinction between an independently operating threat actor groups and state-sponsored groups has blurred, as both often work together but also utilize the same Tools, Techniques and Procedures (TTPs) as part of Advanced Persistent Threat (APT) playbooks to target the financial sectors.</w:t>
      </w:r>
    </w:p>
    <w:p w14:paraId="252390AE" w14:textId="77777777" w:rsidR="00B34056" w:rsidRDefault="00797CD9" w:rsidP="00CB152A">
      <w:pPr>
        <w:spacing w:line="480" w:lineRule="auto"/>
        <w:ind w:left="360"/>
        <w:rPr>
          <w:rFonts w:ascii="Times New Roman" w:hAnsi="Times New Roman" w:cs="Times New Roman"/>
        </w:rPr>
      </w:pPr>
      <w:r>
        <w:rPr>
          <w:rFonts w:ascii="Times New Roman" w:hAnsi="Times New Roman" w:cs="Times New Roman"/>
        </w:rPr>
        <w:t xml:space="preserve">Financial Institutions have continued to add security capabilities, including new frameworks, such as Zero Trust Architectures (ZTA) to secure access to sensitive resources starting at the perimeter of the network (Dhanaraj, 2023). However, despite advancements in perimeter defense and overall improvements in security, customer PII remains the most compromised </w:t>
      </w:r>
      <w:r>
        <w:rPr>
          <w:rFonts w:ascii="Times New Roman" w:hAnsi="Times New Roman" w:cs="Times New Roman"/>
        </w:rPr>
        <w:lastRenderedPageBreak/>
        <w:t>ta type, appearing in 53% of all breaches (IBM Security &amp; Ponemon Institute, 2025). This persistent vulnerability highlights a critical "detection gap." While organizations are successful at logging massive amounts of telemetry, they often fail to correlate that data into actionable intelligence. The challenge is no longer just gathering data but intelligently filtering "synthetic" or noise-heavy attack data to identify the high-risk signals that precede a PII exfiltration event.</w:t>
      </w:r>
    </w:p>
    <w:p w14:paraId="60722B4A" w14:textId="77777777" w:rsidR="00B34056" w:rsidRPr="00F17123" w:rsidRDefault="004F6554" w:rsidP="00CB152A">
      <w:pPr>
        <w:spacing w:line="480" w:lineRule="auto"/>
        <w:ind w:left="360"/>
        <w:rPr>
          <w:rFonts w:ascii="Times New Roman" w:hAnsi="Times New Roman" w:cs="Times New Roman"/>
        </w:rPr>
      </w:pPr>
      <w:r>
        <w:rPr>
          <w:rFonts w:ascii="Times New Roman" w:hAnsi="Times New Roman" w:cs="Times New Roman"/>
        </w:rPr>
        <w:t xml:space="preserve">Security Operations Centers (SOC) often struggle with necessary visibility because PII is not a static category; rather, it exists as a complex spectrum of direct and indirect identifiers that require different levels of protection (Henry, 2025). While PII that is deemed sensitive (like SSNs or account numbers) is useful as a singular piece of important </w:t>
      </w:r>
      <w:proofErr w:type="gramStart"/>
      <w:r>
        <w:rPr>
          <w:rFonts w:ascii="Times New Roman" w:hAnsi="Times New Roman" w:cs="Times New Roman"/>
        </w:rPr>
        <w:t>data  for</w:t>
      </w:r>
      <w:proofErr w:type="gramEnd"/>
      <w:r>
        <w:rPr>
          <w:rFonts w:ascii="Times New Roman" w:hAnsi="Times New Roman" w:cs="Times New Roman"/>
        </w:rPr>
        <w:t xml:space="preserve"> attackers, what is deemed as non-sensitive PII (like known addresses, zip codes or social media handles) is often leveraged as additional context in order to produce a more advanced attack aiming to steal credentials or gain access to more sensitive financial data. This piecemeal approach by attackers makes it extraordinarily difficult for security teams to identify an attack campaign.   </w:t>
      </w:r>
    </w:p>
    <w:p w14:paraId="16F3AC0C" w14:textId="77777777" w:rsidR="00B34056" w:rsidRPr="00F17123" w:rsidRDefault="00B34056" w:rsidP="00B34056">
      <w:pPr>
        <w:ind w:left="360"/>
        <w:rPr>
          <w:rFonts w:ascii="Times New Roman" w:hAnsi="Times New Roman" w:cs="Times New Roman"/>
        </w:rPr>
      </w:pPr>
    </w:p>
    <w:p w14:paraId="1D1C0CFF" w14:textId="77777777" w:rsidR="005771D1" w:rsidRPr="00E66F6D" w:rsidRDefault="00B57117" w:rsidP="00B57117">
      <w:pPr>
        <w:pStyle w:val="Heading2"/>
        <w:rPr>
          <w:rFonts w:cs="Times New Roman"/>
          <w:szCs w:val="28"/>
        </w:rPr>
      </w:pPr>
      <w:bookmarkStart w:id="20" w:name="_Toc235394945"/>
      <w:r>
        <w:rPr>
          <w:rFonts w:cs="Times New Roman"/>
          <w:szCs w:val="28"/>
        </w:rPr>
        <w:t>1.2 Problem Statement</w:t>
      </w:r>
      <w:bookmarkEnd w:id="20"/>
    </w:p>
    <w:p w14:paraId="582B54CC" w14:textId="77777777" w:rsidR="006373DD" w:rsidRDefault="006373DD" w:rsidP="00CB152A">
      <w:pPr>
        <w:tabs>
          <w:tab w:val="left" w:pos="360"/>
        </w:tabs>
        <w:spacing w:line="480" w:lineRule="auto"/>
        <w:ind w:left="360"/>
        <w:rPr>
          <w:rFonts w:ascii="Times New Roman" w:hAnsi="Times New Roman" w:cs="Times New Roman"/>
        </w:rPr>
      </w:pPr>
      <w:r>
        <w:rPr>
          <w:rFonts w:ascii="Times New Roman" w:hAnsi="Times New Roman" w:cs="Times New Roman"/>
        </w:rPr>
        <w:t xml:space="preserve">Without correlating events that contain indirect PII with where sensitive PII sits and may be targeted leaves SOC teams blind to the inherent risk to sensitive PII. When it comes to sensitive data for financial accounts, lacking an understanding of what and where this data exists, makes it difficult for SOC teams to effectively triage and prioritize events that </w:t>
      </w:r>
      <w:proofErr w:type="gramStart"/>
      <w:r>
        <w:rPr>
          <w:rFonts w:ascii="Times New Roman" w:hAnsi="Times New Roman" w:cs="Times New Roman"/>
        </w:rPr>
        <w:t>of</w:t>
      </w:r>
      <w:proofErr w:type="gramEnd"/>
      <w:r>
        <w:rPr>
          <w:rFonts w:ascii="Times New Roman" w:hAnsi="Times New Roman" w:cs="Times New Roman"/>
        </w:rPr>
        <w:t xml:space="preserve"> higher importance than they are being aware of. Sophisticated attackers exploit this gap to steal PII before the SOC is aware and/or can respond to the attacker.</w:t>
      </w:r>
    </w:p>
    <w:p w14:paraId="1160FEDD" w14:textId="77777777" w:rsidR="00891BDD" w:rsidRPr="00F17123" w:rsidRDefault="005771D1" w:rsidP="00CB152A">
      <w:pPr>
        <w:tabs>
          <w:tab w:val="left" w:pos="360"/>
        </w:tabs>
        <w:spacing w:line="480" w:lineRule="auto"/>
        <w:ind w:left="360"/>
        <w:rPr>
          <w:rFonts w:ascii="Times New Roman" w:hAnsi="Times New Roman" w:cs="Times New Roman"/>
        </w:rPr>
      </w:pPr>
      <w:r>
        <w:rPr>
          <w:rFonts w:ascii="Times New Roman" w:hAnsi="Times New Roman" w:cs="Times New Roman"/>
        </w:rPr>
        <w:lastRenderedPageBreak/>
        <w:t xml:space="preserve">Data security teams are focused on identifying risks to sensitive data at rest to better secure that data, however, they lack the threat context to know when that data is being actively targeted by a threat actor because they are focused on how the state and storage of data and are not focused on the data actively being accessed. However, this also leads them to operate in silos, rarely ever engaging with other areas of security and often falling under the Chief Compliance or Chief Finance Officer, but not the same as the SOC, which typically reports to the Chief Information Security Officer or Chief Security Officer (CISO/CSO). Detecting, investigating and responding to any sort of cyber threats falls to the security analyst within the SOC. However, when it comes to security analysts in these organizations this lack of information sharing between the data security and the SOC inhibits their ability to tie together the relevant security events with needed PII context in a way that can better help them understand the risks to PII. In fact, research shows that 62.5% of security teams are overwhelmed by data volume, making it difficult for them to identify critical events and over 50% of SOCs struggle with a "lack of context" related to alerts (Crowley, 2024). The SIEM is the primary SOC tool used by security teams to collect events across the infrastructure, correlate these events, assist with investigations and help determine a threat. However, SIEM, as the core data aggregation platform for the SOC, has also led to a massive amount of information and resulting noise with the growth of cloud infrastructure, mobile devices and IoT (Morgan, 2025). This huge increase in event data to sift through has made it difficult to correlate what is important, especially when lacking needed context to identify targeted threats. 60% of analysts report that stress and alert fatigue have caused them to consider leaving (Forrester Consulting, 2025). It identifies "Lack of Context" as a primary driver for why analysts must manually investigate every alert. Based on the lack of context sharing </w:t>
      </w:r>
      <w:r>
        <w:rPr>
          <w:rFonts w:ascii="Times New Roman" w:hAnsi="Times New Roman" w:cs="Times New Roman"/>
        </w:rPr>
        <w:lastRenderedPageBreak/>
        <w:t>between the Data Security and Governance team and the SOC, where PII is stored and how it is classified becomes a critical blind spot in preventing sensitive data theft.</w:t>
      </w:r>
    </w:p>
    <w:p w14:paraId="511E1536" w14:textId="77777777" w:rsidR="00484FB3" w:rsidRDefault="00B57117" w:rsidP="00B57117">
      <w:pPr>
        <w:pStyle w:val="Heading2"/>
        <w:rPr>
          <w:rFonts w:cs="Times New Roman"/>
          <w:szCs w:val="28"/>
        </w:rPr>
      </w:pPr>
      <w:bookmarkStart w:id="21" w:name="_Toc235394946"/>
      <w:r>
        <w:rPr>
          <w:rFonts w:cs="Times New Roman"/>
          <w:szCs w:val="28"/>
        </w:rPr>
        <w:t>1.3 Thesis Statement</w:t>
      </w:r>
      <w:bookmarkEnd w:id="21"/>
    </w:p>
    <w:p w14:paraId="0A20A9EA" w14:textId="77777777" w:rsidR="00D07492" w:rsidRPr="00F17123" w:rsidRDefault="004A741B" w:rsidP="008F2A0E">
      <w:pPr>
        <w:tabs>
          <w:tab w:val="left" w:pos="360"/>
        </w:tabs>
        <w:spacing w:after="0" w:line="480" w:lineRule="auto"/>
        <w:ind w:left="360"/>
        <w:rPr>
          <w:rFonts w:ascii="Times New Roman" w:hAnsi="Times New Roman" w:cs="Times New Roman"/>
        </w:rPr>
      </w:pPr>
      <w:r>
        <w:rPr>
          <w:rFonts w:ascii="Times New Roman" w:hAnsi="Times New Roman" w:cs="Times New Roman"/>
        </w:rPr>
        <w:t xml:space="preserve">Specific threats that target banking and credit card information often exhibit anomalous behaviors. These anomalous behaviors provide an early indication of risk to security analysts when triggered based on detection rules within an anomaly detection engine or User Entity Behavior Analytics (UEBA) engine that are part of most enterprise SIEMs (Okolie et al., 2025). UEBA engines that are often integrated with Modern SIEMs are effective at identifying </w:t>
      </w:r>
      <w:proofErr w:type="gramStart"/>
      <w:r>
        <w:rPr>
          <w:rFonts w:ascii="Times New Roman" w:hAnsi="Times New Roman" w:cs="Times New Roman"/>
        </w:rPr>
        <w:t>anomalies,</w:t>
      </w:r>
      <w:proofErr w:type="gramEnd"/>
      <w:r>
        <w:rPr>
          <w:rFonts w:ascii="Times New Roman" w:hAnsi="Times New Roman" w:cs="Times New Roman"/>
        </w:rPr>
        <w:t xml:space="preserve"> however, the bottleneck remains in automating the "explanation" or context of the data being accessed. Specifically, the lack of acquiring and correlating PII-specific threat context creates a critical bottleneck in the SOC when it comes to attacks targeting PII. Therefore, organizations must adopt a context-aware triage</w:t>
      </w:r>
      <w:r>
        <w:rPr>
          <w:rFonts w:ascii="Times New Roman" w:hAnsi="Times New Roman" w:cs="Times New Roman"/>
          <w:b/>
          <w:bCs/>
        </w:rPr>
        <w:t xml:space="preserve"> </w:t>
      </w:r>
      <w:r>
        <w:rPr>
          <w:rFonts w:ascii="Times New Roman" w:hAnsi="Times New Roman" w:cs="Times New Roman"/>
        </w:rPr>
        <w:t xml:space="preserve">framework that correlates behavioral anomalies with data sensitivity to enable analysts to prioritize high-risk threats and prevent financial data breaches. By programmatically correlating the </w:t>
      </w:r>
      <w:r>
        <w:rPr>
          <w:rFonts w:ascii="Times New Roman" w:hAnsi="Times New Roman" w:cs="Times New Roman"/>
          <w:i/>
          <w:iCs/>
        </w:rPr>
        <w:t>intent</w:t>
      </w:r>
      <w:r>
        <w:rPr>
          <w:rFonts w:ascii="Times New Roman" w:hAnsi="Times New Roman" w:cs="Times New Roman"/>
        </w:rPr>
        <w:t xml:space="preserve"> of an anomaly with the </w:t>
      </w:r>
      <w:r>
        <w:rPr>
          <w:rFonts w:ascii="Times New Roman" w:hAnsi="Times New Roman" w:cs="Times New Roman"/>
          <w:i/>
          <w:iCs/>
        </w:rPr>
        <w:t>criticality</w:t>
      </w:r>
      <w:r>
        <w:rPr>
          <w:rFonts w:ascii="Times New Roman" w:hAnsi="Times New Roman" w:cs="Times New Roman"/>
        </w:rPr>
        <w:t xml:space="preserve"> of the targeted data, this framework aims to reduce the number of alerts that need to be investigated by at least 10% and improve the triage of these alerts to prioritize a potential threat targeting PII (Okolie et al., 2025).</w:t>
      </w:r>
    </w:p>
    <w:p w14:paraId="22231BB3" w14:textId="77777777" w:rsidR="004A741B" w:rsidRPr="00E66F6D" w:rsidRDefault="004A741B" w:rsidP="008F2A0E">
      <w:pPr>
        <w:spacing w:after="0" w:line="480" w:lineRule="auto"/>
        <w:rPr>
          <w:rFonts w:ascii="Times New Roman" w:hAnsi="Times New Roman" w:cs="Times New Roman"/>
          <w:sz w:val="22"/>
          <w:szCs w:val="22"/>
        </w:rPr>
      </w:pPr>
    </w:p>
    <w:p w14:paraId="37EA6384" w14:textId="77777777" w:rsidR="00484FB3" w:rsidRDefault="00EC3320" w:rsidP="008F2A0E">
      <w:pPr>
        <w:pStyle w:val="Heading2"/>
        <w:spacing w:before="0" w:after="0" w:line="480" w:lineRule="auto"/>
        <w:rPr>
          <w:rFonts w:cs="Times New Roman"/>
          <w:szCs w:val="28"/>
        </w:rPr>
      </w:pPr>
      <w:bookmarkStart w:id="22" w:name="_Toc235394947"/>
      <w:r>
        <w:rPr>
          <w:rFonts w:cs="Times New Roman"/>
          <w:szCs w:val="28"/>
        </w:rPr>
        <w:t>1.4 Research Objectives</w:t>
      </w:r>
      <w:bookmarkEnd w:id="22"/>
    </w:p>
    <w:p w14:paraId="35F88F5A" w14:textId="77777777" w:rsidR="00F95E38" w:rsidRPr="00F95E38" w:rsidRDefault="00F95E38" w:rsidP="00CB152A">
      <w:pPr>
        <w:spacing w:line="480" w:lineRule="auto"/>
        <w:ind w:left="360"/>
        <w:rPr>
          <w:rFonts w:ascii="Times New Roman" w:hAnsi="Times New Roman" w:cs="Times New Roman"/>
        </w:rPr>
      </w:pPr>
      <w:r>
        <w:rPr>
          <w:rFonts w:ascii="Times New Roman" w:hAnsi="Times New Roman" w:cs="Times New Roman"/>
        </w:rPr>
        <w:t>The primary goal of this Praxis research and project is to bridge the gap between traditional behavioral monitoring for threats that target PII and data-centric security. While modern Security Operations Centers (SOCs) have tools that can identify security risks stemming from unusual or suspicious behavior, they often lack the granular PII context necessary to prioritize these anomalies based on actual data risk.</w:t>
      </w:r>
    </w:p>
    <w:p w14:paraId="1BA045B7" w14:textId="77777777" w:rsidR="00F95E38" w:rsidRPr="00F95E38" w:rsidRDefault="00F95E38" w:rsidP="00CB152A">
      <w:pPr>
        <w:spacing w:line="480" w:lineRule="auto"/>
        <w:ind w:left="360"/>
        <w:rPr>
          <w:rFonts w:ascii="Times New Roman" w:hAnsi="Times New Roman" w:cs="Times New Roman"/>
        </w:rPr>
      </w:pPr>
      <w:r>
        <w:rPr>
          <w:rFonts w:ascii="Times New Roman" w:hAnsi="Times New Roman" w:cs="Times New Roman"/>
        </w:rPr>
        <w:lastRenderedPageBreak/>
        <w:t>By integrating data sensitivity directly into the alert lifecycle, this study aims to transform how analysts triage threats against sensitive banking and credit information. The following objectives outline a roadmap from analyzing current limitations to validating a new, risk-aware alerting framework:</w:t>
      </w:r>
    </w:p>
    <w:p w14:paraId="6E9F4509" w14:textId="77777777" w:rsidR="004A741B" w:rsidRPr="00F95E38" w:rsidRDefault="004A741B">
      <w:pPr>
        <w:numPr>
          <w:ilvl w:val="0"/>
          <w:numId w:val="1"/>
        </w:numPr>
        <w:spacing w:line="480" w:lineRule="auto"/>
        <w:rPr>
          <w:rFonts w:ascii="Times New Roman" w:hAnsi="Times New Roman" w:cs="Times New Roman"/>
        </w:rPr>
      </w:pPr>
      <w:r>
        <w:rPr>
          <w:rFonts w:ascii="Times New Roman" w:hAnsi="Times New Roman" w:cs="Times New Roman"/>
        </w:rPr>
        <w:t>Analyze the Current Approach: Identify if and how PII is leveraged by the SOC and what the gap exists in commonly used SOC tools (i.e., SIEM, UEBA) for improving triage and prioritization of threats targeting bank account and credit information</w:t>
      </w:r>
    </w:p>
    <w:p w14:paraId="6F285604" w14:textId="77777777" w:rsidR="004A741B" w:rsidRPr="00F17123" w:rsidRDefault="004A741B">
      <w:pPr>
        <w:numPr>
          <w:ilvl w:val="0"/>
          <w:numId w:val="1"/>
        </w:numPr>
        <w:spacing w:line="480" w:lineRule="auto"/>
        <w:rPr>
          <w:rFonts w:ascii="Times New Roman" w:hAnsi="Times New Roman" w:cs="Times New Roman"/>
        </w:rPr>
      </w:pPr>
      <w:r>
        <w:rPr>
          <w:rFonts w:ascii="Times New Roman" w:hAnsi="Times New Roman" w:cs="Times New Roman"/>
        </w:rPr>
        <w:t xml:space="preserve">Research Common Attack Scenarios: Identify the specific attack profiles that are often used in PII theft and determine the associated behavioral anomalies that can be leveraged as early indicators of the threat. </w:t>
      </w:r>
    </w:p>
    <w:p w14:paraId="7978B915" w14:textId="77777777" w:rsidR="004A741B" w:rsidRPr="00F17123" w:rsidRDefault="004A741B">
      <w:pPr>
        <w:numPr>
          <w:ilvl w:val="0"/>
          <w:numId w:val="1"/>
        </w:numPr>
        <w:spacing w:line="480" w:lineRule="auto"/>
        <w:rPr>
          <w:rFonts w:ascii="Times New Roman" w:hAnsi="Times New Roman" w:cs="Times New Roman"/>
        </w:rPr>
      </w:pPr>
      <w:r>
        <w:rPr>
          <w:rFonts w:ascii="Times New Roman" w:hAnsi="Times New Roman" w:cs="Times New Roman"/>
        </w:rPr>
        <w:t xml:space="preserve">Research and Develop New Pipelines: Use, or develop as necessary, synthetic data sets to simulate logs and event data replicated from common attack scenarios that </w:t>
      </w:r>
      <w:proofErr w:type="gramStart"/>
      <w:r>
        <w:rPr>
          <w:rFonts w:ascii="Times New Roman" w:hAnsi="Times New Roman" w:cs="Times New Roman"/>
        </w:rPr>
        <w:t>is</w:t>
      </w:r>
      <w:proofErr w:type="gramEnd"/>
      <w:r>
        <w:rPr>
          <w:rFonts w:ascii="Times New Roman" w:hAnsi="Times New Roman" w:cs="Times New Roman"/>
        </w:rPr>
        <w:t xml:space="preserve"> transformed and normalize into a consistent format for preparing it for correlation and enrichment of PII.</w:t>
      </w:r>
    </w:p>
    <w:p w14:paraId="27614E8B" w14:textId="77777777" w:rsidR="004A741B" w:rsidRPr="00F17123" w:rsidRDefault="004A741B">
      <w:pPr>
        <w:numPr>
          <w:ilvl w:val="0"/>
          <w:numId w:val="2"/>
        </w:numPr>
        <w:spacing w:line="480" w:lineRule="auto"/>
        <w:rPr>
          <w:rFonts w:ascii="Times New Roman" w:hAnsi="Times New Roman" w:cs="Times New Roman"/>
        </w:rPr>
      </w:pPr>
      <w:r>
        <w:rPr>
          <w:rFonts w:ascii="Times New Roman" w:hAnsi="Times New Roman" w:cs="Times New Roman"/>
        </w:rPr>
        <w:t>Develop a PII Context Framework: Define the set of PII and risk scores associated with the theft of combinations of PII. Design a conceptual model that correlates behavioral anomalies with the location, classification and scoring of sensitivity of PII data-at-rest. This can improve the correlation of security control data with risk tolerance by using automation to manage security more effectively while also reducing costs by less analyst time spent on manual efforts (Crowley, 2024).</w:t>
      </w:r>
    </w:p>
    <w:p w14:paraId="5B0F0455" w14:textId="71247E39" w:rsidR="004A741B" w:rsidRPr="00F17123" w:rsidRDefault="004A741B" w:rsidP="00BD7596">
      <w:pPr>
        <w:numPr>
          <w:ilvl w:val="0"/>
          <w:numId w:val="3"/>
        </w:numPr>
        <w:spacing w:line="480" w:lineRule="auto"/>
        <w:rPr>
          <w:rFonts w:ascii="Times New Roman" w:hAnsi="Times New Roman" w:cs="Times New Roman"/>
        </w:rPr>
      </w:pPr>
      <w:r>
        <w:rPr>
          <w:rFonts w:ascii="Times New Roman" w:hAnsi="Times New Roman" w:cs="Times New Roman"/>
        </w:rPr>
        <w:t xml:space="preserve">Define and Build a New Class of PII Alerts: Leveraging the newly developed PII Context Framework, generate a security alert that includes the anomaly along with relevant PII </w:t>
      </w:r>
      <w:r>
        <w:rPr>
          <w:rFonts w:ascii="Times New Roman" w:hAnsi="Times New Roman" w:cs="Times New Roman"/>
        </w:rPr>
        <w:lastRenderedPageBreak/>
        <w:t>context. The base anomaly risk score and its low, medium, or high priority remain intact, while a confirmed attack targeting PII promotes the alert to a critical priority. Risk-based priority scoring (considering data sensitivity) can reduce investigation time (Dempsey et al., 2011).</w:t>
      </w:r>
    </w:p>
    <w:p w14:paraId="6A2628E9" w14:textId="200B4B8E" w:rsidR="004A741B" w:rsidRPr="00F17123" w:rsidRDefault="004A741B" w:rsidP="008F2A0E">
      <w:pPr>
        <w:numPr>
          <w:ilvl w:val="0"/>
          <w:numId w:val="1"/>
        </w:numPr>
        <w:spacing w:after="0" w:line="480" w:lineRule="auto"/>
        <w:rPr>
          <w:rFonts w:ascii="Times New Roman" w:hAnsi="Times New Roman" w:cs="Times New Roman"/>
        </w:rPr>
      </w:pPr>
      <w:r>
        <w:rPr>
          <w:rFonts w:ascii="Times New Roman" w:hAnsi="Times New Roman" w:cs="Times New Roman"/>
        </w:rPr>
        <w:t>Validate Effectiveness: Assess how the promotion of alerts to critical based on PII context, relative to the base anomaly risk score alone, helps analysts better isolate confirmed threats to PII while ignoring less important events.</w:t>
      </w:r>
    </w:p>
    <w:p w14:paraId="54FC7265" w14:textId="77777777" w:rsidR="008F2A0E" w:rsidRPr="00F17123" w:rsidRDefault="008F2A0E" w:rsidP="008F2A0E">
      <w:pPr>
        <w:spacing w:after="0" w:line="480" w:lineRule="auto"/>
        <w:rPr>
          <w:rFonts w:ascii="Times New Roman" w:hAnsi="Times New Roman" w:cs="Times New Roman"/>
        </w:rPr>
      </w:pPr>
    </w:p>
    <w:p w14:paraId="73BD8147" w14:textId="77777777" w:rsidR="00484FB3" w:rsidRPr="00335E69" w:rsidRDefault="00B57117" w:rsidP="008F2A0E">
      <w:pPr>
        <w:pStyle w:val="Heading2"/>
        <w:spacing w:before="0" w:after="0" w:line="480" w:lineRule="auto"/>
      </w:pPr>
      <w:bookmarkStart w:id="23" w:name="_Toc235394948"/>
      <w:r>
        <w:t>1.5 Research Questions</w:t>
      </w:r>
      <w:bookmarkEnd w:id="23"/>
    </w:p>
    <w:p w14:paraId="481572E9" w14:textId="77777777" w:rsidR="004A741B" w:rsidRPr="00F17123" w:rsidRDefault="004A741B">
      <w:pPr>
        <w:numPr>
          <w:ilvl w:val="0"/>
          <w:numId w:val="1"/>
        </w:numPr>
        <w:spacing w:line="480" w:lineRule="auto"/>
        <w:rPr>
          <w:rFonts w:ascii="Times New Roman" w:hAnsi="Times New Roman" w:cs="Times New Roman"/>
        </w:rPr>
      </w:pPr>
      <w:r>
        <w:rPr>
          <w:rFonts w:ascii="Times New Roman" w:hAnsi="Times New Roman" w:cs="Times New Roman"/>
        </w:rPr>
        <w:t>Q1: To what extent do current UEBA and SIEM platforms fail to correlate user behavioral anomalies with the specific sensitivity levels of PII and banking data?</w:t>
      </w:r>
    </w:p>
    <w:p w14:paraId="44CC706A" w14:textId="291E69E6" w:rsidR="00FF5770" w:rsidRPr="00FF5770" w:rsidRDefault="004A741B" w:rsidP="00FF5770">
      <w:pPr>
        <w:numPr>
          <w:ilvl w:val="0"/>
          <w:numId w:val="1"/>
        </w:numPr>
        <w:spacing w:line="480" w:lineRule="auto"/>
      </w:pPr>
      <w:r>
        <w:rPr>
          <w:rFonts w:ascii="Times New Roman" w:hAnsi="Times New Roman" w:cs="Times New Roman"/>
        </w:rPr>
        <w:t xml:space="preserve">Q2: </w:t>
      </w:r>
      <w:r>
        <w:t>What contextual variables are most critical for an analyst to automate the mapping of "data-at-rest" security insights into real-time "data-in-use" behavioral alerts, thereby providing a more accurate representation of risk?</w:t>
      </w:r>
    </w:p>
    <w:p w14:paraId="53C87C80" w14:textId="4A273EE9" w:rsidR="004A741B" w:rsidRPr="00F17123" w:rsidRDefault="004A741B" w:rsidP="00D65EF9">
      <w:pPr>
        <w:numPr>
          <w:ilvl w:val="0"/>
          <w:numId w:val="1"/>
        </w:numPr>
        <w:spacing w:line="480" w:lineRule="auto"/>
        <w:rPr>
          <w:rFonts w:ascii="Times New Roman" w:hAnsi="Times New Roman" w:cs="Times New Roman"/>
        </w:rPr>
      </w:pPr>
      <w:r>
        <w:rPr>
          <w:rFonts w:ascii="Times New Roman" w:hAnsi="Times New Roman" w:cs="Times New Roman"/>
        </w:rPr>
        <w:t>Q3: Does the application of a context-aware risk scoring model significantly reduce the "noise" of false positives compared to standard anomaly detection rules?</w:t>
      </w:r>
    </w:p>
    <w:p w14:paraId="4D5D1E74" w14:textId="77777777" w:rsidR="008F2A0E" w:rsidRPr="00F17123" w:rsidRDefault="008F2A0E" w:rsidP="008F2A0E">
      <w:pPr>
        <w:rPr>
          <w:rFonts w:ascii="Times New Roman" w:hAnsi="Times New Roman" w:cs="Times New Roman"/>
        </w:rPr>
      </w:pPr>
    </w:p>
    <w:p w14:paraId="08662DD2" w14:textId="77777777" w:rsidR="00484FB3" w:rsidRDefault="00484FB3" w:rsidP="00BD7596">
      <w:pPr>
        <w:pStyle w:val="Heading2"/>
        <w:numPr>
          <w:ilvl w:val="1"/>
          <w:numId w:val="7"/>
        </w:numPr>
        <w:tabs>
          <w:tab w:val="left" w:pos="450"/>
        </w:tabs>
        <w:spacing w:before="0" w:after="0" w:line="480" w:lineRule="auto"/>
        <w:ind w:left="0" w:firstLine="0"/>
        <w:rPr>
          <w:rFonts w:cs="Times New Roman"/>
          <w:szCs w:val="28"/>
        </w:rPr>
      </w:pPr>
      <w:bookmarkStart w:id="24" w:name="_Toc235394949"/>
      <w:r>
        <w:rPr>
          <w:rFonts w:cs="Times New Roman"/>
          <w:szCs w:val="28"/>
        </w:rPr>
        <w:t>Research Hypotheses</w:t>
      </w:r>
      <w:bookmarkEnd w:id="24"/>
    </w:p>
    <w:p w14:paraId="52F8976C" w14:textId="77777777" w:rsidR="00E66F6D" w:rsidRDefault="0013746E" w:rsidP="00991F22">
      <w:pPr>
        <w:spacing w:after="0" w:line="480" w:lineRule="auto"/>
        <w:ind w:left="450"/>
        <w:rPr>
          <w:rFonts w:ascii="Times New Roman" w:hAnsi="Times New Roman" w:cs="Times New Roman"/>
        </w:rPr>
      </w:pPr>
      <w:r>
        <w:rPr>
          <w:rFonts w:ascii="Times New Roman" w:hAnsi="Times New Roman" w:cs="Times New Roman"/>
        </w:rPr>
        <w:t>Given the severity and impact of cyber-attacks targeting exfiltration of PII, there remains a lack of cooperation between the stewards of the data and teams that are focused on identifying and stopping threats.  To set the basis for challenges and current gaps within an organization, this research investigates the following three hypotheses:"</w:t>
      </w:r>
    </w:p>
    <w:p w14:paraId="6F86F5EA" w14:textId="77777777" w:rsidR="000C2A87" w:rsidRPr="00E66F6D" w:rsidRDefault="00335E69" w:rsidP="00264538">
      <w:pPr>
        <w:pStyle w:val="Heading3"/>
        <w:numPr>
          <w:ilvl w:val="0"/>
          <w:numId w:val="0"/>
        </w:numPr>
        <w:spacing w:after="0" w:line="480" w:lineRule="auto"/>
        <w:ind w:left="450"/>
        <w:rPr>
          <w:rFonts w:cs="Times New Roman"/>
          <w:szCs w:val="28"/>
        </w:rPr>
      </w:pPr>
      <w:bookmarkStart w:id="25" w:name="_Toc235394950"/>
      <w:r>
        <w:rPr>
          <w:rFonts w:cs="Times New Roman"/>
          <w:szCs w:val="28"/>
        </w:rPr>
        <w:lastRenderedPageBreak/>
        <w:t>1.6.1 Hypothesis 1</w:t>
      </w:r>
      <w:bookmarkEnd w:id="25"/>
    </w:p>
    <w:p w14:paraId="27950998" w14:textId="77777777" w:rsidR="004A741B" w:rsidRPr="009B2D41" w:rsidRDefault="004A741B" w:rsidP="000135F4">
      <w:pPr>
        <w:tabs>
          <w:tab w:val="left" w:pos="540"/>
        </w:tabs>
        <w:spacing w:after="0" w:line="480" w:lineRule="auto"/>
        <w:ind w:left="630"/>
        <w:rPr>
          <w:rFonts w:ascii="Times New Roman" w:hAnsi="Times New Roman" w:cs="Times New Roman"/>
        </w:rPr>
      </w:pPr>
      <w:r>
        <w:rPr>
          <w:rFonts w:ascii="Times New Roman" w:hAnsi="Times New Roman" w:cs="Times New Roman"/>
        </w:rPr>
        <w:t xml:space="preserve">Security analysts in organizations storing banking account and/or credit card data using a PII context-aware triage framework will identify and prioritize high-risk threats to Banking/Credit Card Account PII significantly faster than analysts using standard SIEM/UEBA alerts without integrated data sensitivity context. This prioritization and reduction in noise can lead to an improved response time </w:t>
      </w:r>
    </w:p>
    <w:p w14:paraId="1B9DE22A" w14:textId="77777777" w:rsidR="000135F4" w:rsidRPr="00F17123" w:rsidRDefault="000135F4" w:rsidP="000135F4">
      <w:pPr>
        <w:pStyle w:val="ListParagraph"/>
        <w:spacing w:after="0" w:line="480" w:lineRule="auto"/>
        <w:ind w:left="1350"/>
        <w:rPr>
          <w:rFonts w:ascii="Times New Roman" w:hAnsi="Times New Roman" w:cs="Times New Roman"/>
          <w:b/>
          <w:bCs/>
        </w:rPr>
      </w:pPr>
    </w:p>
    <w:p w14:paraId="12FA25D9" w14:textId="77777777" w:rsidR="000C2A87" w:rsidRPr="00F17123" w:rsidRDefault="004A741B" w:rsidP="00BD7596">
      <w:pPr>
        <w:pStyle w:val="Heading3"/>
        <w:numPr>
          <w:ilvl w:val="2"/>
          <w:numId w:val="10"/>
        </w:numPr>
        <w:spacing w:after="0" w:line="480" w:lineRule="auto"/>
        <w:rPr>
          <w:rFonts w:cs="Times New Roman"/>
        </w:rPr>
      </w:pPr>
      <w:bookmarkStart w:id="26" w:name="_Toc235394951"/>
      <w:r>
        <w:rPr>
          <w:rFonts w:cs="Times New Roman"/>
          <w:szCs w:val="28"/>
        </w:rPr>
        <w:t>Hypothesis 2</w:t>
      </w:r>
      <w:bookmarkEnd w:id="26"/>
    </w:p>
    <w:p w14:paraId="218ABF57" w14:textId="77777777" w:rsidR="000C2A87" w:rsidRPr="00F17123" w:rsidRDefault="004A741B" w:rsidP="000135F4">
      <w:pPr>
        <w:pStyle w:val="ListParagraph"/>
        <w:tabs>
          <w:tab w:val="left" w:pos="900"/>
          <w:tab w:val="left" w:pos="1440"/>
        </w:tabs>
        <w:spacing w:after="0" w:line="480" w:lineRule="auto"/>
        <w:ind w:left="630"/>
        <w:rPr>
          <w:rFonts w:ascii="Times New Roman" w:hAnsi="Times New Roman" w:cs="Times New Roman"/>
        </w:rPr>
      </w:pPr>
      <w:r>
        <w:rPr>
          <w:rFonts w:ascii="Times New Roman" w:hAnsi="Times New Roman" w:cs="Times New Roman"/>
        </w:rPr>
        <w:t xml:space="preserve">Correlating anomalous behaviors with specific PII-related threat context reduces the "noise" of non-critical behavioral alerts and improves triage time), leading </w:t>
      </w:r>
      <w:proofErr w:type="gramStart"/>
      <w:r>
        <w:rPr>
          <w:rFonts w:ascii="Times New Roman" w:hAnsi="Times New Roman" w:cs="Times New Roman"/>
        </w:rPr>
        <w:t>to  improved</w:t>
      </w:r>
      <w:proofErr w:type="gramEnd"/>
      <w:r>
        <w:rPr>
          <w:rFonts w:ascii="Times New Roman" w:hAnsi="Times New Roman" w:cs="Times New Roman"/>
        </w:rPr>
        <w:t xml:space="preserve"> escalation of critical anomalies versus less significant ones. </w:t>
      </w:r>
    </w:p>
    <w:p w14:paraId="62DB2759" w14:textId="77777777" w:rsidR="000135F4" w:rsidRPr="00F17123" w:rsidRDefault="000135F4" w:rsidP="000135F4">
      <w:pPr>
        <w:pStyle w:val="ListParagraph"/>
        <w:spacing w:after="0" w:line="480" w:lineRule="auto"/>
        <w:ind w:left="1350"/>
        <w:rPr>
          <w:rFonts w:ascii="Times New Roman" w:hAnsi="Times New Roman" w:cs="Times New Roman"/>
          <w:b/>
          <w:bCs/>
        </w:rPr>
      </w:pPr>
    </w:p>
    <w:p w14:paraId="0C816AC2" w14:textId="77777777" w:rsidR="000C2A87" w:rsidRPr="00381548" w:rsidRDefault="00335E69" w:rsidP="000135F4">
      <w:pPr>
        <w:pStyle w:val="Heading3"/>
        <w:numPr>
          <w:ilvl w:val="0"/>
          <w:numId w:val="0"/>
        </w:numPr>
        <w:tabs>
          <w:tab w:val="left" w:pos="900"/>
        </w:tabs>
        <w:spacing w:after="0" w:line="480" w:lineRule="auto"/>
        <w:ind w:left="990" w:hanging="540"/>
      </w:pPr>
      <w:bookmarkStart w:id="27" w:name="_Toc235394952"/>
      <w:r>
        <w:t>1.6.3 Hypothesis 3</w:t>
      </w:r>
      <w:bookmarkEnd w:id="27"/>
    </w:p>
    <w:p w14:paraId="5BE95DC1" w14:textId="31513580" w:rsidR="004A741B" w:rsidRPr="00F17123" w:rsidRDefault="004A741B" w:rsidP="000135F4">
      <w:pPr>
        <w:pStyle w:val="ListParagraph"/>
        <w:tabs>
          <w:tab w:val="left" w:pos="540"/>
          <w:tab w:val="left" w:pos="630"/>
          <w:tab w:val="left" w:pos="1170"/>
        </w:tabs>
        <w:spacing w:after="0" w:line="480" w:lineRule="auto"/>
        <w:ind w:left="630"/>
        <w:rPr>
          <w:rFonts w:ascii="Times New Roman" w:hAnsi="Times New Roman" w:cs="Times New Roman"/>
        </w:rPr>
      </w:pPr>
      <w:r>
        <w:rPr>
          <w:rFonts w:ascii="Times New Roman" w:hAnsi="Times New Roman" w:cs="Times New Roman"/>
        </w:rPr>
        <w:t>Organizations that implement detection rules specifically mapped to the early-stage anomalous behaviors of financial threat actors will be able to prioritize and respond faster to such threats when implementing a PII-context aware framework. Implementing context-augmented frameworks can reduce analyst cognitive load and improve detection accuracy.</w:t>
      </w:r>
    </w:p>
    <w:p w14:paraId="22BEA7AE" w14:textId="77777777" w:rsidR="000C2A87" w:rsidRDefault="000C2A87" w:rsidP="000135F4">
      <w:pPr>
        <w:pStyle w:val="ListParagraph"/>
        <w:spacing w:after="0" w:line="480" w:lineRule="auto"/>
        <w:ind w:left="1440"/>
        <w:rPr>
          <w:rFonts w:ascii="Times New Roman" w:hAnsi="Times New Roman" w:cs="Times New Roman"/>
        </w:rPr>
      </w:pPr>
    </w:p>
    <w:p w14:paraId="07338DA4" w14:textId="77777777" w:rsidR="000135F4" w:rsidRPr="00F17123" w:rsidRDefault="000135F4" w:rsidP="000135F4">
      <w:pPr>
        <w:pStyle w:val="ListParagraph"/>
        <w:spacing w:after="0" w:line="480" w:lineRule="auto"/>
        <w:ind w:left="1440"/>
        <w:rPr>
          <w:rFonts w:ascii="Times New Roman" w:hAnsi="Times New Roman" w:cs="Times New Roman"/>
        </w:rPr>
      </w:pPr>
    </w:p>
    <w:p w14:paraId="5FCD6E5F" w14:textId="77777777" w:rsidR="00484FB3" w:rsidRDefault="00484FB3" w:rsidP="00BD7596">
      <w:pPr>
        <w:pStyle w:val="Heading2"/>
        <w:numPr>
          <w:ilvl w:val="1"/>
          <w:numId w:val="8"/>
        </w:numPr>
        <w:spacing w:before="0" w:after="0" w:line="480" w:lineRule="auto"/>
        <w:rPr>
          <w:rFonts w:cs="Times New Roman"/>
          <w:szCs w:val="28"/>
        </w:rPr>
      </w:pPr>
      <w:bookmarkStart w:id="28" w:name="_Toc235394953"/>
      <w:r>
        <w:rPr>
          <w:rFonts w:cs="Times New Roman"/>
          <w:szCs w:val="28"/>
        </w:rPr>
        <w:t>Research Scope and Limitations</w:t>
      </w:r>
      <w:bookmarkEnd w:id="28"/>
    </w:p>
    <w:p w14:paraId="67100947" w14:textId="77777777" w:rsidR="00B05CCC" w:rsidRPr="00F17123" w:rsidRDefault="0079185B" w:rsidP="00134293">
      <w:pPr>
        <w:spacing w:line="480" w:lineRule="auto"/>
        <w:ind w:left="720"/>
        <w:rPr>
          <w:rFonts w:ascii="Times New Roman" w:hAnsi="Times New Roman" w:cs="Times New Roman"/>
        </w:rPr>
      </w:pPr>
      <w:r>
        <w:rPr>
          <w:rFonts w:ascii="Times New Roman" w:hAnsi="Times New Roman" w:cs="Times New Roman"/>
        </w:rPr>
        <w:t xml:space="preserve">The focus will be on identifying and even building synthetic data sets initially to set a baseline. What is critical here is to identify and use attack scenarios where an attacker is </w:t>
      </w:r>
      <w:r>
        <w:rPr>
          <w:rFonts w:ascii="Times New Roman" w:hAnsi="Times New Roman" w:cs="Times New Roman"/>
        </w:rPr>
        <w:lastRenderedPageBreak/>
        <w:t xml:space="preserve">using specific user attributes to execute attacks that allow them to compromise infrastructures more effectively when targeting PII. </w:t>
      </w:r>
    </w:p>
    <w:p w14:paraId="6D40CFAB" w14:textId="77777777" w:rsidR="00B05CCC" w:rsidRPr="00F17123" w:rsidRDefault="00B05CCC" w:rsidP="004C69F3">
      <w:pPr>
        <w:spacing w:line="480" w:lineRule="auto"/>
        <w:ind w:left="720"/>
        <w:rPr>
          <w:rFonts w:ascii="Times New Roman" w:hAnsi="Times New Roman" w:cs="Times New Roman"/>
        </w:rPr>
      </w:pPr>
      <w:r>
        <w:rPr>
          <w:rFonts w:ascii="Times New Roman" w:hAnsi="Times New Roman" w:cs="Times New Roman"/>
        </w:rPr>
        <w:t xml:space="preserve">The overall testing will be limited to 4 to 5 attack scenarios that target PII, especially ones that can trigger behavioral anomalies. </w:t>
      </w:r>
    </w:p>
    <w:p w14:paraId="6A6BBC05" w14:textId="77777777" w:rsidR="00B05CCC" w:rsidRPr="00F17123" w:rsidRDefault="00B05CCC" w:rsidP="004C69F3">
      <w:pPr>
        <w:spacing w:line="480" w:lineRule="auto"/>
        <w:ind w:left="720"/>
        <w:rPr>
          <w:rFonts w:ascii="Times New Roman" w:hAnsi="Times New Roman" w:cs="Times New Roman"/>
        </w:rPr>
      </w:pPr>
      <w:r>
        <w:rPr>
          <w:rFonts w:ascii="Times New Roman" w:hAnsi="Times New Roman" w:cs="Times New Roman"/>
        </w:rPr>
        <w:t xml:space="preserve">Once a framework is built and validated, we will use a broader sets of non-synthetic and synthetic data sets to fully test the environment and make sure that embedded attacks within regular traffic can be escalated based on correlation with PII context. </w:t>
      </w:r>
    </w:p>
    <w:p w14:paraId="4218F10B" w14:textId="77777777" w:rsidR="004A5D9A" w:rsidRPr="00F17123" w:rsidRDefault="004A5D9A" w:rsidP="004C69F3">
      <w:pPr>
        <w:spacing w:line="480" w:lineRule="auto"/>
        <w:ind w:left="720"/>
        <w:rPr>
          <w:rFonts w:ascii="Times New Roman" w:hAnsi="Times New Roman" w:cs="Times New Roman"/>
        </w:rPr>
      </w:pPr>
      <w:r>
        <w:rPr>
          <w:rFonts w:ascii="Times New Roman" w:hAnsi="Times New Roman" w:cs="Times New Roman"/>
        </w:rPr>
        <w:t xml:space="preserve">The result of building the correlation rules, building a framework and performing the testing is to enable security analysts to more effectively triage, prioritize, and investigate security events involving sensitive financial bank and credit card account data. </w:t>
      </w:r>
    </w:p>
    <w:p w14:paraId="51E41C0B" w14:textId="77777777" w:rsidR="0047722A" w:rsidRDefault="004A5D9A" w:rsidP="0047722A">
      <w:pPr>
        <w:spacing w:line="480" w:lineRule="auto"/>
        <w:ind w:left="720"/>
        <w:rPr>
          <w:rFonts w:ascii="Times New Roman" w:hAnsi="Times New Roman" w:cs="Times New Roman"/>
        </w:rPr>
      </w:pPr>
      <w:r>
        <w:rPr>
          <w:rFonts w:ascii="Times New Roman" w:hAnsi="Times New Roman" w:cs="Times New Roman"/>
        </w:rPr>
        <w:t xml:space="preserve">By testing out a hypothesis, we will be determining whether incorporating PII combinations of classifications and storage location into a framework that is correlated against specific attacks that show behavioral anomalies can escalate the risk of an attack. This would be initial research to develop more advanced analytical models and potentially AI that could be productized in the future and incorporated into a Next Generation SIEM, Extended Detection and Response (XDR), or Workspace security solution. </w:t>
      </w:r>
    </w:p>
    <w:p w14:paraId="3714C529" w14:textId="77777777" w:rsidR="0047722A" w:rsidRDefault="0047722A" w:rsidP="0047722A">
      <w:pPr>
        <w:spacing w:line="480" w:lineRule="auto"/>
        <w:ind w:left="720"/>
        <w:rPr>
          <w:rFonts w:ascii="Times New Roman" w:hAnsi="Times New Roman" w:cs="Times New Roman"/>
        </w:rPr>
      </w:pPr>
    </w:p>
    <w:p w14:paraId="7356594A" w14:textId="77777777" w:rsidR="00D65EF9" w:rsidRDefault="00D65EF9" w:rsidP="0047722A">
      <w:pPr>
        <w:spacing w:line="480" w:lineRule="auto"/>
        <w:ind w:left="720"/>
        <w:rPr>
          <w:rFonts w:ascii="Times New Roman" w:hAnsi="Times New Roman" w:cs="Times New Roman"/>
        </w:rPr>
      </w:pPr>
    </w:p>
    <w:p w14:paraId="023E3EFE" w14:textId="77777777" w:rsidR="00D65EF9" w:rsidRDefault="00D65EF9" w:rsidP="0047722A">
      <w:pPr>
        <w:spacing w:line="480" w:lineRule="auto"/>
        <w:ind w:left="720"/>
        <w:rPr>
          <w:rFonts w:ascii="Times New Roman" w:hAnsi="Times New Roman" w:cs="Times New Roman"/>
        </w:rPr>
      </w:pPr>
    </w:p>
    <w:p w14:paraId="574A168C" w14:textId="77777777" w:rsidR="009153CB" w:rsidRDefault="009153CB" w:rsidP="0047722A">
      <w:pPr>
        <w:spacing w:line="480" w:lineRule="auto"/>
        <w:ind w:left="720"/>
        <w:jc w:val="center"/>
        <w:rPr>
          <w:rFonts w:ascii="Times New Roman" w:hAnsi="Times New Roman" w:cs="Times New Roman"/>
          <w:b/>
          <w:bCs/>
          <w:szCs w:val="28"/>
        </w:rPr>
      </w:pPr>
    </w:p>
    <w:p w14:paraId="32DC96B4" w14:textId="39AA59F6" w:rsidR="00CA4395" w:rsidRPr="0047722A" w:rsidRDefault="004A5D9A" w:rsidP="0047722A">
      <w:pPr>
        <w:spacing w:line="480" w:lineRule="auto"/>
        <w:ind w:left="720"/>
        <w:jc w:val="center"/>
        <w:rPr>
          <w:rFonts w:ascii="Times New Roman" w:hAnsi="Times New Roman" w:cs="Times New Roman"/>
          <w:b/>
          <w:bCs/>
          <w:szCs w:val="28"/>
        </w:rPr>
      </w:pPr>
      <w:r>
        <w:rPr>
          <w:rFonts w:ascii="Times New Roman" w:hAnsi="Times New Roman" w:cs="Times New Roman"/>
          <w:b/>
          <w:bCs/>
          <w:szCs w:val="28"/>
        </w:rPr>
        <w:lastRenderedPageBreak/>
        <w:t>Chapter 2: Literature Review</w:t>
      </w:r>
    </w:p>
    <w:p w14:paraId="538E44F1" w14:textId="77777777" w:rsidR="00B57117" w:rsidRPr="00F17123" w:rsidRDefault="00B57117" w:rsidP="00B57117">
      <w:pPr>
        <w:rPr>
          <w:rFonts w:ascii="Times New Roman" w:hAnsi="Times New Roman" w:cs="Times New Roman"/>
        </w:rPr>
      </w:pPr>
    </w:p>
    <w:p w14:paraId="13F7AB51" w14:textId="77777777" w:rsidR="008B19C4" w:rsidRPr="008B19C4" w:rsidRDefault="008B19C4" w:rsidP="008B19C4">
      <w:pPr>
        <w:pStyle w:val="Heading2"/>
        <w:rPr>
          <w:rFonts w:cs="Times New Roman"/>
          <w:szCs w:val="24"/>
        </w:rPr>
      </w:pPr>
      <w:bookmarkStart w:id="29" w:name="_Toc235394954"/>
      <w:r>
        <w:rPr>
          <w:rFonts w:cs="Times New Roman"/>
          <w:szCs w:val="24"/>
        </w:rPr>
        <w:t>2.1 Introduction</w:t>
      </w:r>
      <w:bookmarkEnd w:id="29"/>
      <w:r>
        <w:rPr>
          <w:rFonts w:cs="Times New Roman"/>
          <w:szCs w:val="24"/>
        </w:rPr>
        <w:t xml:space="preserve">  </w:t>
      </w:r>
    </w:p>
    <w:p w14:paraId="1F740D22" w14:textId="77777777" w:rsidR="00760D83" w:rsidRPr="00BA768C" w:rsidRDefault="00760D83" w:rsidP="00760D83">
      <w:pPr>
        <w:tabs>
          <w:tab w:val="left" w:pos="450"/>
        </w:tabs>
        <w:spacing w:line="480" w:lineRule="auto"/>
        <w:ind w:left="360"/>
        <w:rPr>
          <w:rFonts w:ascii="Times New Roman" w:hAnsi="Times New Roman" w:cs="Times New Roman"/>
        </w:rPr>
      </w:pPr>
      <w:r>
        <w:rPr>
          <w:rFonts w:ascii="Times New Roman" w:hAnsi="Times New Roman" w:cs="Times New Roman"/>
        </w:rPr>
        <w:t>This chapter surveys the literature and operational evidence that frames the gap between data security and Security Operations Center (SOC) teams and establishes the need for a PII context-aware triage framework. As established in Chapter 1, financial institutions continue to suffer large-scale PII breaches despite heavy investment in detection technologies; the root cause is not a lack of telemetry or tooling, but a structural gap between the data security teams that classify and protect PII at rest and the SOC teams that detect and respond to active threats.</w:t>
      </w:r>
    </w:p>
    <w:p w14:paraId="42288880" w14:textId="77777777" w:rsidR="00134293" w:rsidRDefault="00FF01F5" w:rsidP="00134293">
      <w:pPr>
        <w:tabs>
          <w:tab w:val="left" w:pos="450"/>
        </w:tabs>
        <w:spacing w:line="480" w:lineRule="auto"/>
        <w:ind w:left="360"/>
        <w:rPr>
          <w:rFonts w:ascii="Times New Roman" w:hAnsi="Times New Roman" w:cs="Times New Roman"/>
        </w:rPr>
      </w:pPr>
      <w:r>
        <w:rPr>
          <w:rFonts w:ascii="Times New Roman" w:hAnsi="Times New Roman" w:cs="Times New Roman"/>
        </w:rPr>
        <w:t>The chapter builds a layered argument from the threat landscape to the response gaps that motivate a new approach. Sections 2.2 and 2.3 establish why banking and credit card data is so uniquely valuable to threat actors and examine the most prevalent attack vectors used to steal it. Section 2.4 grounds this threat context in analysis of six major financial-sector breaches that reveal recurring patterns of attacker behavior and systemic detection failure. Section 2.5 reviews the evolution of Data Security Posture Management (DSPM) and its continued isolation from security operations, while Sections 2.6 and 2.7 examine the SOC workflow and the SIEM’s role as the central correlation platform.</w:t>
      </w:r>
    </w:p>
    <w:p w14:paraId="2809645A" w14:textId="3192A010" w:rsidR="00134293" w:rsidRDefault="00134293" w:rsidP="00134293">
      <w:pPr>
        <w:tabs>
          <w:tab w:val="left" w:pos="360"/>
          <w:tab w:val="left" w:pos="450"/>
        </w:tabs>
        <w:spacing w:line="480" w:lineRule="auto"/>
        <w:ind w:left="360"/>
        <w:rPr>
          <w:rFonts w:ascii="Times New Roman" w:hAnsi="Times New Roman" w:cs="Times New Roman"/>
        </w:rPr>
      </w:pPr>
      <w:r>
        <w:rPr>
          <w:rFonts w:ascii="Times New Roman" w:hAnsi="Times New Roman" w:cs="Times New Roman"/>
        </w:rPr>
        <w:t xml:space="preserve">Section 2.8 addresses the operational challenges that undermine SOC effectiveness, including alert fatigue and prioritization failures, and Section 2.9 examines the MITRE ATT&amp;CK framework as a source of additional detection context. </w:t>
      </w:r>
      <w:r w:rsidR="00075893">
        <w:rPr>
          <w:rFonts w:ascii="Times New Roman" w:hAnsi="Times New Roman" w:cs="Times New Roman"/>
        </w:rPr>
        <w:t xml:space="preserve">Finally, </w:t>
      </w:r>
      <w:r>
        <w:rPr>
          <w:rFonts w:ascii="Times New Roman" w:hAnsi="Times New Roman" w:cs="Times New Roman"/>
        </w:rPr>
        <w:t>Section 2.10 synthesiz</w:t>
      </w:r>
      <w:r w:rsidR="00075893">
        <w:rPr>
          <w:rFonts w:ascii="Times New Roman" w:hAnsi="Times New Roman" w:cs="Times New Roman"/>
        </w:rPr>
        <w:t>es</w:t>
      </w:r>
      <w:r>
        <w:rPr>
          <w:rFonts w:ascii="Times New Roman" w:hAnsi="Times New Roman" w:cs="Times New Roman"/>
        </w:rPr>
        <w:t xml:space="preserve"> these threads into the core argument: the absence of data sensitivity context within the SIEM creates a visibility gap that adversaries systematically exploit to exfiltrate PII undetected, and </w:t>
      </w:r>
      <w:r>
        <w:rPr>
          <w:rFonts w:ascii="Times New Roman" w:hAnsi="Times New Roman" w:cs="Times New Roman"/>
        </w:rPr>
        <w:lastRenderedPageBreak/>
        <w:t>that context, like threat intelligence, should be embedded directly into the alert lifecycle. It is this gap that this praxis research seeks to address.</w:t>
      </w:r>
    </w:p>
    <w:p w14:paraId="0B5B9FF9" w14:textId="77777777" w:rsidR="008B19C4" w:rsidRDefault="008B19C4" w:rsidP="00D9506A">
      <w:pPr>
        <w:spacing w:after="0" w:line="480" w:lineRule="auto"/>
        <w:ind w:left="720"/>
        <w:rPr>
          <w:rFonts w:ascii="Times New Roman" w:hAnsi="Times New Roman" w:cs="Times New Roman"/>
        </w:rPr>
      </w:pPr>
    </w:p>
    <w:p w14:paraId="5514CDAD" w14:textId="77777777" w:rsidR="00832E39" w:rsidRPr="008B19C4" w:rsidRDefault="00832E39" w:rsidP="00D9506A">
      <w:pPr>
        <w:pStyle w:val="Heading2"/>
        <w:spacing w:before="0" w:after="0" w:line="480" w:lineRule="auto"/>
        <w:rPr>
          <w:rFonts w:cs="Times New Roman"/>
          <w:szCs w:val="28"/>
        </w:rPr>
      </w:pPr>
      <w:bookmarkStart w:id="30" w:name="_Toc235394955"/>
      <w:r>
        <w:rPr>
          <w:rFonts w:cs="Times New Roman"/>
          <w:szCs w:val="28"/>
        </w:rPr>
        <w:t>2.2 Identity Theft and Financial Fraud</w:t>
      </w:r>
      <w:bookmarkEnd w:id="30"/>
    </w:p>
    <w:p w14:paraId="56156BAF" w14:textId="63A501AE" w:rsidR="00167209" w:rsidRDefault="00167209" w:rsidP="005F2C81">
      <w:pPr>
        <w:tabs>
          <w:tab w:val="left" w:pos="90"/>
          <w:tab w:val="left" w:pos="450"/>
        </w:tabs>
        <w:spacing w:after="200" w:line="480" w:lineRule="auto"/>
        <w:ind w:left="360"/>
        <w:rPr>
          <w:rFonts w:ascii="Times New Roman" w:eastAsia="Arial" w:hAnsi="Times New Roman" w:cs="Times New Roman"/>
        </w:rPr>
      </w:pPr>
      <w:r>
        <w:rPr>
          <w:rFonts w:ascii="Times New Roman" w:hAnsi="Times New Roman" w:cs="Times New Roman"/>
        </w:rPr>
        <w:t xml:space="preserve">Identity theft, broadly defined as the unauthorized acquisition and use of another individual’s PII to perpetrate fraud, represents one of the most prevalent and financially damaging categories of cybercrime targeting the financial sector (Caporal, 2026). </w:t>
      </w:r>
      <w:r>
        <w:rPr>
          <w:rFonts w:ascii="Times New Roman" w:eastAsia="Arial" w:hAnsi="Times New Roman" w:cs="Times New Roman"/>
        </w:rPr>
        <w:t xml:space="preserve">The scope of identity theft </w:t>
      </w:r>
      <w:r w:rsidR="005F2C81">
        <w:rPr>
          <w:rFonts w:ascii="Times New Roman" w:eastAsia="Arial" w:hAnsi="Times New Roman" w:cs="Times New Roman"/>
        </w:rPr>
        <w:t xml:space="preserve">certainly </w:t>
      </w:r>
      <w:r>
        <w:rPr>
          <w:rFonts w:ascii="Times New Roman" w:eastAsia="Arial" w:hAnsi="Times New Roman" w:cs="Times New Roman"/>
        </w:rPr>
        <w:t>extends well beyond credit card misuse</w:t>
      </w:r>
      <w:r w:rsidR="005F2C81">
        <w:rPr>
          <w:rFonts w:ascii="Times New Roman" w:eastAsia="Arial" w:hAnsi="Times New Roman" w:cs="Times New Roman"/>
        </w:rPr>
        <w:t xml:space="preserve"> or stealing of funds</w:t>
      </w:r>
      <w:r>
        <w:rPr>
          <w:rFonts w:ascii="Times New Roman" w:eastAsia="Arial" w:hAnsi="Times New Roman" w:cs="Times New Roman"/>
        </w:rPr>
        <w:t>. Stolen identities are</w:t>
      </w:r>
      <w:r w:rsidR="005F2C81">
        <w:rPr>
          <w:rFonts w:ascii="Times New Roman" w:eastAsia="Arial" w:hAnsi="Times New Roman" w:cs="Times New Roman"/>
        </w:rPr>
        <w:t xml:space="preserve"> even</w:t>
      </w:r>
      <w:r>
        <w:rPr>
          <w:rFonts w:ascii="Times New Roman" w:eastAsia="Arial" w:hAnsi="Times New Roman" w:cs="Times New Roman"/>
        </w:rPr>
        <w:t xml:space="preserve"> leveraged to file fraudulent tax returns, obtain government benefits, access medical services under a victim’s insurance, and even secure employment using another person’s credentials. In the financial sector, the consequences are particularly severe because stolen PII can be combined with account credentials, enabling threat actors to </w:t>
      </w:r>
      <w:r w:rsidR="005F2C81">
        <w:rPr>
          <w:rFonts w:ascii="Times New Roman" w:eastAsia="Arial" w:hAnsi="Times New Roman" w:cs="Times New Roman"/>
        </w:rPr>
        <w:t xml:space="preserve">also </w:t>
      </w:r>
      <w:r>
        <w:rPr>
          <w:rFonts w:ascii="Times New Roman" w:eastAsia="Arial" w:hAnsi="Times New Roman" w:cs="Times New Roman"/>
        </w:rPr>
        <w:t>take over existing accounts, apply for new lines of credit, arrange wire transfers, or launder funds through a victim’s established banking relationships. The financial industry’s reliance on trusted identity verification makes it a high-value target: a single verified identity package, commonly referred to as a “fullz” in criminal marketplaces, can fetch hundreds of dollars and be used to perpetrate cascading fraud across multiple institutions.</w:t>
      </w:r>
      <w:r w:rsidR="00E32803">
        <w:rPr>
          <w:rFonts w:ascii="Times New Roman" w:eastAsia="Arial" w:hAnsi="Times New Roman" w:cs="Times New Roman"/>
        </w:rPr>
        <w:t xml:space="preserve"> An example of </w:t>
      </w:r>
      <w:proofErr w:type="spellStart"/>
      <w:r w:rsidR="00E32803">
        <w:rPr>
          <w:rFonts w:ascii="Times New Roman" w:eastAsia="Arial" w:hAnsi="Times New Roman" w:cs="Times New Roman"/>
        </w:rPr>
        <w:t>fullz</w:t>
      </w:r>
      <w:proofErr w:type="spellEnd"/>
      <w:r w:rsidR="00E32803">
        <w:rPr>
          <w:rFonts w:ascii="Times New Roman" w:eastAsia="Arial" w:hAnsi="Times New Roman" w:cs="Times New Roman"/>
        </w:rPr>
        <w:t xml:space="preserve"> data and an example of a marketplace is in Figure 2.1.</w:t>
      </w:r>
    </w:p>
    <w:p w14:paraId="4A86D3F7" w14:textId="353D8F21" w:rsidR="00E32803" w:rsidRDefault="00E32803" w:rsidP="005F2C81">
      <w:pPr>
        <w:tabs>
          <w:tab w:val="left" w:pos="90"/>
          <w:tab w:val="left" w:pos="450"/>
        </w:tabs>
        <w:spacing w:after="200" w:line="480" w:lineRule="auto"/>
        <w:ind w:left="360"/>
        <w:rPr>
          <w:rFonts w:ascii="Times New Roman" w:hAnsi="Times New Roman" w:cs="Times New Roman"/>
        </w:rPr>
      </w:pPr>
      <w:r>
        <w:rPr>
          <w:noProof/>
        </w:rPr>
        <w:lastRenderedPageBreak/>
        <w:drawing>
          <wp:inline distT="0" distB="0" distL="0" distR="0" wp14:anchorId="2FAB1C17" wp14:editId="31301B70">
            <wp:extent cx="5943600" cy="3965575"/>
            <wp:effectExtent l="0" t="0" r="0" b="0"/>
            <wp:docPr id="1845880145" name="Picture 1" descr="Example “fullz” captured directly from the deep web site, Fullz 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fullz” captured directly from the deep web site, Fullz Bu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p>
    <w:p w14:paraId="218E4643" w14:textId="7F655E26" w:rsidR="00E32803" w:rsidRDefault="00E32803" w:rsidP="00E32803">
      <w:pPr>
        <w:tabs>
          <w:tab w:val="left" w:pos="90"/>
          <w:tab w:val="left" w:pos="450"/>
        </w:tabs>
        <w:spacing w:after="200" w:line="480" w:lineRule="auto"/>
        <w:ind w:left="360"/>
        <w:jc w:val="center"/>
        <w:rPr>
          <w:rFonts w:ascii="Times New Roman" w:hAnsi="Times New Roman" w:cs="Times New Roman"/>
          <w:bCs/>
          <w:iCs/>
          <w:sz w:val="18"/>
          <w:szCs w:val="18"/>
        </w:rPr>
      </w:pPr>
      <w:r>
        <w:rPr>
          <w:rFonts w:ascii="Times New Roman" w:hAnsi="Times New Roman" w:cs="Times New Roman"/>
          <w:b/>
          <w:iCs/>
          <w:sz w:val="18"/>
          <w:szCs w:val="18"/>
        </w:rPr>
        <w:t xml:space="preserve">Figure 2.1 </w:t>
      </w:r>
      <w:r w:rsidRPr="00E32803">
        <w:rPr>
          <w:rFonts w:ascii="Times New Roman" w:hAnsi="Times New Roman" w:cs="Times New Roman"/>
          <w:bCs/>
          <w:iCs/>
          <w:sz w:val="18"/>
          <w:szCs w:val="18"/>
        </w:rPr>
        <w:t>Example “</w:t>
      </w:r>
      <w:proofErr w:type="spellStart"/>
      <w:r w:rsidRPr="00E32803">
        <w:rPr>
          <w:rFonts w:ascii="Times New Roman" w:hAnsi="Times New Roman" w:cs="Times New Roman"/>
          <w:bCs/>
          <w:iCs/>
          <w:sz w:val="18"/>
          <w:szCs w:val="18"/>
        </w:rPr>
        <w:t>fullz</w:t>
      </w:r>
      <w:proofErr w:type="spellEnd"/>
      <w:r w:rsidRPr="00E32803">
        <w:rPr>
          <w:rFonts w:ascii="Times New Roman" w:hAnsi="Times New Roman" w:cs="Times New Roman"/>
          <w:bCs/>
          <w:iCs/>
          <w:sz w:val="18"/>
          <w:szCs w:val="18"/>
        </w:rPr>
        <w:t xml:space="preserve">” captured directly from the deep web site, </w:t>
      </w:r>
      <w:proofErr w:type="spellStart"/>
      <w:r w:rsidRPr="00E32803">
        <w:rPr>
          <w:rFonts w:ascii="Times New Roman" w:hAnsi="Times New Roman" w:cs="Times New Roman"/>
          <w:bCs/>
          <w:iCs/>
          <w:sz w:val="18"/>
          <w:szCs w:val="18"/>
        </w:rPr>
        <w:t>Fullz</w:t>
      </w:r>
      <w:proofErr w:type="spellEnd"/>
      <w:r w:rsidRPr="00E32803">
        <w:rPr>
          <w:rFonts w:ascii="Times New Roman" w:hAnsi="Times New Roman" w:cs="Times New Roman"/>
          <w:bCs/>
          <w:iCs/>
          <w:sz w:val="18"/>
          <w:szCs w:val="18"/>
        </w:rPr>
        <w:t xml:space="preserve"> Buy.</w:t>
      </w:r>
    </w:p>
    <w:p w14:paraId="3471CB5F" w14:textId="77777777" w:rsidR="00E32803" w:rsidRPr="00E32803" w:rsidRDefault="00E32803" w:rsidP="00E32803">
      <w:pPr>
        <w:tabs>
          <w:tab w:val="left" w:pos="90"/>
          <w:tab w:val="left" w:pos="450"/>
        </w:tabs>
        <w:spacing w:after="200" w:line="480" w:lineRule="auto"/>
        <w:ind w:left="360"/>
        <w:jc w:val="center"/>
        <w:rPr>
          <w:rFonts w:ascii="Times New Roman" w:hAnsi="Times New Roman" w:cs="Times New Roman"/>
          <w:bCs/>
          <w:iCs/>
          <w:sz w:val="18"/>
          <w:szCs w:val="18"/>
        </w:rPr>
      </w:pPr>
    </w:p>
    <w:p w14:paraId="0ED10885" w14:textId="489A5168" w:rsidR="00093EFD" w:rsidRDefault="00EE5423">
      <w:pPr>
        <w:tabs>
          <w:tab w:val="left" w:pos="450"/>
        </w:tabs>
        <w:spacing w:after="200" w:line="480" w:lineRule="auto"/>
        <w:ind w:left="360"/>
        <w:rPr>
          <w:rFonts w:ascii="Times New Roman" w:hAnsi="Times New Roman" w:cs="Times New Roman"/>
        </w:rPr>
      </w:pPr>
      <w:r>
        <w:rPr>
          <w:rFonts w:ascii="Times New Roman" w:hAnsi="Times New Roman" w:cs="Times New Roman"/>
        </w:rPr>
        <w:t xml:space="preserve">Literature that reviews criminal activity provides an empirical foundation for understanding why financial PII commands this value. In one of the earliest systematic studies of stolen data markets, Holt and Lampke (2010) analyzed threads from web forums where stolen financial information was bought and sold and found a functioning market economy in which prices varied with the quality and freshness of the underlying accounts and in which seller reputation mechanisms mirrored those of legitimate e-commerce. Hutchings and Holt (2015) extended this work through a crime script analysis of 13 English- and Russian-speaking stolen data forums, demonstrating that the market constitutes a complete criminal supply chain: the tools used to steal data, the stolen data itself, and “cashing out” services such as </w:t>
      </w:r>
      <w:r>
        <w:rPr>
          <w:rFonts w:ascii="Times New Roman" w:hAnsi="Times New Roman" w:cs="Times New Roman"/>
        </w:rPr>
        <w:lastRenderedPageBreak/>
        <w:t>drops and money laundering that convert records into profit. Anderson et al. (2013) estimated the aggregate economic impact of this underground economy in the billions of dollars. Taken together, these studies establish that stolen financial PII is a mature, liquid commodity, which explains why threat actors persistently prioritize it over other data types and why its theft has proven so resistant to deterrence.</w:t>
      </w:r>
    </w:p>
    <w:p w14:paraId="04409808" w14:textId="7B2A4E9F" w:rsidR="00167209" w:rsidRDefault="00167209" w:rsidP="00167209">
      <w:pPr>
        <w:tabs>
          <w:tab w:val="left" w:pos="450"/>
        </w:tabs>
        <w:spacing w:after="200" w:line="480" w:lineRule="auto"/>
        <w:ind w:left="360"/>
        <w:rPr>
          <w:rFonts w:ascii="Times New Roman" w:hAnsi="Times New Roman" w:cs="Times New Roman"/>
        </w:rPr>
      </w:pPr>
      <w:r>
        <w:rPr>
          <w:rFonts w:ascii="Times New Roman" w:hAnsi="Times New Roman" w:cs="Times New Roman"/>
        </w:rPr>
        <w:t xml:space="preserve">The scale of PII exposure in financial breaches is documented from various sources with increasing precision. An analysis by Lab1 (2025) of more than 141 million leaked files across approximately 1,300 breached datasets found that sensitive financial documents appeared in nearly every incident examined, comprising 41% of all exposed files. Bank statements, a direct enabler of identity fraud, appeared in 49% of incidents, and International Bank Account Numbers (IBANs), exploitable for mandate fraud and payment redirection, were present in 36% of breached datasets. </w:t>
      </w:r>
      <w:r w:rsidR="00102D39">
        <w:rPr>
          <w:rFonts w:ascii="Times New Roman" w:hAnsi="Times New Roman" w:cs="Times New Roman"/>
        </w:rPr>
        <w:t>As shown in Figure, t</w:t>
      </w:r>
      <w:r>
        <w:rPr>
          <w:rFonts w:ascii="Times New Roman" w:hAnsi="Times New Roman" w:cs="Times New Roman"/>
        </w:rPr>
        <w:t>hese figures underscore both the pervasiveness of financial PII exposure and the high market value that drives threat actors to prioritize it as a target.</w:t>
      </w:r>
    </w:p>
    <w:p w14:paraId="5A1B8A09" w14:textId="00EFECAC" w:rsidR="00102D39" w:rsidRDefault="00102D39" w:rsidP="00167209">
      <w:pPr>
        <w:tabs>
          <w:tab w:val="left" w:pos="450"/>
        </w:tabs>
        <w:spacing w:after="200" w:line="480" w:lineRule="auto"/>
        <w:ind w:left="360"/>
        <w:rPr>
          <w:rFonts w:ascii="Times New Roman" w:hAnsi="Times New Roman" w:cs="Times New Roman"/>
        </w:rPr>
      </w:pPr>
      <w:r w:rsidRPr="00102D39">
        <w:rPr>
          <w:rFonts w:ascii="Times New Roman" w:hAnsi="Times New Roman" w:cs="Times New Roman"/>
        </w:rPr>
        <w:drawing>
          <wp:inline distT="0" distB="0" distL="0" distR="0" wp14:anchorId="0F573A16" wp14:editId="082808C4">
            <wp:extent cx="5943600" cy="2080895"/>
            <wp:effectExtent l="0" t="0" r="0" b="0"/>
            <wp:docPr id="31907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70535" name=""/>
                    <pic:cNvPicPr/>
                  </pic:nvPicPr>
                  <pic:blipFill>
                    <a:blip r:embed="rId16"/>
                    <a:stretch>
                      <a:fillRect/>
                    </a:stretch>
                  </pic:blipFill>
                  <pic:spPr>
                    <a:xfrm>
                      <a:off x="0" y="0"/>
                      <a:ext cx="5943600" cy="2080895"/>
                    </a:xfrm>
                    <a:prstGeom prst="rect">
                      <a:avLst/>
                    </a:prstGeom>
                  </pic:spPr>
                </pic:pic>
              </a:graphicData>
            </a:graphic>
          </wp:inline>
        </w:drawing>
      </w:r>
    </w:p>
    <w:p w14:paraId="693D1C1F" w14:textId="15848F53" w:rsidR="00102D39" w:rsidRDefault="00102D39" w:rsidP="00102D39">
      <w:pPr>
        <w:tabs>
          <w:tab w:val="left" w:pos="90"/>
          <w:tab w:val="left" w:pos="450"/>
        </w:tabs>
        <w:spacing w:after="200" w:line="480" w:lineRule="auto"/>
        <w:ind w:left="360"/>
        <w:jc w:val="center"/>
        <w:rPr>
          <w:rFonts w:ascii="Times New Roman" w:hAnsi="Times New Roman" w:cs="Times New Roman"/>
          <w:bCs/>
          <w:iCs/>
          <w:sz w:val="18"/>
          <w:szCs w:val="18"/>
        </w:rPr>
      </w:pPr>
      <w:r>
        <w:rPr>
          <w:rFonts w:ascii="Times New Roman" w:hAnsi="Times New Roman" w:cs="Times New Roman"/>
          <w:b/>
          <w:iCs/>
          <w:sz w:val="18"/>
          <w:szCs w:val="18"/>
        </w:rPr>
        <w:t xml:space="preserve">Figure 2.2 </w:t>
      </w:r>
      <w:r>
        <w:rPr>
          <w:rFonts w:ascii="Times New Roman" w:hAnsi="Times New Roman" w:cs="Times New Roman"/>
          <w:bCs/>
          <w:iCs/>
          <w:sz w:val="18"/>
          <w:szCs w:val="18"/>
        </w:rPr>
        <w:t xml:space="preserve">Lab-1’s research study shows </w:t>
      </w:r>
      <w:r w:rsidR="00790989">
        <w:rPr>
          <w:rFonts w:ascii="Times New Roman" w:hAnsi="Times New Roman" w:cs="Times New Roman"/>
          <w:bCs/>
          <w:iCs/>
          <w:sz w:val="18"/>
          <w:szCs w:val="18"/>
        </w:rPr>
        <w:t>the dangerous financial data and file exposure in cyber security incidents</w:t>
      </w:r>
    </w:p>
    <w:p w14:paraId="3D1529D9" w14:textId="77777777" w:rsidR="00167209" w:rsidRDefault="00167209" w:rsidP="00167209">
      <w:pPr>
        <w:tabs>
          <w:tab w:val="left" w:pos="450"/>
        </w:tabs>
        <w:spacing w:after="0" w:line="480" w:lineRule="auto"/>
        <w:ind w:left="360"/>
        <w:rPr>
          <w:rFonts w:ascii="Times New Roman" w:eastAsia="Arial" w:hAnsi="Times New Roman" w:cs="Times New Roman"/>
        </w:rPr>
      </w:pPr>
      <w:r>
        <w:rPr>
          <w:rFonts w:ascii="Times New Roman" w:hAnsi="Times New Roman" w:cs="Times New Roman"/>
        </w:rPr>
        <w:lastRenderedPageBreak/>
        <w:t>Among the various forms of financial fraud enabled by PII theft, credit card fraud remains the most frequently reported. The FTC recorded approximately 503,450 credit card fraud cases in the first three quarters of 2025 alone (Caporal, 2026). This is an increase of nearly 180,000 cases over the same period in the prior year, reflecting an accelerating trend that underscores the urgency of improved detection frameworks (Caporal, 2026).</w:t>
      </w:r>
    </w:p>
    <w:p w14:paraId="6FF3337C" w14:textId="77777777" w:rsidR="00093EFD" w:rsidRDefault="00000000">
      <w:pPr>
        <w:tabs>
          <w:tab w:val="left" w:pos="450"/>
        </w:tabs>
        <w:spacing w:after="200" w:line="480" w:lineRule="auto"/>
        <w:ind w:left="360"/>
        <w:rPr>
          <w:rFonts w:ascii="Times New Roman" w:hAnsi="Times New Roman" w:cs="Times New Roman"/>
        </w:rPr>
      </w:pPr>
      <w:r>
        <w:rPr>
          <w:rFonts w:ascii="Times New Roman" w:hAnsi="Times New Roman" w:cs="Times New Roman"/>
        </w:rPr>
        <w:t>While this body of research thoroughly documents the scale, market value, and consumer consequences of financial PII theft, its focus is largely on the criminal economy and on victim impact after data has already been stolen. Far less attention has been paid to how this knowledge could be operationalized defensively, for example, by using the known monetization value of specific data types to inform how a SOC prioritizes the alerts that involve them. The significance of that omission is underscored by IBM Security and Ponemon Institute’s (2025) finding that customer PII was the most frequently compromised data type, present in 53% of the breaches studied. In other words, the data type that the literature shows attackers most consistently pursue is precisely the data type for which detection workflows lack dedicated context, and it is this disconnect that the present research is designed to address.</w:t>
      </w:r>
    </w:p>
    <w:p w14:paraId="600B0B17" w14:textId="77777777" w:rsidR="00D9506A" w:rsidRPr="00A25DEE" w:rsidRDefault="00D9506A" w:rsidP="00D9506A">
      <w:pPr>
        <w:tabs>
          <w:tab w:val="left" w:pos="450"/>
        </w:tabs>
        <w:spacing w:after="0" w:line="480" w:lineRule="auto"/>
        <w:ind w:left="360"/>
        <w:rPr>
          <w:rFonts w:ascii="Times New Roman" w:hAnsi="Times New Roman" w:cs="Times New Roman"/>
        </w:rPr>
      </w:pPr>
    </w:p>
    <w:p w14:paraId="22B552B0" w14:textId="77777777" w:rsidR="00A25DEE" w:rsidRPr="00650D93" w:rsidRDefault="00650D93" w:rsidP="00D9506A">
      <w:pPr>
        <w:pStyle w:val="Heading2"/>
        <w:spacing w:before="0" w:after="0" w:line="480" w:lineRule="auto"/>
      </w:pPr>
      <w:bookmarkStart w:id="31" w:name="_Toc235394956"/>
      <w:r>
        <w:t>2.3 Common Attack Vectors Used by Threat Actors</w:t>
      </w:r>
      <w:bookmarkEnd w:id="31"/>
    </w:p>
    <w:p w14:paraId="213201E8" w14:textId="77777777" w:rsidR="00A25DEE" w:rsidRDefault="00A25DEE" w:rsidP="00D9506A">
      <w:pPr>
        <w:spacing w:after="0" w:line="480" w:lineRule="auto"/>
        <w:ind w:left="360"/>
        <w:rPr>
          <w:rFonts w:ascii="Times New Roman" w:eastAsia="Arial" w:hAnsi="Times New Roman" w:cs="Times New Roman"/>
        </w:rPr>
      </w:pPr>
      <w:r>
        <w:rPr>
          <w:rFonts w:ascii="Times New Roman" w:eastAsia="Arial" w:hAnsi="Times New Roman" w:cs="Times New Roman"/>
        </w:rPr>
        <w:t>When it comes to cybersecurity attacks and identity theft for financial fraud that involves stealing PII, across different literature and analysis, it is clear that threat actors primarily use phishing, malware, or data breaches to drain accounts, open new fraudulent credit lines, or commit tax fraud (Federal Bureau of Investigation [FBI], 2025).</w:t>
      </w:r>
    </w:p>
    <w:p w14:paraId="167FDE33" w14:textId="77777777" w:rsidR="00093EFD" w:rsidRDefault="00000000">
      <w:pPr>
        <w:tabs>
          <w:tab w:val="left" w:pos="450"/>
        </w:tabs>
        <w:spacing w:after="200" w:line="480" w:lineRule="auto"/>
        <w:ind w:left="360"/>
        <w:rPr>
          <w:rFonts w:ascii="Times New Roman" w:hAnsi="Times New Roman" w:cs="Times New Roman"/>
        </w:rPr>
      </w:pPr>
      <w:r>
        <w:rPr>
          <w:rFonts w:ascii="Times New Roman" w:hAnsi="Times New Roman" w:cs="Times New Roman"/>
        </w:rPr>
        <w:lastRenderedPageBreak/>
        <w:t>Large annual industry datasets corroborate this characterization and provide an empirical baseline for the attack vectors reviewed in this section. Verizon’s (2025) Data Breach Investigations Report, which analyzed more than 22,000 incidents including over 12,000 confirmed breaches, found that credential abuse (22%) and the exploitation of vulnerabilities (20%) were the leading initial access vectors, that the human element was present in roughly 60% of breaches, and that ransomware appeared in 44% of breaches. Mandiant (2025), drawing on its global incident response caseload, similarly identified exploits (33%) and stolen credentials (16%) as the most common initial infection vectors and reported that the financial sector was the single most targeted industry, accounting for more than 17% of its investigations. The convergence of these independent datasets supports the conclusion that PII-focused attacks are multi-stage campaigns that nonetheless begin with a small, well-understood set of entry techniques, each of which is examined below.</w:t>
      </w:r>
    </w:p>
    <w:p w14:paraId="427C17DB" w14:textId="77777777" w:rsidR="00D9506A" w:rsidRPr="00A25DEE" w:rsidRDefault="00D9506A" w:rsidP="00D9506A">
      <w:pPr>
        <w:spacing w:after="0" w:line="480" w:lineRule="auto"/>
        <w:ind w:left="360"/>
        <w:rPr>
          <w:rFonts w:ascii="Times New Roman" w:hAnsi="Times New Roman" w:cs="Times New Roman"/>
        </w:rPr>
      </w:pPr>
    </w:p>
    <w:p w14:paraId="2DABF16B" w14:textId="77777777" w:rsidR="00A25DEE" w:rsidRPr="00A25DEE" w:rsidRDefault="00650D93" w:rsidP="00C16C5F">
      <w:pPr>
        <w:pStyle w:val="Heading3"/>
        <w:numPr>
          <w:ilvl w:val="0"/>
          <w:numId w:val="0"/>
        </w:numPr>
        <w:spacing w:after="0" w:line="480" w:lineRule="auto"/>
        <w:ind w:left="450"/>
        <w:rPr>
          <w:rFonts w:cs="Times New Roman"/>
        </w:rPr>
      </w:pPr>
      <w:bookmarkStart w:id="32" w:name="_Toc235394957"/>
      <w:r>
        <w:rPr>
          <w:rFonts w:eastAsia="Arial" w:cs="Times New Roman"/>
          <w:sz w:val="26"/>
          <w:szCs w:val="26"/>
        </w:rPr>
        <w:t>2.3.1 Phishing and Social Engineering</w:t>
      </w:r>
      <w:bookmarkEnd w:id="32"/>
    </w:p>
    <w:p w14:paraId="38596CF0" w14:textId="77777777" w:rsidR="00A25DEE" w:rsidRPr="00A25DEE" w:rsidRDefault="00A25DEE" w:rsidP="00C16C5F">
      <w:pPr>
        <w:spacing w:after="200" w:line="480" w:lineRule="auto"/>
        <w:ind w:left="630"/>
        <w:rPr>
          <w:rFonts w:ascii="Times New Roman" w:hAnsi="Times New Roman" w:cs="Times New Roman"/>
        </w:rPr>
      </w:pPr>
      <w:r>
        <w:rPr>
          <w:rFonts w:ascii="Times New Roman" w:eastAsia="Arial" w:hAnsi="Times New Roman" w:cs="Times New Roman"/>
        </w:rPr>
        <w:t xml:space="preserve">Phishing remains one of the most prevalent and cost-effective methods for harvesting PII on a large-scale basis. The research on phishing shows a </w:t>
      </w:r>
      <w:proofErr w:type="gramStart"/>
      <w:r>
        <w:rPr>
          <w:rFonts w:ascii="Times New Roman" w:eastAsia="Arial" w:hAnsi="Times New Roman" w:cs="Times New Roman"/>
        </w:rPr>
        <w:t>fairly standard</w:t>
      </w:r>
      <w:proofErr w:type="gramEnd"/>
      <w:r>
        <w:rPr>
          <w:rFonts w:ascii="Times New Roman" w:eastAsia="Arial" w:hAnsi="Times New Roman" w:cs="Times New Roman"/>
        </w:rPr>
        <w:t xml:space="preserve"> pattern that leads to a successful data breach. To start, threat actors send deceptive emails that impersonate trusted brands, such as banks, payment processors, tax authorities, or healthcare providers, all to lure victims into providing login credentials, Social Security numbers, or financial account details. Spear phishing elevates this technique by tailoring messages to specific individuals using publicly available information gathered from social media, LinkedIn, or prior breach data, dramatically increasing the likelihood of success.</w:t>
      </w:r>
    </w:p>
    <w:p w14:paraId="59B50F93" w14:textId="77777777" w:rsidR="00A25DEE" w:rsidRDefault="00A25DEE" w:rsidP="00D9506A">
      <w:pPr>
        <w:tabs>
          <w:tab w:val="left" w:pos="450"/>
          <w:tab w:val="left" w:pos="540"/>
        </w:tabs>
        <w:spacing w:after="0" w:line="480" w:lineRule="auto"/>
        <w:ind w:left="540"/>
        <w:rPr>
          <w:rFonts w:ascii="Times New Roman" w:eastAsia="Arial" w:hAnsi="Times New Roman" w:cs="Times New Roman"/>
        </w:rPr>
      </w:pPr>
      <w:r>
        <w:rPr>
          <w:rFonts w:ascii="Times New Roman" w:eastAsia="Arial" w:hAnsi="Times New Roman" w:cs="Times New Roman"/>
        </w:rPr>
        <w:lastRenderedPageBreak/>
        <w:t>Vishing (voice phishing) and smishing (SMS phishing) extend the same deception to phone calls and text messages respectively, often targeting elderly individuals or employees who may be less familiar with these attack formats. Business Email Compromise (BEC), a sophisticated form of social engineering, involves compromising or spoofing executive email accounts to authorize fraudulent wire transfers or redirect payroll deposits, costing U.S. businesses billions of dollars annually. Research from the FBI’s Internet Crime Complaint Center (IC3) consistently ranks BEC among the top financial cybercrime categories by total losses.</w:t>
      </w:r>
    </w:p>
    <w:p w14:paraId="122352D2" w14:textId="77777777" w:rsidR="00D9506A" w:rsidRPr="00A25DEE" w:rsidRDefault="00D9506A" w:rsidP="00D9506A">
      <w:pPr>
        <w:tabs>
          <w:tab w:val="left" w:pos="450"/>
          <w:tab w:val="left" w:pos="540"/>
        </w:tabs>
        <w:spacing w:after="0" w:line="480" w:lineRule="auto"/>
        <w:ind w:left="540"/>
        <w:rPr>
          <w:rFonts w:ascii="Times New Roman" w:hAnsi="Times New Roman" w:cs="Times New Roman"/>
        </w:rPr>
      </w:pPr>
    </w:p>
    <w:p w14:paraId="702D02A6" w14:textId="77777777" w:rsidR="00A25DEE" w:rsidRPr="00A25DEE" w:rsidRDefault="00650D93" w:rsidP="00C16C5F">
      <w:pPr>
        <w:pStyle w:val="Heading3"/>
        <w:numPr>
          <w:ilvl w:val="0"/>
          <w:numId w:val="0"/>
        </w:numPr>
        <w:spacing w:after="0" w:line="480" w:lineRule="auto"/>
        <w:ind w:left="450"/>
      </w:pPr>
      <w:bookmarkStart w:id="33" w:name="_Toc235394958"/>
      <w:r>
        <w:t>2.3.2 Malware and Credential Theft</w:t>
      </w:r>
      <w:bookmarkEnd w:id="33"/>
    </w:p>
    <w:p w14:paraId="09CB9BA2" w14:textId="77777777" w:rsidR="00A25DEE" w:rsidRPr="00A25DEE" w:rsidRDefault="00A25DEE" w:rsidP="00C16C5F">
      <w:pPr>
        <w:tabs>
          <w:tab w:val="left" w:pos="90"/>
        </w:tabs>
        <w:spacing w:after="200" w:line="480" w:lineRule="auto"/>
        <w:ind w:left="630"/>
        <w:rPr>
          <w:rFonts w:ascii="Times New Roman" w:hAnsi="Times New Roman" w:cs="Times New Roman"/>
        </w:rPr>
      </w:pPr>
      <w:r>
        <w:rPr>
          <w:rFonts w:ascii="Times New Roman" w:eastAsia="Arial" w:hAnsi="Times New Roman" w:cs="Times New Roman"/>
        </w:rPr>
        <w:t>Malware deployed against individuals and financial organizations takes many forms, each optimized for a specific stage of the attack lifecycle. Keyloggers silently record every keystroke on an infected device, capturing usernames, passwords, PINs, and answers to security questions. Infostealers, a class of malware, automatically harvest saved browser credentials, session cookies, autofill data, and cryptocurrency wallet files before exfiltrating the collected data to attacker-controlled infrastructure. These tools are widely available through Malware-as-a-Service (MaaS) platforms on dark web forums, lowering the technical barrier for entry-level cybercriminals.</w:t>
      </w:r>
    </w:p>
    <w:p w14:paraId="631E5D1B" w14:textId="77777777" w:rsidR="00A25DEE" w:rsidRDefault="00A25DEE" w:rsidP="00C16C5F">
      <w:pPr>
        <w:tabs>
          <w:tab w:val="left" w:pos="90"/>
        </w:tabs>
        <w:spacing w:after="0" w:line="480" w:lineRule="auto"/>
        <w:ind w:left="630"/>
        <w:rPr>
          <w:rFonts w:ascii="Times New Roman" w:eastAsia="Arial" w:hAnsi="Times New Roman" w:cs="Times New Roman"/>
        </w:rPr>
      </w:pPr>
      <w:r>
        <w:rPr>
          <w:rFonts w:ascii="Times New Roman" w:eastAsia="Arial" w:hAnsi="Times New Roman" w:cs="Times New Roman"/>
        </w:rPr>
        <w:t xml:space="preserve">Banking trojans such as Emotet, TrickBot, and Dridex represent a more sophisticated category of financial malware. These threats are designed specifically to intercept online banking sessions, inject fraudulent web content into legitimate bank portals, and redirect transactions without triggering visible alerts to the victim. Once installed, they can also function as loaders—deploying additional payloads such as ransomware or remote access </w:t>
      </w:r>
      <w:r>
        <w:rPr>
          <w:rFonts w:ascii="Times New Roman" w:eastAsia="Arial" w:hAnsi="Times New Roman" w:cs="Times New Roman"/>
        </w:rPr>
        <w:lastRenderedPageBreak/>
        <w:t>tools (RATs)—enabling threat actors to pivot from credential theft to full network compromise.</w:t>
      </w:r>
    </w:p>
    <w:p w14:paraId="1EE6CB0C" w14:textId="77777777" w:rsidR="00D9506A" w:rsidRDefault="00D9506A" w:rsidP="00D9506A">
      <w:pPr>
        <w:tabs>
          <w:tab w:val="left" w:pos="90"/>
        </w:tabs>
        <w:spacing w:after="0" w:line="480" w:lineRule="auto"/>
        <w:ind w:left="540"/>
        <w:rPr>
          <w:rFonts w:ascii="Times New Roman" w:hAnsi="Times New Roman" w:cs="Times New Roman"/>
        </w:rPr>
      </w:pPr>
    </w:p>
    <w:p w14:paraId="35FCFFC6" w14:textId="77777777" w:rsidR="00C16C5F" w:rsidRPr="00A25DEE" w:rsidRDefault="00C16C5F" w:rsidP="00D9506A">
      <w:pPr>
        <w:tabs>
          <w:tab w:val="left" w:pos="90"/>
        </w:tabs>
        <w:spacing w:after="0" w:line="480" w:lineRule="auto"/>
        <w:ind w:left="540"/>
        <w:rPr>
          <w:rFonts w:ascii="Times New Roman" w:hAnsi="Times New Roman" w:cs="Times New Roman"/>
        </w:rPr>
      </w:pPr>
    </w:p>
    <w:p w14:paraId="45ED11B1" w14:textId="77777777" w:rsidR="00A25DEE" w:rsidRPr="00A25DEE" w:rsidRDefault="00A25DEE" w:rsidP="00C16C5F">
      <w:pPr>
        <w:pStyle w:val="Heading3"/>
        <w:numPr>
          <w:ilvl w:val="2"/>
          <w:numId w:val="11"/>
        </w:numPr>
        <w:tabs>
          <w:tab w:val="left" w:pos="1080"/>
        </w:tabs>
        <w:spacing w:after="0" w:line="480" w:lineRule="auto"/>
        <w:ind w:left="450" w:firstLine="0"/>
        <w:rPr>
          <w:rFonts w:cs="Times New Roman"/>
        </w:rPr>
      </w:pPr>
      <w:bookmarkStart w:id="34" w:name="_Toc235394959"/>
      <w:r>
        <w:rPr>
          <w:rFonts w:eastAsia="Arial" w:cs="Times New Roman"/>
          <w:sz w:val="26"/>
          <w:szCs w:val="26"/>
        </w:rPr>
        <w:t>Data Breaches and Large-Scale PII Exfiltration</w:t>
      </w:r>
      <w:bookmarkEnd w:id="34"/>
    </w:p>
    <w:p w14:paraId="32CC8712" w14:textId="77777777" w:rsidR="00A25DEE" w:rsidRPr="00A25DEE" w:rsidRDefault="00A25DEE" w:rsidP="00C16C5F">
      <w:pPr>
        <w:spacing w:after="0" w:line="480" w:lineRule="auto"/>
        <w:ind w:left="630"/>
        <w:rPr>
          <w:rFonts w:ascii="Times New Roman" w:hAnsi="Times New Roman" w:cs="Times New Roman"/>
        </w:rPr>
      </w:pPr>
      <w:r>
        <w:rPr>
          <w:rFonts w:ascii="Times New Roman" w:eastAsia="Arial" w:hAnsi="Times New Roman" w:cs="Times New Roman"/>
        </w:rPr>
        <w:t>Large-scale data breaches represent the most impactful avenue for mass PII acquisition. Research and analysis of well-known large-scale attacks shows that threat actors targeting financial institutions, healthcare systems, and government databases can exfiltrate millions of records in a single operation, providing rich datasets that combine names, addresses, dates of birth, Social Security numbers, financial account details, and employment history. This aggregation allows for highly credible identity fraud, since the attacker can answer knowledge-based authentication (KBA) questions with precision.</w:t>
      </w:r>
    </w:p>
    <w:p w14:paraId="6B669A39" w14:textId="77777777" w:rsidR="00A25DEE" w:rsidRDefault="00A25DEE" w:rsidP="00C16C5F">
      <w:pPr>
        <w:spacing w:after="200" w:line="480" w:lineRule="auto"/>
        <w:ind w:left="630"/>
        <w:rPr>
          <w:rFonts w:ascii="Times New Roman" w:eastAsia="Arial" w:hAnsi="Times New Roman" w:cs="Times New Roman"/>
        </w:rPr>
      </w:pPr>
      <w:r>
        <w:rPr>
          <w:rFonts w:ascii="Times New Roman" w:eastAsia="Arial" w:hAnsi="Times New Roman" w:cs="Times New Roman"/>
        </w:rPr>
        <w:t xml:space="preserve">Initial access to target systems is commonly achieved through exploitation of unpatched software vulnerabilities, compromised third-party vendor credentials, or brute-force attacks against externally exposed services such as Remote Desktop Protocol (RDP) or Virtual Private Network (VPN) gateways. Once inside a network, threat actors move laterally using legitimate administrative tools, a very difficult to detect technique known as “living off the land”, to avoid triggering security alerts. Privileged access to databases containing customer PII is then leveraged to exfiltrate data quietly over extended periods. The empirical evidence on detection timelines reinforces how effective this quiet approach remains: IBM Security and Ponemon Institute (2025) reported that the average breach took 241 days to identify and contain, and Mandiant (2025) found that 57% of compromises were first identified by an external party, such as law enforcement or the </w:t>
      </w:r>
      <w:r>
        <w:rPr>
          <w:rFonts w:ascii="Times New Roman" w:eastAsia="Arial" w:hAnsi="Times New Roman" w:cs="Times New Roman"/>
        </w:rPr>
        <w:lastRenderedPageBreak/>
        <w:t>attackers themselves, rather than by the victim’s own security team. Both findings indicate that exfiltration campaigns routinely outlast the defender’s detection window.</w:t>
      </w:r>
    </w:p>
    <w:p w14:paraId="2BAC9921" w14:textId="77777777" w:rsidR="00E32803" w:rsidRPr="00A25DEE" w:rsidRDefault="00E32803" w:rsidP="00C16C5F">
      <w:pPr>
        <w:spacing w:after="200" w:line="480" w:lineRule="auto"/>
        <w:ind w:left="630"/>
        <w:rPr>
          <w:rFonts w:ascii="Times New Roman" w:hAnsi="Times New Roman" w:cs="Times New Roman"/>
        </w:rPr>
      </w:pPr>
    </w:p>
    <w:p w14:paraId="5A3770FF" w14:textId="77777777" w:rsidR="00A25DEE" w:rsidRPr="00A25DEE" w:rsidRDefault="00A25DEE" w:rsidP="00C16C5F">
      <w:pPr>
        <w:pStyle w:val="Heading3"/>
        <w:numPr>
          <w:ilvl w:val="2"/>
          <w:numId w:val="11"/>
        </w:numPr>
        <w:ind w:left="1080" w:hanging="630"/>
      </w:pPr>
      <w:bookmarkStart w:id="35" w:name="_Toc235394960"/>
      <w:r>
        <w:t>The Evolution of Ransomware: From Encryption to Double and Triple Extortion</w:t>
      </w:r>
      <w:bookmarkEnd w:id="35"/>
    </w:p>
    <w:p w14:paraId="1BF6BCE2" w14:textId="4FFA923D" w:rsidR="00A25DEE" w:rsidRDefault="00D459A1" w:rsidP="00C16C5F">
      <w:pPr>
        <w:spacing w:after="0" w:line="480" w:lineRule="auto"/>
        <w:ind w:left="630"/>
        <w:rPr>
          <w:rFonts w:ascii="Times New Roman" w:eastAsia="Arial" w:hAnsi="Times New Roman" w:cs="Times New Roman"/>
        </w:rPr>
      </w:pPr>
      <w:r>
        <w:rPr>
          <w:rFonts w:ascii="Times New Roman" w:eastAsia="Arial" w:hAnsi="Times New Roman" w:cs="Times New Roman"/>
        </w:rPr>
        <w:t>While many associate Ransomware with collecting funds from encrypted data, the reality is that has undergone a dramatic strategic evolution since the early days of indiscriminate campaigns that simply encrypted files and demanded small Bitcoin payments for decryption keys. Based on several research articles and papers, the next several sections discuss the evolution of ransomware that is relevant to data theft of PII. Ransomware operations are now highly organized, often structured as Ransomware-as-a-Service (RaaS) enterprises with dedicated development teams, affiliate networks, negotiation specialists, and even customer support portals for victims. However, the important change is that most threat actors will start with theft of PII before encryption even occurs. With its high regulatory exposure, operational dependency on continuous data availability, and repositories of sensitive PII, the financial services sector has become a primary target.</w:t>
      </w:r>
      <w:r w:rsidR="00790989">
        <w:rPr>
          <w:rFonts w:ascii="Times New Roman" w:eastAsia="Arial" w:hAnsi="Times New Roman" w:cs="Times New Roman"/>
        </w:rPr>
        <w:t xml:space="preserve"> </w:t>
      </w:r>
    </w:p>
    <w:p w14:paraId="63B8E033" w14:textId="77777777" w:rsidR="00424066" w:rsidRDefault="00EC63D5" w:rsidP="00424066">
      <w:pPr>
        <w:spacing w:after="0" w:line="480" w:lineRule="auto"/>
        <w:ind w:left="540"/>
        <w:rPr>
          <w:rFonts w:ascii="Times New Roman" w:eastAsia="Arial" w:hAnsi="Times New Roman" w:cs="Times New Roman"/>
        </w:rPr>
      </w:pPr>
      <w:r>
        <w:rPr>
          <w:rFonts w:ascii="Times New Roman" w:eastAsia="Arial" w:hAnsi="Times New Roman" w:cs="Times New Roman"/>
          <w:noProof/>
        </w:rPr>
        <w:lastRenderedPageBreak/>
        <w:drawing>
          <wp:inline distT="0" distB="0" distL="0" distR="0" wp14:anchorId="5F910512" wp14:editId="6DE3AE38">
            <wp:extent cx="5730737" cy="2658086"/>
            <wp:effectExtent l="0" t="0" r="3810" b="9525"/>
            <wp:docPr id="1375554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54970" name="Picture 1375554970"/>
                    <pic:cNvPicPr/>
                  </pic:nvPicPr>
                  <pic:blipFill>
                    <a:blip r:embed="rId17">
                      <a:extLst>
                        <a:ext uri="{28A0092B-C50C-407E-A947-70E740481C1C}">
                          <a14:useLocalDpi xmlns:a14="http://schemas.microsoft.com/office/drawing/2010/main" val="0"/>
                        </a:ext>
                      </a:extLst>
                    </a:blip>
                    <a:stretch>
                      <a:fillRect/>
                    </a:stretch>
                  </pic:blipFill>
                  <pic:spPr>
                    <a:xfrm>
                      <a:off x="0" y="0"/>
                      <a:ext cx="5730737" cy="2658086"/>
                    </a:xfrm>
                    <a:prstGeom prst="rect">
                      <a:avLst/>
                    </a:prstGeom>
                  </pic:spPr>
                </pic:pic>
              </a:graphicData>
            </a:graphic>
          </wp:inline>
        </w:drawing>
      </w:r>
    </w:p>
    <w:p w14:paraId="467DE3E9" w14:textId="20D55F09" w:rsidR="00EC63D5" w:rsidRPr="001341B1" w:rsidRDefault="00EC63D5" w:rsidP="00EC63D5">
      <w:pPr>
        <w:tabs>
          <w:tab w:val="left" w:pos="450"/>
        </w:tabs>
        <w:spacing w:after="0" w:line="480" w:lineRule="auto"/>
        <w:ind w:left="360"/>
        <w:jc w:val="center"/>
        <w:rPr>
          <w:rFonts w:ascii="Times New Roman" w:hAnsi="Times New Roman" w:cs="Times New Roman"/>
          <w:iCs/>
          <w:sz w:val="18"/>
          <w:szCs w:val="18"/>
        </w:rPr>
      </w:pPr>
      <w:r>
        <w:rPr>
          <w:rFonts w:ascii="Times New Roman" w:hAnsi="Times New Roman" w:cs="Times New Roman"/>
          <w:b/>
          <w:iCs/>
          <w:sz w:val="18"/>
          <w:szCs w:val="18"/>
        </w:rPr>
        <w:t>Figure 2.</w:t>
      </w:r>
      <w:r w:rsidR="00790989">
        <w:rPr>
          <w:rFonts w:ascii="Times New Roman" w:hAnsi="Times New Roman" w:cs="Times New Roman"/>
          <w:b/>
          <w:iCs/>
          <w:sz w:val="18"/>
          <w:szCs w:val="18"/>
        </w:rPr>
        <w:t>3</w:t>
      </w:r>
      <w:r w:rsidR="001622A8">
        <w:rPr>
          <w:rFonts w:ascii="Times New Roman" w:hAnsi="Times New Roman" w:cs="Times New Roman"/>
          <w:b/>
          <w:iCs/>
          <w:sz w:val="18"/>
          <w:szCs w:val="18"/>
        </w:rPr>
        <w:t xml:space="preserve"> </w:t>
      </w:r>
      <w:r>
        <w:rPr>
          <w:rFonts w:ascii="Times New Roman" w:hAnsi="Times New Roman" w:cs="Times New Roman"/>
          <w:bCs/>
          <w:iCs/>
          <w:sz w:val="18"/>
          <w:szCs w:val="18"/>
        </w:rPr>
        <w:t>Evolution of Ransomware from Encryption to more advanced monetary gains</w:t>
      </w:r>
    </w:p>
    <w:p w14:paraId="669D4440" w14:textId="77777777" w:rsidR="00EC63D5" w:rsidRDefault="00EC63D5" w:rsidP="00424066">
      <w:pPr>
        <w:spacing w:after="0" w:line="480" w:lineRule="auto"/>
        <w:ind w:left="540"/>
        <w:rPr>
          <w:rFonts w:ascii="Times New Roman" w:eastAsia="Arial" w:hAnsi="Times New Roman" w:cs="Times New Roman"/>
        </w:rPr>
      </w:pPr>
    </w:p>
    <w:p w14:paraId="3A502697" w14:textId="77777777" w:rsidR="00A25DEE" w:rsidRPr="00A25DEE" w:rsidRDefault="00A25DEE" w:rsidP="00C16C5F">
      <w:pPr>
        <w:pStyle w:val="Heading3"/>
        <w:numPr>
          <w:ilvl w:val="2"/>
          <w:numId w:val="11"/>
        </w:numPr>
        <w:tabs>
          <w:tab w:val="left" w:pos="1080"/>
        </w:tabs>
        <w:spacing w:after="0" w:line="480" w:lineRule="auto"/>
        <w:ind w:left="1080" w:hanging="630"/>
        <w:rPr>
          <w:rFonts w:cs="Times New Roman"/>
        </w:rPr>
      </w:pPr>
      <w:bookmarkStart w:id="36" w:name="_Toc235394961"/>
      <w:r>
        <w:rPr>
          <w:rFonts w:eastAsia="Arial" w:cs="Times New Roman"/>
          <w:sz w:val="26"/>
          <w:szCs w:val="26"/>
        </w:rPr>
        <w:t>Encryption-Only Ransomware</w:t>
      </w:r>
      <w:bookmarkEnd w:id="36"/>
    </w:p>
    <w:p w14:paraId="2FE53271" w14:textId="4C427887" w:rsidR="00A25DEE" w:rsidRDefault="00790989" w:rsidP="00C16C5F">
      <w:pPr>
        <w:spacing w:after="0" w:line="480" w:lineRule="auto"/>
        <w:ind w:left="630"/>
        <w:rPr>
          <w:rFonts w:ascii="Times New Roman" w:eastAsia="Arial" w:hAnsi="Times New Roman" w:cs="Times New Roman"/>
        </w:rPr>
      </w:pPr>
      <w:r>
        <w:rPr>
          <w:rFonts w:ascii="Times New Roman" w:eastAsia="Arial" w:hAnsi="Times New Roman" w:cs="Times New Roman"/>
        </w:rPr>
        <w:t xml:space="preserve">As Figure 2.3 shows, ransomware has evolved over time. </w:t>
      </w:r>
      <w:r w:rsidR="00A25DEE">
        <w:rPr>
          <w:rFonts w:ascii="Times New Roman" w:eastAsia="Arial" w:hAnsi="Times New Roman" w:cs="Times New Roman"/>
        </w:rPr>
        <w:t xml:space="preserve">Early ransomware such as </w:t>
      </w:r>
      <w:proofErr w:type="spellStart"/>
      <w:r w:rsidR="00A25DEE">
        <w:rPr>
          <w:rFonts w:ascii="Times New Roman" w:eastAsia="Arial" w:hAnsi="Times New Roman" w:cs="Times New Roman"/>
        </w:rPr>
        <w:t>CryptoLocker</w:t>
      </w:r>
      <w:proofErr w:type="spellEnd"/>
      <w:r w:rsidR="00A25DEE">
        <w:rPr>
          <w:rFonts w:ascii="Times New Roman" w:eastAsia="Arial" w:hAnsi="Times New Roman" w:cs="Times New Roman"/>
        </w:rPr>
        <w:t xml:space="preserve"> (2013) and WannaCry (2017) operated on a straightforward model: infect a system, encrypt files, and demand payment for decryption. Victims who maintained current backups could often recover without paying, which drove down ransom conversion rates and forced threat actors to rethink their leverage model. This phase, while financially damaging in aggregate, did not typically involve the deliberate theft and weaponization of sensitive data.</w:t>
      </w:r>
    </w:p>
    <w:p w14:paraId="06CCECC0" w14:textId="77777777" w:rsidR="009F608F" w:rsidRPr="00A25DEE" w:rsidRDefault="009F608F" w:rsidP="009F608F">
      <w:pPr>
        <w:spacing w:after="0" w:line="480" w:lineRule="auto"/>
        <w:ind w:left="450"/>
        <w:rPr>
          <w:rFonts w:ascii="Times New Roman" w:hAnsi="Times New Roman" w:cs="Times New Roman"/>
        </w:rPr>
      </w:pPr>
    </w:p>
    <w:p w14:paraId="7EA3311A" w14:textId="77777777" w:rsidR="00A25DEE" w:rsidRPr="00A25DEE" w:rsidRDefault="00A25DEE" w:rsidP="00C16C5F">
      <w:pPr>
        <w:pStyle w:val="Heading3"/>
        <w:numPr>
          <w:ilvl w:val="2"/>
          <w:numId w:val="11"/>
        </w:numPr>
        <w:tabs>
          <w:tab w:val="left" w:pos="1080"/>
        </w:tabs>
        <w:spacing w:after="0" w:line="480" w:lineRule="auto"/>
        <w:ind w:left="1620" w:hanging="1170"/>
        <w:rPr>
          <w:rFonts w:cs="Times New Roman"/>
        </w:rPr>
      </w:pPr>
      <w:bookmarkStart w:id="37" w:name="_Toc235394962"/>
      <w:r>
        <w:rPr>
          <w:rFonts w:eastAsia="Arial" w:cs="Times New Roman"/>
          <w:sz w:val="26"/>
          <w:szCs w:val="26"/>
        </w:rPr>
        <w:t>Double Extortion – Steal First, Encrypt Second</w:t>
      </w:r>
      <w:bookmarkEnd w:id="37"/>
    </w:p>
    <w:p w14:paraId="559FAADB" w14:textId="77777777" w:rsidR="00A25DEE" w:rsidRPr="00A25DEE" w:rsidRDefault="00A25DEE" w:rsidP="00C16C5F">
      <w:pPr>
        <w:tabs>
          <w:tab w:val="left" w:pos="90"/>
        </w:tabs>
        <w:spacing w:after="200" w:line="480" w:lineRule="auto"/>
        <w:ind w:left="630"/>
        <w:rPr>
          <w:rFonts w:ascii="Times New Roman" w:hAnsi="Times New Roman" w:cs="Times New Roman"/>
        </w:rPr>
      </w:pPr>
      <w:r>
        <w:rPr>
          <w:rFonts w:ascii="Times New Roman" w:eastAsia="Arial" w:hAnsi="Times New Roman" w:cs="Times New Roman"/>
        </w:rPr>
        <w:t xml:space="preserve">The introduction of double extortion, widely attributed to the Maze ransomware group around 2019–2020, fundamentally altered the threat landscape. Rather than moving immediately to encryption, threat actors began conducting extensive reconnaissance </w:t>
      </w:r>
      <w:r>
        <w:rPr>
          <w:rFonts w:ascii="Times New Roman" w:eastAsia="Arial" w:hAnsi="Times New Roman" w:cs="Times New Roman"/>
        </w:rPr>
        <w:lastRenderedPageBreak/>
        <w:t>within compromised networks to identify and exfiltrate the most sensitive data before deploying the encryption payload. This sequencing is deliberate: by stealing data first, attackers ensure they retain leverage even if the victim restores backups.</w:t>
      </w:r>
    </w:p>
    <w:p w14:paraId="696A6980" w14:textId="77777777" w:rsidR="00AB0164" w:rsidRDefault="00A25DEE" w:rsidP="00C16C5F">
      <w:pPr>
        <w:tabs>
          <w:tab w:val="left" w:pos="540"/>
          <w:tab w:val="left" w:pos="630"/>
        </w:tabs>
        <w:spacing w:after="200" w:line="480" w:lineRule="auto"/>
        <w:ind w:left="630"/>
        <w:rPr>
          <w:rFonts w:ascii="Times New Roman" w:eastAsia="Arial" w:hAnsi="Times New Roman" w:cs="Times New Roman"/>
        </w:rPr>
      </w:pPr>
      <w:r>
        <w:rPr>
          <w:rFonts w:ascii="Times New Roman" w:eastAsia="Arial" w:hAnsi="Times New Roman" w:cs="Times New Roman"/>
        </w:rPr>
        <w:t xml:space="preserve">For financial institutions, this pre-encryption exfiltration phase is particularly damaging. Threat actors specifically seek out high-value PII repositories: customer account records, loan applications, know-your-customer (KYC) documentation, Social Security numbers, tax identification records, credit histories, and internal employee HR files. These datasets are especially attractive because they can simultaneously be used to extort the victimized institution and </w:t>
      </w:r>
      <w:proofErr w:type="gramStart"/>
      <w:r>
        <w:rPr>
          <w:rFonts w:ascii="Times New Roman" w:eastAsia="Arial" w:hAnsi="Times New Roman" w:cs="Times New Roman"/>
        </w:rPr>
        <w:t>monetized</w:t>
      </w:r>
      <w:proofErr w:type="gramEnd"/>
      <w:r>
        <w:rPr>
          <w:rFonts w:ascii="Times New Roman" w:eastAsia="Arial" w:hAnsi="Times New Roman" w:cs="Times New Roman"/>
        </w:rPr>
        <w:t xml:space="preserve"> independently through sale on dark web marketplaces or deployment in follow-on identity theft campaigns.</w:t>
      </w:r>
    </w:p>
    <w:p w14:paraId="325E3A74" w14:textId="77777777" w:rsidR="00A25DEE" w:rsidRDefault="00A25DEE" w:rsidP="00C16C5F">
      <w:pPr>
        <w:tabs>
          <w:tab w:val="left" w:pos="540"/>
        </w:tabs>
        <w:spacing w:after="0" w:line="480" w:lineRule="auto"/>
        <w:ind w:left="630"/>
        <w:rPr>
          <w:rFonts w:ascii="Times New Roman" w:eastAsia="Arial" w:hAnsi="Times New Roman" w:cs="Times New Roman"/>
        </w:rPr>
      </w:pPr>
      <w:r>
        <w:rPr>
          <w:rFonts w:ascii="Times New Roman" w:eastAsia="Arial" w:hAnsi="Times New Roman" w:cs="Times New Roman"/>
        </w:rPr>
        <w:t xml:space="preserve">Groups such as LockBit, BlackCat (ALPHV), Cl0p, and BlackBasta have refined this approach into an industrialized workflow. After gaining initial access, frequently through phishing, </w:t>
      </w:r>
      <w:proofErr w:type="gramStart"/>
      <w:r>
        <w:rPr>
          <w:rFonts w:ascii="Times New Roman" w:eastAsia="Arial" w:hAnsi="Times New Roman" w:cs="Times New Roman"/>
        </w:rPr>
        <w:t>exposed</w:t>
      </w:r>
      <w:proofErr w:type="gramEnd"/>
      <w:r>
        <w:rPr>
          <w:rFonts w:ascii="Times New Roman" w:eastAsia="Arial" w:hAnsi="Times New Roman" w:cs="Times New Roman"/>
        </w:rPr>
        <w:t xml:space="preserve"> RDP, or exploitation of vulnerabilities in internet-facing systems, they deploy tools such as Cobalt Strike, Rclone, and MEGAsync to identify and quietly transfer terabytes of sensitive data to attacker-controlled cloud infrastructure over days or weeks. Only once data exfiltration is complete, they trigger the encryption payload, maximizing both disruption and extortion leverage.</w:t>
      </w:r>
    </w:p>
    <w:p w14:paraId="63F53DA5" w14:textId="77777777" w:rsidR="009F608F" w:rsidRPr="00A25DEE" w:rsidRDefault="009F608F" w:rsidP="009F608F">
      <w:pPr>
        <w:tabs>
          <w:tab w:val="left" w:pos="450"/>
          <w:tab w:val="left" w:pos="540"/>
        </w:tabs>
        <w:spacing w:after="0" w:line="480" w:lineRule="auto"/>
        <w:ind w:left="450"/>
        <w:rPr>
          <w:rFonts w:ascii="Times New Roman" w:hAnsi="Times New Roman" w:cs="Times New Roman"/>
        </w:rPr>
      </w:pPr>
    </w:p>
    <w:p w14:paraId="524AC40C" w14:textId="77777777" w:rsidR="00A25DEE" w:rsidRPr="00A25DEE" w:rsidRDefault="00A25DEE" w:rsidP="001F4F23">
      <w:pPr>
        <w:pStyle w:val="Heading3"/>
        <w:numPr>
          <w:ilvl w:val="2"/>
          <w:numId w:val="11"/>
        </w:numPr>
        <w:tabs>
          <w:tab w:val="left" w:pos="720"/>
          <w:tab w:val="left" w:pos="1080"/>
        </w:tabs>
        <w:spacing w:after="0" w:line="480" w:lineRule="auto"/>
        <w:ind w:left="450" w:firstLine="0"/>
        <w:rPr>
          <w:rFonts w:cs="Times New Roman"/>
        </w:rPr>
      </w:pPr>
      <w:bookmarkStart w:id="38" w:name="_Toc235394963"/>
      <w:r>
        <w:rPr>
          <w:rFonts w:eastAsia="Arial" w:cs="Times New Roman"/>
          <w:sz w:val="26"/>
          <w:szCs w:val="26"/>
        </w:rPr>
        <w:t>Triple Extortion and Regulatory Weaponization</w:t>
      </w:r>
      <w:bookmarkEnd w:id="38"/>
    </w:p>
    <w:p w14:paraId="194FE9C9" w14:textId="77777777" w:rsidR="00A25DEE" w:rsidRPr="00A25DEE" w:rsidRDefault="00A25DEE" w:rsidP="001F4F23">
      <w:pPr>
        <w:spacing w:after="200" w:line="480" w:lineRule="auto"/>
        <w:ind w:left="630"/>
        <w:rPr>
          <w:rFonts w:ascii="Times New Roman" w:hAnsi="Times New Roman" w:cs="Times New Roman"/>
        </w:rPr>
      </w:pPr>
      <w:r>
        <w:rPr>
          <w:rFonts w:ascii="Times New Roman" w:eastAsia="Arial" w:hAnsi="Times New Roman" w:cs="Times New Roman"/>
        </w:rPr>
        <w:t xml:space="preserve">More recently, threat actors have adopted triple extortion tactics that layer additional pressure on top of data theft and encryption. In this model, attackers simultaneously threaten to: (1) publish stolen data publicly on dedicated “leak sites” hosted on the dark web; (2) notify or directly contact the affected institution’s customers, partners, or </w:t>
      </w:r>
      <w:r>
        <w:rPr>
          <w:rFonts w:ascii="Times New Roman" w:eastAsia="Arial" w:hAnsi="Times New Roman" w:cs="Times New Roman"/>
        </w:rPr>
        <w:lastRenderedPageBreak/>
        <w:t>regulators about the breach; and (3) launch distributed denial-of-service (DDoS) attacks against the victim’s public-facing infrastructure to compound operational disruption.</w:t>
      </w:r>
    </w:p>
    <w:p w14:paraId="29C88D4D" w14:textId="77777777" w:rsidR="00A25DEE" w:rsidRDefault="00A25DEE" w:rsidP="001F4F23">
      <w:pPr>
        <w:spacing w:after="0" w:line="480" w:lineRule="auto"/>
        <w:ind w:left="630"/>
        <w:rPr>
          <w:rFonts w:ascii="Times New Roman" w:eastAsia="Arial" w:hAnsi="Times New Roman" w:cs="Times New Roman"/>
        </w:rPr>
      </w:pPr>
      <w:r>
        <w:rPr>
          <w:rFonts w:ascii="Times New Roman" w:eastAsia="Arial" w:hAnsi="Times New Roman" w:cs="Times New Roman"/>
        </w:rPr>
        <w:t>For financial institutions, the regulatory repercussions of this threat can be very severe. A breach involving customer PII triggers mandatory notification requirements under frameworks such as the Gramm-Leach-Bliley Act (GLBA), the New York Department of Financial Services (NYDFS) Cybersecurity Regulation (23 NYCRR 500), and various state-</w:t>
      </w:r>
      <w:proofErr w:type="gramStart"/>
      <w:r>
        <w:rPr>
          <w:rFonts w:ascii="Times New Roman" w:eastAsia="Arial" w:hAnsi="Times New Roman" w:cs="Times New Roman"/>
        </w:rPr>
        <w:t>level breach</w:t>
      </w:r>
      <w:proofErr w:type="gramEnd"/>
      <w:r>
        <w:rPr>
          <w:rFonts w:ascii="Times New Roman" w:eastAsia="Arial" w:hAnsi="Times New Roman" w:cs="Times New Roman"/>
        </w:rPr>
        <w:t xml:space="preserve"> notification laws. Threat actors have begun explicitly threatening to report victims to regulators if ransoms are not paid, recognizing that the prospect of regulatory fines, reputational damage, and class-action litigation amplifies pressure on victim organizations to comply. The Cl0p group’s exploitation of the MOVEit Transfer vulnerability in 2023, which compromised PII held by hundreds of financial institutions, government agencies, and service providers globally, exemplified this approach at unprecedented scale.</w:t>
      </w:r>
    </w:p>
    <w:p w14:paraId="0DE18F2E" w14:textId="77777777" w:rsidR="009F608F" w:rsidRPr="00A25DEE" w:rsidRDefault="009F608F" w:rsidP="009F608F">
      <w:pPr>
        <w:spacing w:after="0" w:line="480" w:lineRule="auto"/>
        <w:ind w:left="446"/>
        <w:rPr>
          <w:rFonts w:ascii="Times New Roman" w:hAnsi="Times New Roman" w:cs="Times New Roman"/>
        </w:rPr>
      </w:pPr>
    </w:p>
    <w:p w14:paraId="213E80C6" w14:textId="77777777" w:rsidR="00A25DEE" w:rsidRPr="00A25DEE" w:rsidRDefault="00A25DEE" w:rsidP="001F4F23">
      <w:pPr>
        <w:pStyle w:val="Heading3"/>
        <w:numPr>
          <w:ilvl w:val="2"/>
          <w:numId w:val="11"/>
        </w:numPr>
        <w:tabs>
          <w:tab w:val="left" w:pos="900"/>
        </w:tabs>
        <w:spacing w:after="0" w:line="480" w:lineRule="auto"/>
        <w:ind w:left="1080" w:hanging="630"/>
        <w:rPr>
          <w:rFonts w:cs="Times New Roman"/>
        </w:rPr>
      </w:pPr>
      <w:bookmarkStart w:id="39" w:name="_Toc235394964"/>
      <w:r>
        <w:rPr>
          <w:rFonts w:eastAsia="Arial" w:cs="Times New Roman"/>
          <w:sz w:val="26"/>
          <w:szCs w:val="26"/>
        </w:rPr>
        <w:t>Targeting Financial Institutions: Why PII is the Primary Objective</w:t>
      </w:r>
      <w:bookmarkEnd w:id="39"/>
    </w:p>
    <w:p w14:paraId="75DEF415" w14:textId="77777777" w:rsidR="00A25DEE" w:rsidRPr="00A25DEE" w:rsidRDefault="00BF2E57" w:rsidP="001F4F23">
      <w:pPr>
        <w:tabs>
          <w:tab w:val="left" w:pos="630"/>
        </w:tabs>
        <w:spacing w:after="200" w:line="480" w:lineRule="auto"/>
        <w:ind w:left="630"/>
        <w:rPr>
          <w:rFonts w:ascii="Times New Roman" w:hAnsi="Times New Roman" w:cs="Times New Roman"/>
        </w:rPr>
      </w:pPr>
      <w:r>
        <w:rPr>
          <w:rFonts w:ascii="Times New Roman" w:eastAsia="Arial" w:hAnsi="Times New Roman" w:cs="Times New Roman"/>
        </w:rPr>
        <w:t xml:space="preserve">When examining literature that discusses major breaches, what stands out is that financial institutions hold a uniquely rich concentration of PII that makes them disproportionately attractive ransomware targets. For example, unlike retail or healthcare targets, banks and credit unions possess data that is simultaneously personally identifying, financially actionable, and legally regulated, a combination that maximizes both the operational disruption of encryption and the extortion value of exfiltrated records. A single stolen customer record from a financial institution may contain a full name, physical address, date of birth, Social Security number, account numbers, routing numbers, credit score, </w:t>
      </w:r>
      <w:r>
        <w:rPr>
          <w:rFonts w:ascii="Times New Roman" w:eastAsia="Arial" w:hAnsi="Times New Roman" w:cs="Times New Roman"/>
        </w:rPr>
        <w:lastRenderedPageBreak/>
        <w:t>transaction history, and beneficiary information. This data would easily be sufficient to commit identity fraud across multiple financial products.</w:t>
      </w:r>
    </w:p>
    <w:p w14:paraId="0546C6C3" w14:textId="77777777" w:rsidR="00A25DEE" w:rsidRPr="00A25DEE" w:rsidRDefault="00A25DEE" w:rsidP="001F4F23">
      <w:pPr>
        <w:spacing w:after="200" w:line="480" w:lineRule="auto"/>
        <w:ind w:left="630"/>
        <w:rPr>
          <w:rFonts w:ascii="Times New Roman" w:hAnsi="Times New Roman" w:cs="Times New Roman"/>
        </w:rPr>
      </w:pPr>
      <w:r>
        <w:rPr>
          <w:rFonts w:ascii="Times New Roman" w:eastAsia="Arial" w:hAnsi="Times New Roman" w:cs="Times New Roman"/>
        </w:rPr>
        <w:t>The interconnected nature of the financial sector further amplifies risk. Core banking platforms, payment processors, and third-party service providers often share access to customer data across institutional boundaries. A successful ransomware intrusion at a managed service provider (MSP) or financial technology (fintech) vendor can provide lateral access to dozens of downstream financial institutions simultaneously, as demonstrated by several high-profile supply chain attacks in recent years. This interconnectedness means that even smaller community banks and credit unions, which may have fewer dedicated cybersecurity resources, can become entry points for attacks targeting much larger financial ecosystems.</w:t>
      </w:r>
    </w:p>
    <w:p w14:paraId="0743E782" w14:textId="77777777" w:rsidR="005771C9" w:rsidRPr="00A25DEE" w:rsidRDefault="00F941E8" w:rsidP="001F4F23">
      <w:pPr>
        <w:spacing w:after="0" w:line="480" w:lineRule="auto"/>
        <w:ind w:left="630"/>
        <w:rPr>
          <w:rFonts w:ascii="Times New Roman" w:hAnsi="Times New Roman" w:cs="Times New Roman"/>
        </w:rPr>
      </w:pPr>
      <w:r>
        <w:rPr>
          <w:rFonts w:ascii="Times New Roman" w:hAnsi="Times New Roman" w:cs="Times New Roman"/>
        </w:rPr>
        <w:t xml:space="preserve">A consistent theme that emerges across both academic and industry literature is that detection research has not kept pace with this shift toward data theft. In a systematic review of 212 academic ransomware studies published between 2020 and 2023, McIntosh et al. (2024) found that the majority continued to focus on the file-encryption behavior of early crypto-ransomware, often using samples that predate the data extortion era, and that very few addressed exfiltration-led double extortion at all, leading the authors to call for a realignment of ransomware research with current industry threats. Empirical work supports the urgency of that call: in a forensic analysis of 124 ransomware attacks between 2019 and 2022, Meurs et al. (2022) found traces of data exfiltration in 43% of cases. If both academic detection research and SOC tooling remain oriented toward the encryption event rather than the theft of sensitive data that precedes it, then the exfiltration phase, which is the phase in which PII context would be most diagnostic, remains the least </w:t>
      </w:r>
      <w:r>
        <w:rPr>
          <w:rFonts w:ascii="Times New Roman" w:hAnsi="Times New Roman" w:cs="Times New Roman"/>
        </w:rPr>
        <w:lastRenderedPageBreak/>
        <w:t>defended. With that gap in mind, the following sections examine the organizational and technological capabilities that financial institutions have developed in response to this threat landscape.</w:t>
      </w:r>
    </w:p>
    <w:p w14:paraId="53151056" w14:textId="77777777" w:rsidR="009F608F" w:rsidRPr="00A25DEE" w:rsidRDefault="009F608F" w:rsidP="00934230">
      <w:pPr>
        <w:tabs>
          <w:tab w:val="left" w:pos="720"/>
        </w:tabs>
        <w:spacing w:after="0" w:line="480" w:lineRule="auto"/>
        <w:ind w:left="720"/>
        <w:rPr>
          <w:rFonts w:ascii="Times New Roman" w:hAnsi="Times New Roman" w:cs="Times New Roman"/>
        </w:rPr>
      </w:pPr>
    </w:p>
    <w:p w14:paraId="6A20903A" w14:textId="77777777" w:rsidR="00FB0CD3" w:rsidRDefault="00985EA4" w:rsidP="00934230">
      <w:pPr>
        <w:pStyle w:val="Heading2"/>
        <w:spacing w:before="0" w:after="0" w:line="480" w:lineRule="auto"/>
      </w:pPr>
      <w:bookmarkStart w:id="40" w:name="_Toc235394965"/>
      <w:r>
        <w:rPr>
          <w:rFonts w:cs="Times New Roman"/>
        </w:rPr>
        <w:t xml:space="preserve">2.4 Major </w:t>
      </w:r>
      <w:r>
        <w:t>Breaches That Have Targeted PII in Financial Institutions</w:t>
      </w:r>
      <w:bookmarkEnd w:id="40"/>
    </w:p>
    <w:p w14:paraId="7E49EADE" w14:textId="77777777" w:rsidR="00B84842" w:rsidRDefault="00896289" w:rsidP="00AB0164">
      <w:pPr>
        <w:spacing w:line="480" w:lineRule="auto"/>
        <w:ind w:left="360"/>
        <w:rPr>
          <w:rFonts w:ascii="Times New Roman" w:hAnsi="Times New Roman" w:cs="Times New Roman"/>
        </w:rPr>
      </w:pPr>
      <w:r>
        <w:rPr>
          <w:rFonts w:ascii="Times New Roman" w:hAnsi="Times New Roman" w:cs="Times New Roman"/>
        </w:rPr>
        <w:t xml:space="preserve">Financial data breaches represent a significant failure in the "social contract" between institutions and consumers. When PII is compromised, there is certainly potential financial impact to the consumer, there are typically multi-years-costs related to remediation, loss of brand reputation, increased security spending, legal costs and/or government fines. However, there is </w:t>
      </w:r>
      <w:proofErr w:type="gramStart"/>
      <w:r>
        <w:rPr>
          <w:rFonts w:ascii="Times New Roman" w:hAnsi="Times New Roman" w:cs="Times New Roman"/>
        </w:rPr>
        <w:t>a</w:t>
      </w:r>
      <w:proofErr w:type="gramEnd"/>
      <w:r>
        <w:rPr>
          <w:rFonts w:ascii="Times New Roman" w:hAnsi="Times New Roman" w:cs="Times New Roman"/>
        </w:rPr>
        <w:t xml:space="preserve"> also deeper impact on the overall organization in terms of potential layoffs due to unplanned costs that can also be possible (Tran et al., 2024). </w:t>
      </w:r>
    </w:p>
    <w:p w14:paraId="74C432C4" w14:textId="77777777" w:rsidR="00093EFD" w:rsidRDefault="00000000">
      <w:pPr>
        <w:tabs>
          <w:tab w:val="left" w:pos="450"/>
        </w:tabs>
        <w:spacing w:after="200" w:line="480" w:lineRule="auto"/>
        <w:ind w:left="360"/>
        <w:rPr>
          <w:rFonts w:ascii="Times New Roman" w:hAnsi="Times New Roman" w:cs="Times New Roman"/>
        </w:rPr>
      </w:pPr>
      <w:r>
        <w:rPr>
          <w:rFonts w:ascii="Times New Roman" w:hAnsi="Times New Roman" w:cs="Times New Roman"/>
        </w:rPr>
        <w:t>The financial consequences of breaches have been studied empirically for more than two decades. Early event studies found that breach announcements produce negative abnormal stock returns, with the effect concentrated in incidents involving confidential information (Campbell et al., 2003), and that the magnitude of the market penalty varies with firm and breach characteristics (Cavusoglu et al., 2004). This literature established that breaches involving sensitive personal data are economically distinct from other security incidents, a finding that anticipates the central premise of this study: that data sensitivity should similarly distinguish how security events are prioritized before a breach completes, not only how its damage is measured afterward.</w:t>
      </w:r>
    </w:p>
    <w:p w14:paraId="25DC8D9A" w14:textId="77777777" w:rsidR="000B2462" w:rsidRPr="00E937F2" w:rsidRDefault="000B2462" w:rsidP="00AB0164">
      <w:pPr>
        <w:pStyle w:val="NormalWeb"/>
        <w:spacing w:line="480" w:lineRule="auto"/>
        <w:ind w:left="360"/>
      </w:pPr>
      <w:r>
        <w:rPr>
          <w:rStyle w:val="citation-5"/>
        </w:rPr>
        <w:t xml:space="preserve">While specific settlement figures for the 2025 breach are still developing, industry benchmarks for the financial sector suggest an average cost of $6.08 million per incident for smaller breaches, but for multi-million record exposures, costs typically scale based on a </w:t>
      </w:r>
      <w:r>
        <w:rPr>
          <w:rStyle w:val="citation-5"/>
        </w:rPr>
        <w:lastRenderedPageBreak/>
        <w:t>$168 - $264 per-record cost in the U.S. For example, for just 5 million records, that is in the range of $820M all the way to $1.32B (IBM Security &amp; Ponemon Institute, 2025).</w:t>
      </w:r>
    </w:p>
    <w:p w14:paraId="1931254A" w14:textId="77777777" w:rsidR="00BA6B17" w:rsidRDefault="00BA6B17" w:rsidP="00AB0164">
      <w:pPr>
        <w:spacing w:line="480" w:lineRule="auto"/>
        <w:ind w:left="360"/>
        <w:rPr>
          <w:rFonts w:ascii="Times New Roman" w:hAnsi="Times New Roman" w:cs="Times New Roman"/>
        </w:rPr>
      </w:pPr>
      <w:r>
        <w:rPr>
          <w:rFonts w:ascii="Times New Roman" w:hAnsi="Times New Roman" w:cs="Times New Roman"/>
        </w:rPr>
        <w:t xml:space="preserve">In preparation for focusing on specific attacks that were used, we will review some high-profile attacks that successfully targeted financial institutions and, in most cases, had major financial impact that was quantifiable to a degree. </w:t>
      </w:r>
    </w:p>
    <w:p w14:paraId="0D704148" w14:textId="77777777" w:rsidR="00050076" w:rsidRDefault="00050076" w:rsidP="00934230">
      <w:pPr>
        <w:spacing w:after="0" w:line="480" w:lineRule="auto"/>
        <w:ind w:left="360"/>
        <w:rPr>
          <w:rFonts w:ascii="Times New Roman" w:hAnsi="Times New Roman" w:cs="Times New Roman"/>
        </w:rPr>
      </w:pPr>
      <w:r>
        <w:rPr>
          <w:rFonts w:ascii="Times New Roman" w:hAnsi="Times New Roman" w:cs="Times New Roman"/>
        </w:rPr>
        <w:t>Below is a breakdown of the documented and estimated financial impacts for these major breaches.</w:t>
      </w:r>
    </w:p>
    <w:p w14:paraId="26851FE1" w14:textId="77777777" w:rsidR="00CD23E5" w:rsidRPr="00050076" w:rsidRDefault="00CD23E5" w:rsidP="00934230">
      <w:pPr>
        <w:spacing w:after="0" w:line="480" w:lineRule="auto"/>
        <w:ind w:left="720"/>
        <w:rPr>
          <w:rFonts w:ascii="Times New Roman" w:hAnsi="Times New Roman" w:cs="Times New Roman"/>
        </w:rPr>
      </w:pPr>
    </w:p>
    <w:p w14:paraId="5C24C178" w14:textId="77777777" w:rsidR="00896289" w:rsidRPr="002F1343" w:rsidRDefault="00F71814" w:rsidP="001F4F23">
      <w:pPr>
        <w:pStyle w:val="Heading3"/>
        <w:numPr>
          <w:ilvl w:val="2"/>
          <w:numId w:val="28"/>
        </w:numPr>
        <w:tabs>
          <w:tab w:val="left" w:pos="450"/>
          <w:tab w:val="left" w:pos="630"/>
          <w:tab w:val="left" w:pos="1080"/>
        </w:tabs>
        <w:spacing w:after="0" w:line="480" w:lineRule="auto"/>
        <w:ind w:left="450" w:firstLine="0"/>
        <w:rPr>
          <w:rFonts w:eastAsia="Arial" w:cs="Times New Roman"/>
          <w:sz w:val="26"/>
          <w:szCs w:val="26"/>
        </w:rPr>
      </w:pPr>
      <w:bookmarkStart w:id="41" w:name="_Toc235394966"/>
      <w:r>
        <w:rPr>
          <w:rFonts w:eastAsia="Arial" w:cs="Times New Roman"/>
          <w:sz w:val="26"/>
          <w:szCs w:val="26"/>
        </w:rPr>
        <w:t>First American Financial Corp</w:t>
      </w:r>
      <w:bookmarkEnd w:id="41"/>
      <w:r>
        <w:rPr>
          <w:rFonts w:eastAsia="Arial" w:cs="Times New Roman"/>
          <w:sz w:val="26"/>
          <w:szCs w:val="26"/>
        </w:rPr>
        <w:t xml:space="preserve"> </w:t>
      </w:r>
    </w:p>
    <w:p w14:paraId="091F046B" w14:textId="77777777" w:rsidR="00896289" w:rsidRDefault="00F71814" w:rsidP="001F4F23">
      <w:pPr>
        <w:tabs>
          <w:tab w:val="left" w:pos="540"/>
          <w:tab w:val="left" w:pos="630"/>
        </w:tabs>
        <w:spacing w:line="480" w:lineRule="auto"/>
        <w:ind w:left="630"/>
        <w:rPr>
          <w:rFonts w:ascii="Times New Roman" w:hAnsi="Times New Roman" w:cs="Times New Roman"/>
        </w:rPr>
      </w:pPr>
      <w:r>
        <w:rPr>
          <w:rFonts w:ascii="Times New Roman" w:hAnsi="Times New Roman" w:cs="Times New Roman"/>
        </w:rPr>
        <w:t>The massive data exposure at First American Financial, first reported by Brian Krebs (2019), occurred though simple URL harvesting, where approximately 885 million sensitive records, including Social Security numbers, bank account details, and wire transfer instructions became accessible to anyone without requiring a password or further authentication (Institute of Data, 2024).</w:t>
      </w:r>
    </w:p>
    <w:p w14:paraId="05F93EF6" w14:textId="77777777" w:rsidR="008614BE" w:rsidRPr="008614BE" w:rsidRDefault="008614BE" w:rsidP="001F4F23">
      <w:pPr>
        <w:tabs>
          <w:tab w:val="left" w:pos="540"/>
        </w:tabs>
        <w:spacing w:line="480" w:lineRule="auto"/>
        <w:ind w:left="630"/>
        <w:rPr>
          <w:rFonts w:ascii="Times New Roman" w:hAnsi="Times New Roman" w:cs="Times New Roman"/>
          <w:b/>
          <w:bCs/>
        </w:rPr>
      </w:pPr>
      <w:r>
        <w:rPr>
          <w:rFonts w:ascii="Times New Roman" w:hAnsi="Times New Roman" w:cs="Times New Roman"/>
          <w:b/>
          <w:bCs/>
        </w:rPr>
        <w:t>Relevance to Data Security and SOC Operations</w:t>
      </w:r>
    </w:p>
    <w:p w14:paraId="45F11EC9" w14:textId="77777777" w:rsidR="007415FE" w:rsidRPr="00404500" w:rsidRDefault="007415FE" w:rsidP="001F4F23">
      <w:pPr>
        <w:tabs>
          <w:tab w:val="left" w:pos="540"/>
        </w:tabs>
        <w:spacing w:line="480" w:lineRule="auto"/>
        <w:ind w:left="630"/>
        <w:rPr>
          <w:rFonts w:ascii="Times New Roman" w:hAnsi="Times New Roman" w:cs="Times New Roman"/>
        </w:rPr>
      </w:pPr>
      <w:r>
        <w:rPr>
          <w:rFonts w:ascii="Times New Roman" w:hAnsi="Times New Roman" w:cs="Times New Roman"/>
        </w:rPr>
        <w:t xml:space="preserve">This data breach shares common themes with the TransUnion breach of 2025, in which attackers accessed a third-party consumer-support application and exposed the PII of approximately 4.5 million individuals (Ben-Ari, 2025). Both were the result of “context failure”. In both cases, the Data Security teams took appropriate steps to set up APIs to share data with the SOC, but they never explained the logic or relevance of the data sent. So, when an attacker started "scraping" millions of records by changing ID numbers in the URL, the SOC's tools likely saw a high volume of traffic. Certainly, as a behavioral event, </w:t>
      </w:r>
      <w:r>
        <w:rPr>
          <w:rFonts w:ascii="Times New Roman" w:hAnsi="Times New Roman" w:cs="Times New Roman"/>
        </w:rPr>
        <w:lastRenderedPageBreak/>
        <w:t xml:space="preserve">this may have seemed a red flag, but relatively minor with no additional context. Without a "baseline" from the Data team explaining what normal user behavior looks like, the SOC dismissed the traffic as "standard heavy load" or "system testing." However, the SOC also lacked important context like whether data being targeted was sensitive data or where it was stored. Both elements communicated and combined with a SOC framework for PII could have increased the severity of the event without the need for the Data Security to keep and communicate an updated list of logic rules. </w:t>
      </w:r>
    </w:p>
    <w:p w14:paraId="4E36E06E" w14:textId="77777777" w:rsidR="007415FE" w:rsidRDefault="00BF523D" w:rsidP="001F4F23">
      <w:pPr>
        <w:tabs>
          <w:tab w:val="left" w:pos="540"/>
        </w:tabs>
        <w:spacing w:after="0" w:line="480" w:lineRule="auto"/>
        <w:ind w:left="630"/>
        <w:rPr>
          <w:rFonts w:ascii="Times New Roman" w:hAnsi="Times New Roman" w:cs="Times New Roman"/>
        </w:rPr>
      </w:pPr>
      <w:r>
        <w:rPr>
          <w:rFonts w:ascii="Times New Roman" w:hAnsi="Times New Roman" w:cs="Times New Roman"/>
        </w:rPr>
        <w:t>Unfortunately, the result was a massive exfiltration that occurred in plain sight because the SOC lacked the "Data Context" to recognize a logic abuse (BOLA) as a theft in progress.</w:t>
      </w:r>
    </w:p>
    <w:p w14:paraId="2A4CCCE1" w14:textId="77777777" w:rsidR="00934230" w:rsidRPr="00BF523D" w:rsidRDefault="00934230" w:rsidP="00934230">
      <w:pPr>
        <w:spacing w:after="0" w:line="480" w:lineRule="auto"/>
        <w:ind w:left="450"/>
        <w:rPr>
          <w:rFonts w:ascii="Times New Roman" w:hAnsi="Times New Roman" w:cs="Times New Roman"/>
        </w:rPr>
      </w:pPr>
    </w:p>
    <w:p w14:paraId="5F5CA34F" w14:textId="77777777" w:rsidR="00846648" w:rsidRPr="001C7C4B" w:rsidRDefault="001C7C4B" w:rsidP="001F4F23">
      <w:pPr>
        <w:pStyle w:val="Heading3"/>
        <w:numPr>
          <w:ilvl w:val="0"/>
          <w:numId w:val="0"/>
        </w:numPr>
        <w:ind w:left="450"/>
      </w:pPr>
      <w:bookmarkStart w:id="42" w:name="_Toc235394967"/>
      <w:r>
        <w:t>2.4.2 Equifax Breach</w:t>
      </w:r>
      <w:bookmarkEnd w:id="42"/>
    </w:p>
    <w:p w14:paraId="7FF20A27" w14:textId="77777777" w:rsidR="00896289" w:rsidRDefault="00846648" w:rsidP="001F4F23">
      <w:pPr>
        <w:spacing w:line="480" w:lineRule="auto"/>
        <w:ind w:left="630"/>
        <w:rPr>
          <w:rFonts w:ascii="Times New Roman" w:hAnsi="Times New Roman" w:cs="Times New Roman"/>
        </w:rPr>
      </w:pPr>
      <w:r>
        <w:rPr>
          <w:rFonts w:ascii="Times New Roman" w:hAnsi="Times New Roman" w:cs="Times New Roman"/>
        </w:rPr>
        <w:t>Although a fix had been available for months, Equifax’s dispute portal remained unpatched, allowing attackers to exploit a Remote Code Execution (RCE) bug where specially formatted web requests were misinterpreted as executable commands (Fernandez, 2025). This kind of security lapse left the sensitive data of 147 million individuals, including names, Social Security numbers, and birth dates, exposed to unauthorized access. The financial and legal repercussions were unprecedented, involving a $700 million settlement and total costs exceeding $1.4 billion, which included a decade-long commitment to provide free credit monitoring for all affected consumers (U.S. FTC, 2024).</w:t>
      </w:r>
    </w:p>
    <w:p w14:paraId="037C6F0F" w14:textId="77777777" w:rsidR="008614BE" w:rsidRPr="008614BE" w:rsidRDefault="008614BE" w:rsidP="001F4F23">
      <w:pPr>
        <w:spacing w:line="480" w:lineRule="auto"/>
        <w:ind w:left="630"/>
        <w:rPr>
          <w:rFonts w:ascii="Times New Roman" w:hAnsi="Times New Roman" w:cs="Times New Roman"/>
          <w:b/>
          <w:bCs/>
        </w:rPr>
      </w:pPr>
      <w:r>
        <w:rPr>
          <w:rFonts w:ascii="Times New Roman" w:hAnsi="Times New Roman" w:cs="Times New Roman"/>
          <w:b/>
          <w:bCs/>
        </w:rPr>
        <w:t>Relevance to Data Security and SOC Operations</w:t>
      </w:r>
    </w:p>
    <w:p w14:paraId="57BD53B6" w14:textId="77777777" w:rsidR="00800EC3" w:rsidRPr="00404500" w:rsidRDefault="00F237B8" w:rsidP="001F4F23">
      <w:pPr>
        <w:spacing w:after="0" w:line="480" w:lineRule="auto"/>
        <w:ind w:left="630"/>
        <w:rPr>
          <w:rFonts w:ascii="Times New Roman" w:hAnsi="Times New Roman" w:cs="Times New Roman"/>
        </w:rPr>
      </w:pPr>
      <w:r>
        <w:rPr>
          <w:rFonts w:ascii="Times New Roman" w:hAnsi="Times New Roman" w:cs="Times New Roman"/>
        </w:rPr>
        <w:t xml:space="preserve">The data security team knew about the Apache Struts vulnerability, CVE-2017-5638 (Common Vulnerabilities and Exposures Database, 2024). However, there was a </w:t>
      </w:r>
      <w:r>
        <w:rPr>
          <w:rFonts w:ascii="Times New Roman" w:hAnsi="Times New Roman" w:cs="Times New Roman"/>
        </w:rPr>
        <w:lastRenderedPageBreak/>
        <w:t xml:space="preserve">breakdown in communicating the “criticality” to the teams responsible for the servers to put that patch at the top of the list. The SOC, meanwhile, wasn't told to prioritize monitoring for "Struts-based" exploit attempts while the patch was pending. As a result, a known hole remained open. Once again, an unusual activity paired with PII context, could have indicated to the SOC team that “business was NOT going on as usual”, regardless of being un-informed of the severity of this specific exploit. As the goal here is to show that the SOC can use a PII framework to classify and identify sensitive data upfront, and correlate that to seemingly low-criticality events, it can elevate the risk to a more accurate priority as a potential attack. </w:t>
      </w:r>
    </w:p>
    <w:p w14:paraId="15414EFA" w14:textId="77777777" w:rsidR="00050076" w:rsidRPr="00896289" w:rsidRDefault="00050076" w:rsidP="00934230">
      <w:pPr>
        <w:spacing w:after="0" w:line="480" w:lineRule="auto"/>
        <w:ind w:left="720"/>
        <w:rPr>
          <w:rFonts w:ascii="Times New Roman" w:hAnsi="Times New Roman" w:cs="Times New Roman"/>
        </w:rPr>
      </w:pPr>
    </w:p>
    <w:p w14:paraId="057F88D7" w14:textId="77777777" w:rsidR="00896289" w:rsidRDefault="00094CF8" w:rsidP="001F4F23">
      <w:pPr>
        <w:pStyle w:val="Heading3"/>
        <w:numPr>
          <w:ilvl w:val="0"/>
          <w:numId w:val="0"/>
        </w:numPr>
        <w:spacing w:after="0" w:line="480" w:lineRule="auto"/>
        <w:ind w:left="450"/>
        <w:rPr>
          <w:rFonts w:cs="Times New Roman"/>
        </w:rPr>
      </w:pPr>
      <w:bookmarkStart w:id="43" w:name="_Toc235394968"/>
      <w:r>
        <w:t xml:space="preserve">2.4.3 </w:t>
      </w:r>
      <w:r>
        <w:rPr>
          <w:rFonts w:cs="Times New Roman"/>
        </w:rPr>
        <w:t>Heartland Payment Systems</w:t>
      </w:r>
      <w:bookmarkEnd w:id="43"/>
    </w:p>
    <w:p w14:paraId="08B1668B" w14:textId="77777777" w:rsidR="00050076" w:rsidRDefault="00094CF8" w:rsidP="001F4F23">
      <w:pPr>
        <w:spacing w:line="480" w:lineRule="auto"/>
        <w:ind w:left="630"/>
        <w:rPr>
          <w:rFonts w:ascii="Times New Roman" w:hAnsi="Times New Roman" w:cs="Times New Roman"/>
        </w:rPr>
      </w:pPr>
      <w:r>
        <w:rPr>
          <w:rFonts w:ascii="Times New Roman" w:hAnsi="Times New Roman" w:cs="Times New Roman"/>
        </w:rPr>
        <w:t>The Heartland Payment Systems breach stands as one of the most significant instances of a SQL injection attack, where hackers exploited un-sanitized input fields to bypass standard security and issue direct commands to the company’s databases (Cingolani &amp; Zamparini, 2019). This massive exposure resulted in monumental financial consequences for Heartland, particularly in the form of reimbursements to major credit card brands like Visa, MasterCard, and American Express. The company ultimately paid approximately $110 million to these providers to cover the costs of fraudulent transactions and the widespread re-issuance of compromised cards, highlighting the extreme risks inherent in payment processing vulnerabilities (McGlasson, 2010).</w:t>
      </w:r>
    </w:p>
    <w:p w14:paraId="18B78C16" w14:textId="77777777" w:rsidR="008614BE" w:rsidRPr="008614BE" w:rsidRDefault="008614BE" w:rsidP="001F4F23">
      <w:pPr>
        <w:spacing w:line="480" w:lineRule="auto"/>
        <w:ind w:left="630"/>
        <w:rPr>
          <w:rFonts w:ascii="Times New Roman" w:hAnsi="Times New Roman" w:cs="Times New Roman"/>
          <w:b/>
          <w:bCs/>
        </w:rPr>
      </w:pPr>
      <w:r>
        <w:rPr>
          <w:rFonts w:ascii="Times New Roman" w:hAnsi="Times New Roman" w:cs="Times New Roman"/>
          <w:b/>
          <w:bCs/>
        </w:rPr>
        <w:t>Relevance to Data Security and SOC Operations</w:t>
      </w:r>
    </w:p>
    <w:p w14:paraId="5485D433" w14:textId="77777777" w:rsidR="00CD23E5" w:rsidRDefault="00F844EE" w:rsidP="001F4F23">
      <w:pPr>
        <w:spacing w:after="0" w:line="480" w:lineRule="auto"/>
        <w:ind w:left="630"/>
        <w:rPr>
          <w:rFonts w:ascii="Times New Roman" w:hAnsi="Times New Roman" w:cs="Times New Roman"/>
        </w:rPr>
      </w:pPr>
      <w:r>
        <w:rPr>
          <w:rFonts w:ascii="Times New Roman" w:hAnsi="Times New Roman" w:cs="Times New Roman"/>
        </w:rPr>
        <w:t xml:space="preserve">In this attack, the data security team failed in its fundamental responsibility to enforce secure coding practices and input validation, leaving the "front door" vulnerable to an </w:t>
      </w:r>
      <w:r>
        <w:rPr>
          <w:rFonts w:ascii="Times New Roman" w:hAnsi="Times New Roman" w:cs="Times New Roman"/>
        </w:rPr>
        <w:lastRenderedPageBreak/>
        <w:t>SQL injection that allowed attackers to bypass authentication and gain direct database access. Because the input was not sanitized, the database executed malicious commands that authorized the installation of "sniffing" malware across the payment processing environment. This created an impossible situation for the SOC, as the initial breach occurred through a standard web port (Port 80/443) that appeared as legitimate traffic. However, despite using a standard and legitimate web port to communicate, what would have helped the SOC would have been identifying where databases were being targeted that happened to contain sensitive data. Any unusual activity logged by the database software, such as a large transfer of sensitive data, would have been correlated to this information and potentially escalated the severity of the communications and subsequent attempts at exfiltration of PII.</w:t>
      </w:r>
    </w:p>
    <w:p w14:paraId="2D2A88D0" w14:textId="77777777" w:rsidR="007E1537" w:rsidRPr="00E937F2" w:rsidRDefault="007E1537" w:rsidP="00934230">
      <w:pPr>
        <w:spacing w:after="0" w:line="480" w:lineRule="auto"/>
        <w:ind w:left="1440"/>
        <w:rPr>
          <w:rFonts w:ascii="Times New Roman" w:hAnsi="Times New Roman" w:cs="Times New Roman"/>
        </w:rPr>
      </w:pPr>
    </w:p>
    <w:p w14:paraId="53CF56B3" w14:textId="77777777" w:rsidR="00896289" w:rsidRPr="00CD23E5" w:rsidRDefault="00CD23E5" w:rsidP="001F4F23">
      <w:pPr>
        <w:pStyle w:val="Heading3"/>
        <w:numPr>
          <w:ilvl w:val="0"/>
          <w:numId w:val="0"/>
        </w:numPr>
        <w:tabs>
          <w:tab w:val="left" w:pos="450"/>
        </w:tabs>
        <w:spacing w:after="0" w:line="480" w:lineRule="auto"/>
        <w:ind w:left="450"/>
        <w:rPr>
          <w:rFonts w:cs="Times New Roman"/>
        </w:rPr>
      </w:pPr>
      <w:bookmarkStart w:id="44" w:name="_Toc235394969"/>
      <w:r>
        <w:t xml:space="preserve">2.4.4 </w:t>
      </w:r>
      <w:r>
        <w:rPr>
          <w:rFonts w:cs="Times New Roman"/>
        </w:rPr>
        <w:t>Capital One</w:t>
      </w:r>
      <w:bookmarkEnd w:id="44"/>
      <w:r>
        <w:rPr>
          <w:rFonts w:cs="Times New Roman"/>
        </w:rPr>
        <w:t xml:space="preserve"> </w:t>
      </w:r>
    </w:p>
    <w:p w14:paraId="543DE146" w14:textId="77777777" w:rsidR="00050076" w:rsidRDefault="00966666" w:rsidP="001F4F23">
      <w:pPr>
        <w:pStyle w:val="NormalWeb"/>
        <w:spacing w:after="100" w:afterAutospacing="1" w:line="480" w:lineRule="auto"/>
        <w:ind w:left="630"/>
        <w:rPr>
          <w:rFonts w:eastAsia="Times New Roman"/>
          <w:kern w:val="0"/>
          <w14:ligatures w14:val="none"/>
        </w:rPr>
      </w:pPr>
      <w:r>
        <w:rPr>
          <w:rFonts w:eastAsia="Times New Roman"/>
          <w:kern w:val="0"/>
          <w14:ligatures w14:val="none"/>
        </w:rPr>
        <w:t>The 2019 Capital One breach was an example of a targeted cloud attack. It was executed through a sophisticated Server-Side Request Forgery (SSRF) attack, where a former Amazon Web Services (AWS) employee exploited a misconfigured WAF to infiltrate the bank’s cloud infrastructure. This was one of the high-profile attacks that led to data security concerns in the cloud, especially when it came to tracking and misconfiguration of dynamic storage (Skelton, 2021). The fallout from this incident was significant, resulting in an $80 million fine from the OCC for inadequate cloud risk assessment and a subsequent $190 million class-action settlement to compensate affected individuals for their losses. (Ennis, 2023).</w:t>
      </w:r>
    </w:p>
    <w:p w14:paraId="64F828DF" w14:textId="77777777" w:rsidR="008614BE" w:rsidRPr="008614BE" w:rsidRDefault="008614BE" w:rsidP="001F4F23">
      <w:pPr>
        <w:spacing w:line="480" w:lineRule="auto"/>
        <w:ind w:left="630"/>
        <w:rPr>
          <w:rFonts w:ascii="Times New Roman" w:hAnsi="Times New Roman" w:cs="Times New Roman"/>
          <w:b/>
          <w:bCs/>
        </w:rPr>
      </w:pPr>
      <w:r>
        <w:rPr>
          <w:rFonts w:ascii="Times New Roman" w:hAnsi="Times New Roman" w:cs="Times New Roman"/>
          <w:b/>
          <w:bCs/>
        </w:rPr>
        <w:t>Relevance to Data Security and SOC Operations</w:t>
      </w:r>
    </w:p>
    <w:p w14:paraId="1F44E92D" w14:textId="77777777" w:rsidR="00373364" w:rsidRDefault="00373364" w:rsidP="001F4F23">
      <w:pPr>
        <w:spacing w:after="0" w:line="480" w:lineRule="auto"/>
        <w:ind w:left="630"/>
        <w:rPr>
          <w:rFonts w:ascii="Times New Roman" w:hAnsi="Times New Roman" w:cs="Times New Roman"/>
        </w:rPr>
      </w:pPr>
      <w:r>
        <w:rPr>
          <w:rFonts w:ascii="Times New Roman" w:hAnsi="Times New Roman" w:cs="Times New Roman"/>
        </w:rPr>
        <w:lastRenderedPageBreak/>
        <w:t>In this attack, the Data teams (engineering and security) spun up new cloud environments (S3 buckets, RDS databases) for testing or scaling without informing the SOC. The SOC was unable to identify the cloud storage by itself, leaving these assets and corresponding data blind to them. This problem is often referred to as “shadow data” (Rodriguez, 2025). Essentially, SOC cannot monitor what they don't know exists. Even if the SOC received an event of some sort suggesting a resource was “private” and flipped to “public”, which is often an indicator of a new vulnerability or active attack, the lack of asset inventory knowledge of the SOC or that data exists on that asset would potentially not make this alert a high enough priority despite the risk.  The result is that the PII sits on the open web for months because the people whose job it is to watch the critical assets didn’t know they existed or possibly moved.</w:t>
      </w:r>
    </w:p>
    <w:p w14:paraId="31B227FC" w14:textId="77777777" w:rsidR="00934230" w:rsidRDefault="00934230" w:rsidP="00934230">
      <w:pPr>
        <w:spacing w:after="0" w:line="480" w:lineRule="auto"/>
        <w:ind w:left="630"/>
        <w:rPr>
          <w:rFonts w:ascii="Times New Roman" w:hAnsi="Times New Roman" w:cs="Times New Roman"/>
        </w:rPr>
      </w:pPr>
    </w:p>
    <w:p w14:paraId="1AB4B0B6" w14:textId="77777777" w:rsidR="00CD23E5" w:rsidRPr="00CD23E5" w:rsidRDefault="00CD23E5" w:rsidP="001F4F23">
      <w:pPr>
        <w:pStyle w:val="Heading3"/>
        <w:numPr>
          <w:ilvl w:val="0"/>
          <w:numId w:val="0"/>
        </w:numPr>
        <w:spacing w:after="0" w:line="480" w:lineRule="auto"/>
        <w:ind w:left="450"/>
        <w:rPr>
          <w:rFonts w:cs="Times New Roman"/>
        </w:rPr>
      </w:pPr>
      <w:bookmarkStart w:id="45" w:name="_Toc235394970"/>
      <w:r>
        <w:rPr>
          <w:rFonts w:cs="Times New Roman"/>
        </w:rPr>
        <w:t>2.4.5 Desjardins Group</w:t>
      </w:r>
      <w:bookmarkEnd w:id="45"/>
      <w:r>
        <w:rPr>
          <w:rFonts w:cs="Times New Roman"/>
        </w:rPr>
        <w:t xml:space="preserve"> </w:t>
      </w:r>
    </w:p>
    <w:p w14:paraId="20EBF882" w14:textId="77777777" w:rsidR="00896289" w:rsidRDefault="00CD23E5" w:rsidP="00AB0164">
      <w:pPr>
        <w:pStyle w:val="NormalWeb"/>
        <w:spacing w:before="100" w:beforeAutospacing="1" w:after="100" w:afterAutospacing="1" w:line="480" w:lineRule="auto"/>
        <w:ind w:left="630"/>
      </w:pPr>
      <w:r>
        <w:t xml:space="preserve">The Desjardins breach represents a severe instance of a currently emerging threat that has grown significantly in the last several years, insider threats. This internal theft led to the systematic scraping of records, ultimately compromising the personal information of 9.7 million members—the company's entire individual membership base at the time (Office of the Privacy Commissioner of Canada, 2020). The fallout for the Canadian cooperative was immense, resulting in a $201 million (CAD) class-action settlement and a mandate to provide permanent security and credit monitoring for affected members, given that highly sensitive identifiers like Social Insurance Numbers were permanently compromised (The Canadian Press, 2021). </w:t>
      </w:r>
    </w:p>
    <w:p w14:paraId="17A94428" w14:textId="77777777" w:rsidR="008614BE" w:rsidRPr="008614BE" w:rsidRDefault="008614BE" w:rsidP="00AB0164">
      <w:pPr>
        <w:spacing w:line="480" w:lineRule="auto"/>
        <w:ind w:left="630"/>
        <w:rPr>
          <w:rFonts w:ascii="Times New Roman" w:hAnsi="Times New Roman" w:cs="Times New Roman"/>
          <w:b/>
          <w:bCs/>
        </w:rPr>
      </w:pPr>
      <w:r>
        <w:rPr>
          <w:rFonts w:ascii="Times New Roman" w:hAnsi="Times New Roman" w:cs="Times New Roman"/>
          <w:b/>
          <w:bCs/>
        </w:rPr>
        <w:lastRenderedPageBreak/>
        <w:t>Relevance to Data Security and SOC Operations</w:t>
      </w:r>
    </w:p>
    <w:p w14:paraId="53A87D75" w14:textId="77777777" w:rsidR="00183504" w:rsidRDefault="0090345A" w:rsidP="00285C25">
      <w:pPr>
        <w:pStyle w:val="NormalWeb"/>
        <w:spacing w:after="0" w:line="480" w:lineRule="auto"/>
        <w:ind w:left="630"/>
      </w:pPr>
      <w:r>
        <w:t>The Desjardins breach serves as to illustrate the risks associated with malicious insider threats and the failure of data security teams to enforce the principle of least privilege. This failure resulted from a lack of robust internal monitoring and role-based access controls. From the SOC perspective, because the employee was using legitimate, though over-privileged with administrative credentials, the SOC's monitoring tools likely viewed the data access as "authorized" rather than suspicious. This lack of integrated defense meant that while the data security team left the "internal doors" unlocked, the SOC was not equipped with the context to know that someone was accessing critical PII, which would have been a severity alert, even as the entire company's database was being exfiltrated.</w:t>
      </w:r>
    </w:p>
    <w:p w14:paraId="01E1E3EC" w14:textId="77777777" w:rsidR="00285C25" w:rsidRDefault="00285C25" w:rsidP="00285C25">
      <w:pPr>
        <w:pStyle w:val="NormalWeb"/>
        <w:spacing w:after="0" w:line="480" w:lineRule="auto"/>
        <w:ind w:left="630"/>
      </w:pPr>
    </w:p>
    <w:p w14:paraId="51F19639" w14:textId="77777777" w:rsidR="00896289" w:rsidRPr="00183504" w:rsidRDefault="000B34CB" w:rsidP="001F4F23">
      <w:pPr>
        <w:pStyle w:val="Heading3"/>
        <w:numPr>
          <w:ilvl w:val="0"/>
          <w:numId w:val="0"/>
        </w:numPr>
        <w:spacing w:after="0" w:line="480" w:lineRule="auto"/>
        <w:ind w:left="450"/>
        <w:rPr>
          <w:rFonts w:cs="Times New Roman"/>
        </w:rPr>
      </w:pPr>
      <w:bookmarkStart w:id="46" w:name="_Toc235394971"/>
      <w:r>
        <w:rPr>
          <w:rFonts w:cs="Times New Roman"/>
        </w:rPr>
        <w:t>2.4.6 JPMorgan Chase</w:t>
      </w:r>
      <w:bookmarkEnd w:id="46"/>
      <w:r>
        <w:rPr>
          <w:rFonts w:cs="Times New Roman"/>
        </w:rPr>
        <w:t xml:space="preserve"> </w:t>
      </w:r>
    </w:p>
    <w:p w14:paraId="3C1CD91C" w14:textId="77777777" w:rsidR="000B34CB" w:rsidRDefault="000B34CB" w:rsidP="00B44FAF">
      <w:pPr>
        <w:spacing w:line="480" w:lineRule="auto"/>
        <w:ind w:left="630"/>
        <w:rPr>
          <w:rFonts w:ascii="Times New Roman" w:hAnsi="Times New Roman" w:cs="Times New Roman"/>
        </w:rPr>
      </w:pPr>
      <w:r>
        <w:rPr>
          <w:rFonts w:ascii="Times New Roman" w:hAnsi="Times New Roman" w:cs="Times New Roman"/>
        </w:rPr>
        <w:t xml:space="preserve">The 2014 JPMorgan Chase data breach bypassed the bank's standard security layers and led to an exposure comparable to cloud misconfigurations where private data is accidentally left public. In this instance, the breach compromised the names, addresses, phone numbers, and emails of 76 million households (Jeng, 2015). The bank incurred tens of millions of dollars in legal fees defending against various class-action lawsuits (Raghu, 2020). </w:t>
      </w:r>
    </w:p>
    <w:p w14:paraId="39C1CDD4" w14:textId="77777777" w:rsidR="008614BE" w:rsidRPr="008614BE" w:rsidRDefault="008614BE" w:rsidP="00B44FAF">
      <w:pPr>
        <w:spacing w:line="480" w:lineRule="auto"/>
        <w:ind w:left="630"/>
        <w:rPr>
          <w:rFonts w:ascii="Times New Roman" w:hAnsi="Times New Roman" w:cs="Times New Roman"/>
          <w:b/>
          <w:bCs/>
        </w:rPr>
      </w:pPr>
      <w:r>
        <w:rPr>
          <w:rFonts w:ascii="Times New Roman" w:hAnsi="Times New Roman" w:cs="Times New Roman"/>
          <w:b/>
          <w:bCs/>
        </w:rPr>
        <w:t>Relevance to Data Security and SOC Operations</w:t>
      </w:r>
    </w:p>
    <w:p w14:paraId="5B0222DE" w14:textId="77777777" w:rsidR="007E0D46" w:rsidRPr="00404500" w:rsidRDefault="00DD378B" w:rsidP="00B44FAF">
      <w:pPr>
        <w:spacing w:line="480" w:lineRule="auto"/>
        <w:ind w:left="630"/>
        <w:rPr>
          <w:rFonts w:ascii="Times New Roman" w:hAnsi="Times New Roman" w:cs="Times New Roman"/>
        </w:rPr>
      </w:pPr>
      <w:r>
        <w:rPr>
          <w:rFonts w:ascii="Times New Roman" w:hAnsi="Times New Roman" w:cs="Times New Roman"/>
        </w:rPr>
        <w:t>In the case of JPMorgan Chase,</w:t>
      </w:r>
      <w:r>
        <w:rPr>
          <w:rFonts w:ascii="Times New Roman" w:hAnsi="Times New Roman" w:cs="Times New Roman"/>
          <w:b/>
          <w:bCs/>
        </w:rPr>
        <w:t xml:space="preserve"> </w:t>
      </w:r>
      <w:r>
        <w:rPr>
          <w:rFonts w:ascii="Times New Roman" w:hAnsi="Times New Roman" w:cs="Times New Roman"/>
        </w:rPr>
        <w:t xml:space="preserve">the Data teams logged everything and sent it to the SOC (the SIEM). However, as typical of many SOC teams, they are overwhelmed by the </w:t>
      </w:r>
      <w:r>
        <w:rPr>
          <w:rFonts w:ascii="Times New Roman" w:hAnsi="Times New Roman" w:cs="Times New Roman"/>
        </w:rPr>
        <w:lastRenderedPageBreak/>
        <w:t>number of alerts being received and chasing down False Positives (Tariq et al., 2025). In this case, the logs would have exposed the fact that a lack of Multi-Factor Authentication (MFA) was configured properly on one server. The log likely showed a weird login from an unrecognized IP. This is a perfect example of not knowing that highly sensitive PII was contained on that particular asset because the SOC and the Data Architects had no way to establish that the event posed a greater risk, and that that specific login event was buried under 100,000 other meaningless alerts. Effectively, The SOC "saw" the breach in the logs but didn't realize it because they didn't know which specific servers held the critical PII, which was both a location stored and classification failure.</w:t>
      </w:r>
    </w:p>
    <w:p w14:paraId="7C008B37" w14:textId="77777777" w:rsidR="00093EFD" w:rsidRDefault="00000000" w:rsidP="00B44FAF">
      <w:pPr>
        <w:tabs>
          <w:tab w:val="left" w:pos="450"/>
        </w:tabs>
        <w:spacing w:after="200" w:line="480" w:lineRule="auto"/>
        <w:ind w:left="630"/>
        <w:rPr>
          <w:rFonts w:ascii="Times New Roman" w:hAnsi="Times New Roman" w:cs="Times New Roman"/>
        </w:rPr>
      </w:pPr>
      <w:r>
        <w:rPr>
          <w:rFonts w:ascii="Times New Roman" w:hAnsi="Times New Roman" w:cs="Times New Roman"/>
        </w:rPr>
        <w:t xml:space="preserve">Viewed collectively, these six cases align closely with the broader empirical literature on detection failure. Government post-mortems of the Equifax breach concluded that the incident was preventable and attributed it to identifiable failures in patch management, certificate management, and internal communication between data owners and security operations (U.S. Government Accountability Office [GAO], 2018; U.S. Senate Permanent Subcommittee on Investigations, 2019), failures that recur in some form across each case reviewed here. The pattern is also consistent with industry-wide measurements: Mandiant (2025) reported that 57% of compromises were first discovered by external parties rather than internal security teams, and IBM Security and Ponemon Institute (2025) found that the average breach lifecycle still spans 241 days. What the case-study and post-incident literature has not produced, however, is an operational framework that translates knowledge of where sensitive PII resides into the SOC’s alert triage workflow; each post-mortem recommends better communication between data and security teams but stops short of specifying the mechanism. That unaddressed translation step is the </w:t>
      </w:r>
      <w:proofErr w:type="gramStart"/>
      <w:r>
        <w:rPr>
          <w:rFonts w:ascii="Times New Roman" w:hAnsi="Times New Roman" w:cs="Times New Roman"/>
        </w:rPr>
        <w:t>gap</w:t>
      </w:r>
      <w:proofErr w:type="gramEnd"/>
      <w:r>
        <w:rPr>
          <w:rFonts w:ascii="Times New Roman" w:hAnsi="Times New Roman" w:cs="Times New Roman"/>
        </w:rPr>
        <w:t xml:space="preserve"> this praxis </w:t>
      </w:r>
      <w:r>
        <w:rPr>
          <w:rFonts w:ascii="Times New Roman" w:hAnsi="Times New Roman" w:cs="Times New Roman"/>
        </w:rPr>
        <w:lastRenderedPageBreak/>
        <w:t>research targets, and the following sections review the two disciplines, data security posture management and security operations, whose integration it requires.</w:t>
      </w:r>
    </w:p>
    <w:p w14:paraId="3BE9C4C0" w14:textId="77777777" w:rsidR="00FB0CD3" w:rsidRPr="00FB0CD3" w:rsidRDefault="00FB0CD3" w:rsidP="00FB0CD3"/>
    <w:p w14:paraId="122DD8B0" w14:textId="632201D7" w:rsidR="00AF6FE0" w:rsidRPr="008B19C4" w:rsidRDefault="00CB152A" w:rsidP="008B19C4">
      <w:pPr>
        <w:pStyle w:val="Heading2"/>
        <w:rPr>
          <w:rFonts w:cs="Times New Roman"/>
          <w:szCs w:val="24"/>
        </w:rPr>
      </w:pPr>
      <w:bookmarkStart w:id="47" w:name="_Toc235394972"/>
      <w:r>
        <w:rPr>
          <w:rFonts w:cs="Times New Roman"/>
          <w:szCs w:val="24"/>
        </w:rPr>
        <w:t>2.5 Data Security Posture Management (DSPM)</w:t>
      </w:r>
      <w:bookmarkEnd w:id="47"/>
    </w:p>
    <w:p w14:paraId="03DE90BD" w14:textId="77777777" w:rsidR="00AF5681" w:rsidRPr="00AF5681" w:rsidRDefault="00AF6FE0" w:rsidP="00C05962">
      <w:pPr>
        <w:spacing w:line="480" w:lineRule="auto"/>
        <w:ind w:left="360"/>
        <w:rPr>
          <w:rFonts w:ascii="Times New Roman" w:hAnsi="Times New Roman" w:cs="Times New Roman"/>
        </w:rPr>
      </w:pPr>
      <w:r>
        <w:rPr>
          <w:rFonts w:ascii="Times New Roman" w:hAnsi="Times New Roman" w:cs="Times New Roman"/>
        </w:rPr>
        <w:t>In the early days of cloud migration, security teams started to recognize a large visibility gap in terms of where and how data was stored. Cloud migration introduced several layers of complexity that made tracking data at rest significantly more difficult than in traditional on-premises environments (Komal &amp; Madan, 2023). </w:t>
      </w:r>
    </w:p>
    <w:p w14:paraId="0C634A00" w14:textId="77777777" w:rsidR="00AF5681" w:rsidRPr="00AF5681" w:rsidRDefault="00AF5681" w:rsidP="00C05962">
      <w:pPr>
        <w:spacing w:line="480" w:lineRule="auto"/>
        <w:ind w:left="360"/>
        <w:rPr>
          <w:rFonts w:ascii="Times New Roman" w:hAnsi="Times New Roman" w:cs="Times New Roman"/>
        </w:rPr>
      </w:pPr>
      <w:r>
        <w:rPr>
          <w:rFonts w:ascii="Times New Roman" w:hAnsi="Times New Roman" w:cs="Times New Roman"/>
        </w:rPr>
        <w:t xml:space="preserve">For one, in the cloud data is constantly in motion and often scattered across multiple cloud platforms or vendors and on premise (typically a mix is called hybrid cloud). This is typically done for performance and reliability (Swanzy et al., 2024). </w:t>
      </w:r>
    </w:p>
    <w:p w14:paraId="581AA356" w14:textId="77777777" w:rsidR="00832E39" w:rsidRDefault="00832E39" w:rsidP="00C05962">
      <w:pPr>
        <w:tabs>
          <w:tab w:val="left" w:pos="900"/>
        </w:tabs>
        <w:spacing w:line="480" w:lineRule="auto"/>
        <w:ind w:left="360"/>
        <w:rPr>
          <w:rFonts w:ascii="Times New Roman" w:hAnsi="Times New Roman" w:cs="Times New Roman"/>
        </w:rPr>
      </w:pPr>
      <w:r>
        <w:rPr>
          <w:rFonts w:ascii="Times New Roman" w:hAnsi="Times New Roman" w:cs="Times New Roman"/>
        </w:rPr>
        <w:t>In addition, the advent of cloud computing and the efficiencies it brings in terms of resource allocation and usage means they can spin up and down microservices, containers, and serverless functions, making it harder to track where data is being temporarily or permanently stored.</w:t>
      </w:r>
    </w:p>
    <w:p w14:paraId="10F90312" w14:textId="77777777" w:rsidR="00832E39" w:rsidRDefault="00832E39" w:rsidP="00C05962">
      <w:pPr>
        <w:tabs>
          <w:tab w:val="left" w:pos="900"/>
        </w:tabs>
        <w:spacing w:line="480" w:lineRule="auto"/>
        <w:ind w:left="360"/>
        <w:rPr>
          <w:rFonts w:ascii="Times New Roman" w:hAnsi="Times New Roman" w:cs="Times New Roman"/>
        </w:rPr>
      </w:pPr>
      <w:r>
        <w:rPr>
          <w:rFonts w:ascii="Times New Roman" w:hAnsi="Times New Roman" w:cs="Times New Roman"/>
        </w:rPr>
        <w:t>The simplicity of spinning up resources, that can often be temporary, has also led to Shadow IT. Shadow IT, as it refers to the cloud, means unauthorized cloud subscriptions and undocumented software purchases by different business units or individuals can result in sensitive data being stored without the IT department’s knowledge (Kirin, 2017).</w:t>
      </w:r>
    </w:p>
    <w:p w14:paraId="3BF78170" w14:textId="77777777" w:rsidR="00AF5681" w:rsidRPr="00AF5681" w:rsidRDefault="00832E39" w:rsidP="00C05962">
      <w:pPr>
        <w:tabs>
          <w:tab w:val="left" w:pos="900"/>
        </w:tabs>
        <w:spacing w:line="480" w:lineRule="auto"/>
        <w:ind w:left="360"/>
        <w:rPr>
          <w:rFonts w:ascii="Times New Roman" w:hAnsi="Times New Roman" w:cs="Times New Roman"/>
        </w:rPr>
      </w:pPr>
      <w:r>
        <w:rPr>
          <w:rFonts w:ascii="Times New Roman" w:hAnsi="Times New Roman" w:cs="Times New Roman"/>
        </w:rPr>
        <w:t xml:space="preserve">However, misconfigurations are considered the primary cause of data breaches in cloud (InstaTunnel Engineering, 2025). The ease of provisioning new resources often leads to human errors, such as leaving storage buckets (like Amazon S3) publicly accessible, without </w:t>
      </w:r>
      <w:r>
        <w:rPr>
          <w:rFonts w:ascii="Times New Roman" w:hAnsi="Times New Roman" w:cs="Times New Roman"/>
        </w:rPr>
        <w:lastRenderedPageBreak/>
        <w:t xml:space="preserve">a potential owner and untracked. In many cases, misconfigurations were also associated with poor tagging of data for classification in order distinguish between different tiers of data based on sensitivity or criticality to the business. In the financial services cases, PII, specifically. </w:t>
      </w:r>
    </w:p>
    <w:p w14:paraId="212D6C7F" w14:textId="77777777" w:rsidR="00AF6FE0" w:rsidRDefault="00AF6FE0" w:rsidP="00C05962">
      <w:pPr>
        <w:tabs>
          <w:tab w:val="left" w:pos="900"/>
        </w:tabs>
        <w:spacing w:line="480" w:lineRule="auto"/>
        <w:ind w:left="360"/>
        <w:rPr>
          <w:rFonts w:ascii="Times New Roman" w:hAnsi="Times New Roman" w:cs="Times New Roman"/>
        </w:rPr>
      </w:pPr>
      <w:r>
        <w:rPr>
          <w:rFonts w:ascii="Times New Roman" w:hAnsi="Times New Roman" w:cs="Times New Roman"/>
        </w:rPr>
        <w:t>DSPM emerged to solve this "data blindness" by shifting the focus from infrastructure to the data itself. The term was formally introduced by Gartner in its 2022 Hype Cycle for Data Security, which defined DSPM as providing visibility into where sensitive data is, who has access to it, how it has been used, and what the security posture of the underlying data store or application is (Gartner, 2022). In practice, this meant understanding how to better protect data stored across cloud and hybrid architectures, even as that data remained in constant motion.</w:t>
      </w:r>
    </w:p>
    <w:p w14:paraId="66A81090" w14:textId="77777777" w:rsidR="00BE37AD" w:rsidRPr="00AF6FE0" w:rsidRDefault="00BE37AD" w:rsidP="00C05962">
      <w:pPr>
        <w:tabs>
          <w:tab w:val="left" w:pos="900"/>
        </w:tabs>
        <w:spacing w:line="480" w:lineRule="auto"/>
        <w:ind w:left="360"/>
        <w:rPr>
          <w:rFonts w:ascii="Times New Roman" w:hAnsi="Times New Roman" w:cs="Times New Roman"/>
        </w:rPr>
      </w:pPr>
      <w:proofErr w:type="gramStart"/>
      <w:r>
        <w:rPr>
          <w:rFonts w:ascii="Times New Roman" w:hAnsi="Times New Roman" w:cs="Times New Roman"/>
        </w:rPr>
        <w:t>Similar to</w:t>
      </w:r>
      <w:proofErr w:type="gramEnd"/>
      <w:r>
        <w:rPr>
          <w:rFonts w:ascii="Times New Roman" w:hAnsi="Times New Roman" w:cs="Times New Roman"/>
        </w:rPr>
        <w:t xml:space="preserve"> Shadow IT, the challenge for these teams got its own term known as “Shadow Data” (Yaacovi, 2022). Shadow data refers to data that is collected, processed, and stored without the knowledge or control of an organization's IT department</w:t>
      </w:r>
      <w:r>
        <w:rPr>
          <w:rFonts w:ascii="Times New Roman" w:hAnsi="Times New Roman" w:cs="Times New Roman"/>
          <w:b/>
          <w:bCs/>
        </w:rPr>
        <w:t>.</w:t>
      </w:r>
      <w:r>
        <w:rPr>
          <w:rFonts w:ascii="Times New Roman" w:hAnsi="Times New Roman" w:cs="Times New Roman"/>
        </w:rPr>
        <w:t> This data often resides in cloud services, personal devices, or third-party applications. While shadow data has become increasingly common with the rise of remote work and the proliferation of cloud-based tools, identifying where PII is stored and securing PII it has become a much greater challenge.</w:t>
      </w:r>
    </w:p>
    <w:p w14:paraId="589048A4" w14:textId="038315BF" w:rsidR="00AF6FE0" w:rsidRPr="00AF6FE0" w:rsidRDefault="00AF6FE0" w:rsidP="00C05962">
      <w:pPr>
        <w:tabs>
          <w:tab w:val="left" w:pos="900"/>
        </w:tabs>
        <w:spacing w:line="480" w:lineRule="auto"/>
        <w:ind w:left="360"/>
        <w:rPr>
          <w:rFonts w:ascii="Times New Roman" w:hAnsi="Times New Roman" w:cs="Times New Roman"/>
        </w:rPr>
      </w:pPr>
      <w:r>
        <w:rPr>
          <w:rFonts w:ascii="Times New Roman" w:hAnsi="Times New Roman" w:cs="Times New Roman"/>
        </w:rPr>
        <w:t>DSPM functions</w:t>
      </w:r>
      <w:r w:rsidR="001622A8">
        <w:rPr>
          <w:rFonts w:ascii="Times New Roman" w:hAnsi="Times New Roman" w:cs="Times New Roman"/>
        </w:rPr>
        <w:t>, as shown in Figure 2.</w:t>
      </w:r>
      <w:r w:rsidR="00FA57A1">
        <w:rPr>
          <w:rFonts w:ascii="Times New Roman" w:hAnsi="Times New Roman" w:cs="Times New Roman"/>
        </w:rPr>
        <w:t>4</w:t>
      </w:r>
      <w:r w:rsidR="001622A8">
        <w:rPr>
          <w:rFonts w:ascii="Times New Roman" w:hAnsi="Times New Roman" w:cs="Times New Roman"/>
        </w:rPr>
        <w:t xml:space="preserve">, </w:t>
      </w:r>
      <w:r>
        <w:rPr>
          <w:rFonts w:ascii="Times New Roman" w:hAnsi="Times New Roman" w:cs="Times New Roman"/>
        </w:rPr>
        <w:t>as a high-tech librarian for the cloud. It is designed to scan massive, disparate data stores (S3 buckets, Snowflake, SQL databases) to answer three critical questions: Where is the data? What is it? Who can see it? (Strange, 2024).</w:t>
      </w:r>
    </w:p>
    <w:p w14:paraId="323F9DBC" w14:textId="77777777" w:rsidR="00AF6FE0" w:rsidRPr="00AF6FE0" w:rsidRDefault="00AF6FE0" w:rsidP="00BD7596">
      <w:pPr>
        <w:numPr>
          <w:ilvl w:val="0"/>
          <w:numId w:val="5"/>
        </w:numPr>
        <w:tabs>
          <w:tab w:val="clear" w:pos="720"/>
          <w:tab w:val="left" w:pos="900"/>
        </w:tabs>
        <w:spacing w:line="480" w:lineRule="auto"/>
        <w:ind w:left="360" w:firstLine="0"/>
        <w:rPr>
          <w:rFonts w:ascii="Times New Roman" w:hAnsi="Times New Roman" w:cs="Times New Roman"/>
        </w:rPr>
      </w:pPr>
      <w:r>
        <w:rPr>
          <w:rFonts w:ascii="Times New Roman" w:hAnsi="Times New Roman" w:cs="Times New Roman"/>
          <w:b/>
          <w:bCs/>
        </w:rPr>
        <w:t>Discovery and Classification:</w:t>
      </w:r>
      <w:r>
        <w:rPr>
          <w:rFonts w:ascii="Times New Roman" w:hAnsi="Times New Roman" w:cs="Times New Roman"/>
        </w:rPr>
        <w:t xml:space="preserve"> It uses AI and pattern matching to identify PII.</w:t>
      </w:r>
    </w:p>
    <w:p w14:paraId="4D930D30" w14:textId="77777777" w:rsidR="00AF6FE0" w:rsidRPr="00AF6FE0" w:rsidRDefault="00AF6FE0" w:rsidP="00BD7596">
      <w:pPr>
        <w:numPr>
          <w:ilvl w:val="0"/>
          <w:numId w:val="5"/>
        </w:numPr>
        <w:tabs>
          <w:tab w:val="clear" w:pos="720"/>
          <w:tab w:val="left" w:pos="900"/>
        </w:tabs>
        <w:spacing w:line="480" w:lineRule="auto"/>
        <w:ind w:left="360" w:firstLine="0"/>
        <w:rPr>
          <w:rFonts w:ascii="Times New Roman" w:hAnsi="Times New Roman" w:cs="Times New Roman"/>
        </w:rPr>
      </w:pPr>
      <w:r>
        <w:rPr>
          <w:rFonts w:ascii="Times New Roman" w:hAnsi="Times New Roman" w:cs="Times New Roman"/>
          <w:b/>
          <w:bCs/>
        </w:rPr>
        <w:lastRenderedPageBreak/>
        <w:t>Vulnerability Mapping:</w:t>
      </w:r>
      <w:r>
        <w:rPr>
          <w:rFonts w:ascii="Times New Roman" w:hAnsi="Times New Roman" w:cs="Times New Roman"/>
        </w:rPr>
        <w:t xml:space="preserve"> It identifies "shadow data". This is in the context of users or systems creating backups or copies of databases that aren't monitored often with no limitations on or improperly set permissions and access controls. </w:t>
      </w:r>
    </w:p>
    <w:p w14:paraId="1D6DC6C0" w14:textId="77777777" w:rsidR="00AF6FE0" w:rsidRDefault="00AF6FE0" w:rsidP="00BD7596">
      <w:pPr>
        <w:numPr>
          <w:ilvl w:val="0"/>
          <w:numId w:val="5"/>
        </w:numPr>
        <w:tabs>
          <w:tab w:val="clear" w:pos="720"/>
          <w:tab w:val="left" w:pos="900"/>
        </w:tabs>
        <w:spacing w:line="480" w:lineRule="auto"/>
        <w:ind w:left="360" w:firstLine="0"/>
        <w:rPr>
          <w:rFonts w:ascii="Times New Roman" w:hAnsi="Times New Roman" w:cs="Times New Roman"/>
        </w:rPr>
      </w:pPr>
      <w:r>
        <w:rPr>
          <w:rFonts w:ascii="Times New Roman" w:hAnsi="Times New Roman" w:cs="Times New Roman"/>
          <w:b/>
          <w:bCs/>
        </w:rPr>
        <w:t>Risk Prioritization:</w:t>
      </w:r>
      <w:r>
        <w:rPr>
          <w:rFonts w:ascii="Times New Roman" w:hAnsi="Times New Roman" w:cs="Times New Roman"/>
        </w:rPr>
        <w:t xml:space="preserve"> By knowing a database containing 10,000 credit card numbers, it helps teams prioritize fixing a misconfiguration there over a database containing public marketing assets.</w:t>
      </w:r>
    </w:p>
    <w:p w14:paraId="176E8533" w14:textId="77777777" w:rsidR="009B5DE5" w:rsidRDefault="009B5DE5" w:rsidP="00404EEC">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142D58A3" wp14:editId="5A280484">
            <wp:extent cx="5681980" cy="4448175"/>
            <wp:effectExtent l="0" t="0" r="0" b="9525"/>
            <wp:docPr id="88603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31527" name=""/>
                    <pic:cNvPicPr/>
                  </pic:nvPicPr>
                  <pic:blipFill>
                    <a:blip r:embed="rId18"/>
                    <a:stretch>
                      <a:fillRect/>
                    </a:stretch>
                  </pic:blipFill>
                  <pic:spPr>
                    <a:xfrm>
                      <a:off x="0" y="0"/>
                      <a:ext cx="5692621" cy="4456505"/>
                    </a:xfrm>
                    <a:prstGeom prst="rect">
                      <a:avLst/>
                    </a:prstGeom>
                  </pic:spPr>
                </pic:pic>
              </a:graphicData>
            </a:graphic>
          </wp:inline>
        </w:drawing>
      </w:r>
    </w:p>
    <w:p w14:paraId="05F8BA04" w14:textId="20F0372A" w:rsidR="005771C9" w:rsidRPr="001341B1" w:rsidRDefault="00DF0BA8" w:rsidP="005771C9">
      <w:pPr>
        <w:spacing w:after="0" w:line="240" w:lineRule="auto"/>
        <w:ind w:firstLine="720"/>
        <w:rPr>
          <w:rFonts w:ascii="Times New Roman" w:hAnsi="Times New Roman" w:cs="Times New Roman"/>
          <w:sz w:val="16"/>
          <w:szCs w:val="16"/>
        </w:rPr>
      </w:pPr>
      <w:r>
        <w:rPr>
          <w:rFonts w:ascii="Times New Roman" w:hAnsi="Times New Roman" w:cs="Times New Roman"/>
          <w:b/>
          <w:bCs/>
          <w:sz w:val="18"/>
          <w:szCs w:val="18"/>
        </w:rPr>
        <w:t>Figure 2.</w:t>
      </w:r>
      <w:r w:rsidR="00FA57A1">
        <w:rPr>
          <w:rFonts w:ascii="Times New Roman" w:hAnsi="Times New Roman" w:cs="Times New Roman"/>
          <w:b/>
          <w:bCs/>
          <w:sz w:val="18"/>
          <w:szCs w:val="18"/>
        </w:rPr>
        <w:t>4</w:t>
      </w:r>
      <w:r>
        <w:rPr>
          <w:rFonts w:ascii="Times New Roman" w:hAnsi="Times New Roman" w:cs="Times New Roman"/>
          <w:sz w:val="18"/>
          <w:szCs w:val="18"/>
        </w:rPr>
        <w:t xml:space="preserve"> </w:t>
      </w:r>
      <w:r>
        <w:rPr>
          <w:rFonts w:ascii="Times New Roman" w:hAnsi="Times New Roman" w:cs="Times New Roman"/>
          <w:sz w:val="16"/>
          <w:szCs w:val="16"/>
        </w:rPr>
        <w:t>What Is Data Security Posture Management (DSPM)? Retrieved from aquasec.com. Cited in Strange (2024).</w:t>
      </w:r>
    </w:p>
    <w:p w14:paraId="3204DFAE" w14:textId="77777777" w:rsidR="009B5DE5" w:rsidRDefault="009B5DE5" w:rsidP="009B5DE5">
      <w:pPr>
        <w:spacing w:line="480" w:lineRule="auto"/>
        <w:rPr>
          <w:rFonts w:ascii="Times New Roman" w:hAnsi="Times New Roman" w:cs="Times New Roman"/>
        </w:rPr>
      </w:pPr>
    </w:p>
    <w:p w14:paraId="0005E0D8" w14:textId="77777777" w:rsidR="00AF6FE0" w:rsidRPr="00AF6FE0" w:rsidRDefault="00AF6FE0" w:rsidP="00C05962">
      <w:pPr>
        <w:tabs>
          <w:tab w:val="left" w:pos="450"/>
        </w:tabs>
        <w:spacing w:line="480" w:lineRule="auto"/>
        <w:ind w:left="450"/>
        <w:rPr>
          <w:rFonts w:ascii="Times New Roman" w:hAnsi="Times New Roman" w:cs="Times New Roman"/>
        </w:rPr>
      </w:pPr>
      <w:r>
        <w:rPr>
          <w:rFonts w:ascii="Times New Roman" w:hAnsi="Times New Roman" w:cs="Times New Roman"/>
        </w:rPr>
        <w:t xml:space="preserve">While DSPM is a powerful tool when it comes to improving data protection and governance, it rarely operates in real-time and the way it does scanning simply determines the state (location, access rights, encrypted, classification, criticality) of the data. In some </w:t>
      </w:r>
      <w:r>
        <w:rPr>
          <w:rFonts w:ascii="Times New Roman" w:hAnsi="Times New Roman" w:cs="Times New Roman"/>
        </w:rPr>
        <w:lastRenderedPageBreak/>
        <w:t xml:space="preserve">cases, it can take steps to improve the security posture of the data automatically, but neither the data security and governance teams that use DSPM are focused on active threats or inappropriate access of that data. </w:t>
      </w:r>
    </w:p>
    <w:p w14:paraId="7C8F6EA5" w14:textId="77777777" w:rsidR="00AF6FE0" w:rsidRDefault="00AF6FE0" w:rsidP="00285C25">
      <w:pPr>
        <w:tabs>
          <w:tab w:val="left" w:pos="450"/>
          <w:tab w:val="left" w:pos="990"/>
          <w:tab w:val="left" w:pos="1080"/>
        </w:tabs>
        <w:spacing w:after="0" w:line="480" w:lineRule="auto"/>
        <w:ind w:left="450"/>
        <w:rPr>
          <w:rFonts w:ascii="Times New Roman" w:hAnsi="Times New Roman" w:cs="Times New Roman"/>
        </w:rPr>
      </w:pPr>
      <w:r>
        <w:rPr>
          <w:rFonts w:ascii="Times New Roman" w:hAnsi="Times New Roman" w:cs="Times New Roman"/>
        </w:rPr>
        <w:t>DSPM tells the data security team that the data is sensitive, but it often lacks the runtime context. If a developer suddenly accesses a production database, the DSPM tool knows the database is sensitive, but it doesn't necessarily know that the developer's credentials were just compromised on a separate endpoint. However, this is where the SOC comes into play, as it can correlate disparate events to stop a breach in progress.</w:t>
      </w:r>
    </w:p>
    <w:p w14:paraId="2594A848" w14:textId="77777777" w:rsidR="00093EFD" w:rsidRDefault="00000000" w:rsidP="00FA57A1">
      <w:pPr>
        <w:tabs>
          <w:tab w:val="left" w:pos="450"/>
        </w:tabs>
        <w:spacing w:after="200" w:line="480" w:lineRule="auto"/>
        <w:ind w:left="450"/>
        <w:rPr>
          <w:rFonts w:ascii="Times New Roman" w:hAnsi="Times New Roman" w:cs="Times New Roman"/>
        </w:rPr>
      </w:pPr>
      <w:r>
        <w:rPr>
          <w:rFonts w:ascii="Times New Roman" w:hAnsi="Times New Roman" w:cs="Times New Roman"/>
        </w:rPr>
        <w:t xml:space="preserve">It is also notable that the DSPM literature remains predominantly practitioner-driven, consisting largely of analyst research and vendor publications (e.g., Gartner, 2022; Strange, 2024), while peer-reviewed treatments of cloud data security (Komal &amp; Madan, 2023; Swanzy et al., 2024) address discovery, classification, and governance but generally treat posture management and threat detection as separate problems. </w:t>
      </w:r>
      <w:proofErr w:type="gramStart"/>
      <w:r>
        <w:rPr>
          <w:rFonts w:ascii="Times New Roman" w:hAnsi="Times New Roman" w:cs="Times New Roman"/>
        </w:rPr>
        <w:t>Neither</w:t>
      </w:r>
      <w:proofErr w:type="gramEnd"/>
      <w:r>
        <w:rPr>
          <w:rFonts w:ascii="Times New Roman" w:hAnsi="Times New Roman" w:cs="Times New Roman"/>
        </w:rPr>
        <w:t xml:space="preserve"> stream of literature proposes a mechanism for feeding DSPM-derived data classifications into the SIEM’s correlation and triage logic in real time, which is precisely the integration this study investigates. The next section turns to the literature on the SOC, the organizational function on the other side of that divide.</w:t>
      </w:r>
    </w:p>
    <w:p w14:paraId="530888A1" w14:textId="77777777" w:rsidR="008B19C4" w:rsidRDefault="008B19C4" w:rsidP="00285C25">
      <w:pPr>
        <w:spacing w:after="0" w:line="480" w:lineRule="auto"/>
        <w:rPr>
          <w:rFonts w:ascii="Times New Roman" w:hAnsi="Times New Roman" w:cs="Times New Roman"/>
        </w:rPr>
      </w:pPr>
    </w:p>
    <w:p w14:paraId="096E645B" w14:textId="77777777" w:rsidR="00CB152A" w:rsidRPr="008B19C4" w:rsidRDefault="00CB152A" w:rsidP="00285C25">
      <w:pPr>
        <w:pStyle w:val="Heading2"/>
        <w:spacing w:before="0" w:after="0" w:line="480" w:lineRule="auto"/>
        <w:rPr>
          <w:rFonts w:cs="Times New Roman"/>
          <w:szCs w:val="24"/>
        </w:rPr>
      </w:pPr>
      <w:bookmarkStart w:id="48" w:name="_Toc235394973"/>
      <w:r>
        <w:rPr>
          <w:rFonts w:cs="Times New Roman"/>
          <w:szCs w:val="24"/>
        </w:rPr>
        <w:t>2.6 The Role of the SOC</w:t>
      </w:r>
      <w:bookmarkEnd w:id="48"/>
    </w:p>
    <w:p w14:paraId="6B0C9EB2" w14:textId="77777777" w:rsidR="00B23794" w:rsidRPr="0072665C" w:rsidRDefault="00B23794" w:rsidP="00B23794">
      <w:pPr>
        <w:spacing w:line="480" w:lineRule="auto"/>
        <w:ind w:left="360"/>
      </w:pPr>
      <w:r>
        <w:rPr>
          <w:rFonts w:ascii="Times New Roman" w:hAnsi="Times New Roman" w:cs="Times New Roman"/>
        </w:rPr>
        <w:t xml:space="preserve">The Security Operations Center (SOC) has evolved from its origins as a network traffic monitoring function into the organizational hub for enterprise-wide threat detection, investigation, and response. The SOC operates as a continuous 24/7 function, integrating people, processes, and technology to monitor security posture and respond to incidents across </w:t>
      </w:r>
      <w:r>
        <w:rPr>
          <w:rFonts w:ascii="Times New Roman" w:hAnsi="Times New Roman" w:cs="Times New Roman"/>
        </w:rPr>
        <w:lastRenderedPageBreak/>
        <w:t>the full infrastructure environment (McDonald, 2025). Its defining characteristic is centralization: by aggregating telemetry from across an organization’s environment, the SOC provides the unified visibility necessary to identify and act on threats that would otherwise remain hidden within siloed systems.</w:t>
      </w:r>
    </w:p>
    <w:p w14:paraId="5E30EFE0" w14:textId="77777777" w:rsidR="0072665C" w:rsidRPr="0072665C" w:rsidRDefault="00EC62EC" w:rsidP="00C05962">
      <w:pPr>
        <w:tabs>
          <w:tab w:val="left" w:pos="360"/>
        </w:tabs>
        <w:spacing w:line="480" w:lineRule="auto"/>
        <w:ind w:left="360"/>
        <w:rPr>
          <w:rFonts w:ascii="Times New Roman" w:hAnsi="Times New Roman" w:cs="Times New Roman"/>
        </w:rPr>
      </w:pPr>
      <w:r>
        <w:rPr>
          <w:rFonts w:ascii="Times New Roman" w:hAnsi="Times New Roman" w:cs="Times New Roman"/>
        </w:rPr>
        <w:t xml:space="preserve">The SOC is typically implemented in more mature organizations that can support an organization-wide security monitoring program with security analysts and incident responders when a cyber security threat to the organization is determined. It acts as centralized monitoring hub for security analysts that first and foremost collects log events from across an organization's IT infrastructure, including networks, devices, appliances, and information stores and monitors interest events for signs of a threat. Traditionally, as specific events are identified of interest, the security analyst will further investigate these events using additional tools or connecting directly to other security systems (Microsoft, n.d.). </w:t>
      </w:r>
    </w:p>
    <w:p w14:paraId="166F3CB8" w14:textId="77777777" w:rsidR="008841C6" w:rsidRDefault="008841C6" w:rsidP="00C05962">
      <w:pPr>
        <w:spacing w:line="480" w:lineRule="auto"/>
        <w:ind w:left="360"/>
        <w:rPr>
          <w:rFonts w:ascii="Times New Roman" w:hAnsi="Times New Roman" w:cs="Times New Roman"/>
        </w:rPr>
      </w:pPr>
      <w:r>
        <w:rPr>
          <w:rFonts w:ascii="Times New Roman" w:hAnsi="Times New Roman" w:cs="Times New Roman"/>
        </w:rPr>
        <w:t xml:space="preserve">As the SOC is the central hub for monitoring, detecting and responding to threats, the SIEM shas become the central technology within the SOC itself. The SIEM is responsible for aggregating, normalizing, and analyzing log data from across an organization's IT infrastructure, allowing SOC analysts to identify and respond to threats </w:t>
      </w:r>
      <w:proofErr w:type="gramStart"/>
      <w:r>
        <w:rPr>
          <w:rFonts w:ascii="Times New Roman" w:hAnsi="Times New Roman" w:cs="Times New Roman"/>
        </w:rPr>
        <w:t>based on the fact that</w:t>
      </w:r>
      <w:proofErr w:type="gramEnd"/>
      <w:r>
        <w:rPr>
          <w:rFonts w:ascii="Times New Roman" w:hAnsi="Times New Roman" w:cs="Times New Roman"/>
        </w:rPr>
        <w:t xml:space="preserve"> logs can typically be collected from every system to paint a picture of its state (Miloslavskaya, 2018). </w:t>
      </w:r>
    </w:p>
    <w:p w14:paraId="4479183D" w14:textId="77777777" w:rsidR="00040F82" w:rsidRPr="008841C6" w:rsidRDefault="00040F82" w:rsidP="00C05962">
      <w:pPr>
        <w:spacing w:line="480" w:lineRule="auto"/>
        <w:ind w:left="360"/>
        <w:rPr>
          <w:rFonts w:ascii="Times New Roman" w:hAnsi="Times New Roman" w:cs="Times New Roman"/>
        </w:rPr>
      </w:pPr>
      <w:r>
        <w:rPr>
          <w:rFonts w:ascii="Times New Roman" w:hAnsi="Times New Roman" w:cs="Times New Roman"/>
        </w:rPr>
        <w:t xml:space="preserve">The following is a breakdown of the key components of the SIEM in supporting the SOC as the central tool for threat detection, investigation and response (AmpcusCyber, 2026). </w:t>
      </w:r>
    </w:p>
    <w:p w14:paraId="74A3BB3E" w14:textId="77777777" w:rsidR="008841C6" w:rsidRPr="008841C6" w:rsidRDefault="008841C6" w:rsidP="00BD7596">
      <w:pPr>
        <w:numPr>
          <w:ilvl w:val="0"/>
          <w:numId w:val="6"/>
        </w:numPr>
        <w:spacing w:line="480" w:lineRule="auto"/>
        <w:ind w:left="360" w:firstLine="0"/>
        <w:rPr>
          <w:rFonts w:ascii="Times New Roman" w:hAnsi="Times New Roman" w:cs="Times New Roman"/>
        </w:rPr>
      </w:pPr>
      <w:r>
        <w:rPr>
          <w:rFonts w:ascii="Times New Roman" w:hAnsi="Times New Roman" w:cs="Times New Roman"/>
          <w:b/>
          <w:bCs/>
        </w:rPr>
        <w:lastRenderedPageBreak/>
        <w:t>Central Data Hub &amp; Visibility:</w:t>
      </w:r>
      <w:r>
        <w:rPr>
          <w:rFonts w:ascii="Times New Roman" w:hAnsi="Times New Roman" w:cs="Times New Roman"/>
        </w:rPr>
        <w:t> The SIEM is the primary repository for log data from diverse sources, including firewalls, endpoints, cloud services, and identity providers. It converts massive, noisy data sets into a unified, actionable view.</w:t>
      </w:r>
    </w:p>
    <w:p w14:paraId="4853269E" w14:textId="77777777" w:rsidR="008841C6" w:rsidRPr="008841C6" w:rsidRDefault="008841C6" w:rsidP="00BD7596">
      <w:pPr>
        <w:numPr>
          <w:ilvl w:val="0"/>
          <w:numId w:val="6"/>
        </w:numPr>
        <w:spacing w:line="480" w:lineRule="auto"/>
        <w:ind w:left="360" w:firstLine="0"/>
        <w:rPr>
          <w:rFonts w:ascii="Times New Roman" w:hAnsi="Times New Roman" w:cs="Times New Roman"/>
        </w:rPr>
      </w:pPr>
      <w:r>
        <w:rPr>
          <w:rFonts w:ascii="Times New Roman" w:hAnsi="Times New Roman" w:cs="Times New Roman"/>
          <w:b/>
          <w:bCs/>
        </w:rPr>
        <w:t>Correlation and Alerting:</w:t>
      </w:r>
      <w:r>
        <w:rPr>
          <w:rFonts w:ascii="Times New Roman" w:hAnsi="Times New Roman" w:cs="Times New Roman"/>
        </w:rPr>
        <w:t xml:space="preserve"> The first set and core set of analytics provided by the SIEM links disparate, isolated data points to detect complex or stealthy cyberattacks in real-time. The primary source of data that is correlated is log data. Sometimes the SIEM’s primary set of analytics are referred to as log analytics for this reason, and typically that means log correlation. It is the most rudimentary form of analytics and is often just referred to as correlation. From this correlation, alerts can be raised once simple patterns are recognized. </w:t>
      </w:r>
    </w:p>
    <w:p w14:paraId="38FD6739" w14:textId="77777777" w:rsidR="008841C6" w:rsidRPr="008841C6" w:rsidRDefault="008841C6" w:rsidP="00BD7596">
      <w:pPr>
        <w:numPr>
          <w:ilvl w:val="0"/>
          <w:numId w:val="6"/>
        </w:numPr>
        <w:spacing w:line="480" w:lineRule="auto"/>
        <w:ind w:left="360" w:firstLine="0"/>
        <w:rPr>
          <w:rFonts w:ascii="Times New Roman" w:hAnsi="Times New Roman" w:cs="Times New Roman"/>
        </w:rPr>
      </w:pPr>
      <w:r>
        <w:rPr>
          <w:rFonts w:ascii="Times New Roman" w:hAnsi="Times New Roman" w:cs="Times New Roman"/>
          <w:b/>
          <w:bCs/>
        </w:rPr>
        <w:t>Compliance &amp; Reporting:</w:t>
      </w:r>
      <w:r>
        <w:rPr>
          <w:rFonts w:ascii="Times New Roman" w:hAnsi="Times New Roman" w:cs="Times New Roman"/>
        </w:rPr>
        <w:t xml:space="preserve"> The original reason why many organizations purchased a SIEM before leveraging for security purposes despite the acronym including “Security”, was for meeting regulatory requirements (e.g., GDPR, HIPAA, PCI DSS) through log retention and the ability to generate reports from these logs. Many regulations maintaining activity or state of systems and log collection and retention are clearly the primary strength of the SIEM. </w:t>
      </w:r>
    </w:p>
    <w:p w14:paraId="4830C887" w14:textId="16D02A7E" w:rsidR="00503BEB" w:rsidRDefault="00503BEB" w:rsidP="00B3760A">
      <w:pPr>
        <w:numPr>
          <w:ilvl w:val="0"/>
          <w:numId w:val="6"/>
        </w:numPr>
        <w:spacing w:after="0" w:line="480" w:lineRule="auto"/>
        <w:ind w:left="360" w:firstLine="0"/>
        <w:rPr>
          <w:rFonts w:ascii="Times New Roman" w:hAnsi="Times New Roman" w:cs="Times New Roman"/>
        </w:rPr>
      </w:pPr>
      <w:r>
        <w:rPr>
          <w:rFonts w:ascii="Times New Roman" w:hAnsi="Times New Roman" w:cs="Times New Roman"/>
          <w:b/>
          <w:bCs/>
        </w:rPr>
        <w:t>Accelerating the job of the security analyst:</w:t>
      </w:r>
      <w:r>
        <w:rPr>
          <w:rFonts w:ascii="Times New Roman" w:hAnsi="Times New Roman" w:cs="Times New Roman"/>
        </w:rPr>
        <w:t xml:space="preserve"> While the SOC provides human expertise, the SIEM reduces the cognitive overload ("alert fatigue") for analysts by prioritizing true threats over false positives. Truth be told, this capability evolved over time from simple collection to log correlation. Since then, many SIEMs have added analytical engines side-by-side with the core log analytics capability (e.g. UEBA) and even newer generations of SIEMs have tried to re-architect the SIEM to move away from just logs and incorporate other types of telemetry beyond just log data. Certainly, the addition of machine learning (ML) and Artificial Intelligence (AI) has also accelerated the way SIEM’s process alerts, helps with </w:t>
      </w:r>
      <w:r>
        <w:rPr>
          <w:rFonts w:ascii="Times New Roman" w:hAnsi="Times New Roman" w:cs="Times New Roman"/>
        </w:rPr>
        <w:lastRenderedPageBreak/>
        <w:t>threat detection, accelerate investigations and prioritize response (Bhatia, 2025). Figure 2.</w:t>
      </w:r>
      <w:r w:rsidR="00FA57A1">
        <w:rPr>
          <w:rFonts w:ascii="Times New Roman" w:hAnsi="Times New Roman" w:cs="Times New Roman"/>
        </w:rPr>
        <w:t>5</w:t>
      </w:r>
      <w:r>
        <w:rPr>
          <w:rFonts w:ascii="Times New Roman" w:hAnsi="Times New Roman" w:cs="Times New Roman"/>
        </w:rPr>
        <w:t xml:space="preserve"> describes a SOC workflow with the SIEM being the primary tool used for the listed states.</w:t>
      </w:r>
    </w:p>
    <w:p w14:paraId="3F7CD149" w14:textId="77777777" w:rsidR="00B3760A" w:rsidRDefault="00B3760A" w:rsidP="00B3760A">
      <w:pPr>
        <w:spacing w:after="0" w:line="480" w:lineRule="auto"/>
        <w:ind w:left="360"/>
        <w:rPr>
          <w:rFonts w:ascii="Times New Roman" w:hAnsi="Times New Roman" w:cs="Times New Roman"/>
        </w:rPr>
      </w:pPr>
    </w:p>
    <w:p w14:paraId="4F07A2FA" w14:textId="02CB5CB9" w:rsidR="00B3760A" w:rsidRDefault="00B3760A" w:rsidP="00B3760A">
      <w:pPr>
        <w:spacing w:after="0" w:line="480" w:lineRule="auto"/>
        <w:ind w:left="360"/>
        <w:rPr>
          <w:rFonts w:ascii="Times New Roman" w:hAnsi="Times New Roman" w:cs="Times New Roman"/>
        </w:rPr>
      </w:pPr>
      <w:r>
        <w:rPr>
          <w:rFonts w:ascii="Times New Roman" w:hAnsi="Times New Roman" w:cs="Times New Roman"/>
          <w:noProof/>
        </w:rPr>
        <w:drawing>
          <wp:inline distT="0" distB="0" distL="0" distR="0" wp14:anchorId="4EB0E7F8" wp14:editId="2DAE2689">
            <wp:extent cx="5943600" cy="1846217"/>
            <wp:effectExtent l="0" t="0" r="0" b="1905"/>
            <wp:docPr id="1054142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42324" name="Picture 10541423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7005" cy="1853487"/>
                    </a:xfrm>
                    <a:prstGeom prst="rect">
                      <a:avLst/>
                    </a:prstGeom>
                  </pic:spPr>
                </pic:pic>
              </a:graphicData>
            </a:graphic>
          </wp:inline>
        </w:drawing>
      </w:r>
    </w:p>
    <w:p w14:paraId="59D3635D" w14:textId="0AC62C7A" w:rsidR="00B3760A" w:rsidRPr="00B3760A" w:rsidRDefault="00B3760A" w:rsidP="001341B1">
      <w:pPr>
        <w:spacing w:after="0" w:line="480" w:lineRule="auto"/>
        <w:ind w:left="720"/>
        <w:jc w:val="center"/>
        <w:rPr>
          <w:rFonts w:ascii="Times New Roman" w:hAnsi="Times New Roman" w:cs="Times New Roman"/>
          <w:iCs/>
          <w:sz w:val="18"/>
          <w:szCs w:val="18"/>
        </w:rPr>
      </w:pPr>
      <w:r>
        <w:rPr>
          <w:rFonts w:ascii="Times New Roman" w:hAnsi="Times New Roman" w:cs="Times New Roman"/>
          <w:b/>
          <w:iCs/>
          <w:sz w:val="18"/>
          <w:szCs w:val="18"/>
        </w:rPr>
        <w:t>Figure 2.</w:t>
      </w:r>
      <w:r w:rsidR="001622A8">
        <w:rPr>
          <w:rFonts w:ascii="Times New Roman" w:hAnsi="Times New Roman" w:cs="Times New Roman"/>
          <w:b/>
          <w:iCs/>
          <w:sz w:val="18"/>
          <w:szCs w:val="18"/>
        </w:rPr>
        <w:t>4</w:t>
      </w:r>
      <w:r>
        <w:rPr>
          <w:rFonts w:ascii="Times New Roman" w:hAnsi="Times New Roman" w:cs="Times New Roman"/>
          <w:iCs/>
          <w:sz w:val="18"/>
          <w:szCs w:val="18"/>
        </w:rPr>
        <w:t xml:space="preserve"> The SOC workflow enabled by the SIEM.</w:t>
      </w:r>
    </w:p>
    <w:p w14:paraId="72289254" w14:textId="77777777" w:rsidR="00B3760A" w:rsidRDefault="00B3760A" w:rsidP="00B3760A">
      <w:pPr>
        <w:spacing w:after="0" w:line="480" w:lineRule="auto"/>
        <w:ind w:left="360"/>
        <w:rPr>
          <w:rFonts w:ascii="Times New Roman" w:hAnsi="Times New Roman" w:cs="Times New Roman"/>
        </w:rPr>
      </w:pPr>
    </w:p>
    <w:p w14:paraId="3297C0E5" w14:textId="77777777" w:rsidR="00B3760A" w:rsidRPr="008841C6" w:rsidRDefault="00B3760A" w:rsidP="00285C25">
      <w:pPr>
        <w:spacing w:after="0" w:line="480" w:lineRule="auto"/>
        <w:ind w:left="720"/>
        <w:rPr>
          <w:rFonts w:ascii="Times New Roman" w:hAnsi="Times New Roman" w:cs="Times New Roman"/>
        </w:rPr>
      </w:pPr>
    </w:p>
    <w:p w14:paraId="1289BE89" w14:textId="77777777" w:rsidR="007550A7" w:rsidRPr="0049776C" w:rsidRDefault="0084610C" w:rsidP="00285C25">
      <w:pPr>
        <w:pStyle w:val="Heading2"/>
        <w:spacing w:before="0" w:after="0" w:line="480" w:lineRule="auto"/>
        <w:rPr>
          <w:rFonts w:cs="Times New Roman"/>
          <w:sz w:val="22"/>
          <w:szCs w:val="24"/>
        </w:rPr>
      </w:pPr>
      <w:bookmarkStart w:id="49" w:name="_Toc235394974"/>
      <w:r>
        <w:rPr>
          <w:rFonts w:cs="Times New Roman"/>
          <w:sz w:val="22"/>
          <w:szCs w:val="24"/>
        </w:rPr>
        <w:t>2.7 The SOC Flow: From Signal to Action</w:t>
      </w:r>
      <w:bookmarkEnd w:id="49"/>
    </w:p>
    <w:p w14:paraId="495F38EE" w14:textId="77777777" w:rsidR="00750066" w:rsidRPr="00750066" w:rsidRDefault="00740EDC" w:rsidP="00C05962">
      <w:pPr>
        <w:spacing w:line="480" w:lineRule="auto"/>
        <w:ind w:left="360"/>
        <w:rPr>
          <w:rFonts w:ascii="Times New Roman" w:hAnsi="Times New Roman" w:cs="Times New Roman"/>
        </w:rPr>
      </w:pPr>
      <w:r>
        <w:rPr>
          <w:rFonts w:ascii="Times New Roman" w:hAnsi="Times New Roman" w:cs="Times New Roman"/>
        </w:rPr>
        <w:t xml:space="preserve">Effective security operations </w:t>
      </w:r>
      <w:proofErr w:type="gramStart"/>
      <w:r>
        <w:rPr>
          <w:rFonts w:ascii="Times New Roman" w:hAnsi="Times New Roman" w:cs="Times New Roman"/>
        </w:rPr>
        <w:t>is</w:t>
      </w:r>
      <w:proofErr w:type="gramEnd"/>
      <w:r>
        <w:rPr>
          <w:rFonts w:ascii="Times New Roman" w:hAnsi="Times New Roman" w:cs="Times New Roman"/>
        </w:rPr>
        <w:t xml:space="preserve"> best understood as a pipeline that begins with collecting and making sense of massive volumes of raw telemetry and ends with decisive action to contain and eradicate threats before they cause serious harm.</w:t>
      </w:r>
    </w:p>
    <w:p w14:paraId="6517CDE9" w14:textId="209C8E63" w:rsidR="00750066" w:rsidRDefault="003978F7" w:rsidP="003978F7">
      <w:pPr>
        <w:spacing w:line="480" w:lineRule="auto"/>
        <w:ind w:left="360"/>
        <w:rPr>
          <w:rFonts w:ascii="Times New Roman" w:hAnsi="Times New Roman" w:cs="Times New Roman"/>
        </w:rPr>
      </w:pPr>
      <w:r>
        <w:rPr>
          <w:rFonts w:ascii="Times New Roman" w:hAnsi="Times New Roman" w:cs="Times New Roman"/>
        </w:rPr>
        <w:t>Based on various research that discusses the inner workings of the SOC, the following sections walk through each phase of the SOC operational flow with the SIEM being at the core. This flow spans data ingestion and normalization, through detection, triage, prioritization, and investigation, to containment, eradication, and the post-incident review cycle that closes the loop and drives continuous improvement (Akula, 2024). Figure 2.</w:t>
      </w:r>
      <w:r w:rsidR="00FA57A1">
        <w:rPr>
          <w:rFonts w:ascii="Times New Roman" w:hAnsi="Times New Roman" w:cs="Times New Roman"/>
        </w:rPr>
        <w:t>6</w:t>
      </w:r>
      <w:r>
        <w:rPr>
          <w:rFonts w:ascii="Times New Roman" w:hAnsi="Times New Roman" w:cs="Times New Roman"/>
        </w:rPr>
        <w:t xml:space="preserve"> elaborates further from Figure 2.</w:t>
      </w:r>
      <w:r w:rsidR="00FA57A1">
        <w:rPr>
          <w:rFonts w:ascii="Times New Roman" w:hAnsi="Times New Roman" w:cs="Times New Roman"/>
        </w:rPr>
        <w:t>5</w:t>
      </w:r>
      <w:r>
        <w:rPr>
          <w:rFonts w:ascii="Times New Roman" w:hAnsi="Times New Roman" w:cs="Times New Roman"/>
        </w:rPr>
        <w:t xml:space="preserve"> to illustrate SOC operations powered by the SIEM. The role of event data and context provided the SOC is worth emphasizing </w:t>
      </w:r>
      <w:proofErr w:type="gramStart"/>
      <w:r>
        <w:rPr>
          <w:rFonts w:ascii="Times New Roman" w:hAnsi="Times New Roman" w:cs="Times New Roman"/>
        </w:rPr>
        <w:t>due</w:t>
      </w:r>
      <w:proofErr w:type="gramEnd"/>
      <w:r>
        <w:rPr>
          <w:rFonts w:ascii="Times New Roman" w:hAnsi="Times New Roman" w:cs="Times New Roman"/>
        </w:rPr>
        <w:t xml:space="preserve"> the fact it is the </w:t>
      </w:r>
      <w:r>
        <w:rPr>
          <w:rFonts w:ascii="Times New Roman" w:hAnsi="Times New Roman" w:cs="Times New Roman"/>
        </w:rPr>
        <w:lastRenderedPageBreak/>
        <w:t>primary source of truth despite the evolution of other technologies to provide context and analytics to the enable the SOC beyond the function of the SIEM.</w:t>
      </w:r>
    </w:p>
    <w:p w14:paraId="5D436079" w14:textId="77777777" w:rsidR="0049776C" w:rsidRDefault="00740EDC" w:rsidP="0049776C">
      <w:pPr>
        <w:spacing w:line="480" w:lineRule="auto"/>
        <w:ind w:left="720"/>
        <w:rPr>
          <w:rFonts w:ascii="Times New Roman" w:hAnsi="Times New Roman" w:cs="Times New Roman"/>
        </w:rPr>
      </w:pPr>
      <w:r>
        <w:rPr>
          <w:rFonts w:ascii="Times New Roman" w:hAnsi="Times New Roman" w:cs="Times New Roman"/>
          <w:noProof/>
        </w:rPr>
        <w:drawing>
          <wp:inline distT="0" distB="0" distL="0" distR="0" wp14:anchorId="07EC8843" wp14:editId="51276679">
            <wp:extent cx="5943600" cy="3244850"/>
            <wp:effectExtent l="0" t="0" r="0" b="0"/>
            <wp:docPr id="55902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22081" name=""/>
                    <pic:cNvPicPr/>
                  </pic:nvPicPr>
                  <pic:blipFill>
                    <a:blip r:embed="rId20"/>
                    <a:stretch>
                      <a:fillRect/>
                    </a:stretch>
                  </pic:blipFill>
                  <pic:spPr>
                    <a:xfrm>
                      <a:off x="0" y="0"/>
                      <a:ext cx="5943600" cy="3244850"/>
                    </a:xfrm>
                    <a:prstGeom prst="rect">
                      <a:avLst/>
                    </a:prstGeom>
                  </pic:spPr>
                </pic:pic>
              </a:graphicData>
            </a:graphic>
          </wp:inline>
        </w:drawing>
      </w:r>
    </w:p>
    <w:p w14:paraId="7CD8F352" w14:textId="3043B50A" w:rsidR="00285C25" w:rsidRPr="00B3760A" w:rsidRDefault="00DF0BA8" w:rsidP="001341B1">
      <w:pPr>
        <w:spacing w:after="0" w:line="480" w:lineRule="auto"/>
        <w:ind w:left="720"/>
        <w:jc w:val="center"/>
        <w:rPr>
          <w:rFonts w:ascii="Times New Roman" w:hAnsi="Times New Roman" w:cs="Times New Roman"/>
          <w:iCs/>
          <w:sz w:val="18"/>
          <w:szCs w:val="18"/>
        </w:rPr>
      </w:pPr>
      <w:r>
        <w:rPr>
          <w:rFonts w:ascii="Times New Roman" w:hAnsi="Times New Roman" w:cs="Times New Roman"/>
          <w:b/>
          <w:iCs/>
          <w:sz w:val="18"/>
          <w:szCs w:val="18"/>
        </w:rPr>
        <w:t>Figure 2.</w:t>
      </w:r>
      <w:r w:rsidR="00FA57A1">
        <w:rPr>
          <w:rFonts w:ascii="Times New Roman" w:hAnsi="Times New Roman" w:cs="Times New Roman"/>
          <w:b/>
          <w:iCs/>
          <w:sz w:val="18"/>
          <w:szCs w:val="18"/>
        </w:rPr>
        <w:t>6</w:t>
      </w:r>
      <w:r>
        <w:rPr>
          <w:rFonts w:ascii="Times New Roman" w:hAnsi="Times New Roman" w:cs="Times New Roman"/>
          <w:iCs/>
          <w:sz w:val="18"/>
          <w:szCs w:val="18"/>
        </w:rPr>
        <w:t xml:space="preserve"> The Role of the SIEM in a SOC. From “CloudifyOps: Security Operations Center,” by Akula, V. (2024), Medium. </w:t>
      </w:r>
      <w:hyperlink r:id="rId21" w:history="1">
        <w:r>
          <w:rPr>
            <w:rStyle w:val="Hyperlink"/>
            <w:rFonts w:ascii="Times New Roman" w:hAnsi="Times New Roman" w:cs="Times New Roman"/>
            <w:iCs/>
            <w:sz w:val="18"/>
            <w:szCs w:val="18"/>
          </w:rPr>
          <w:t>https://medium.com/@cloudifyops</w:t>
        </w:r>
      </w:hyperlink>
    </w:p>
    <w:p w14:paraId="29FB8A2D" w14:textId="77777777" w:rsidR="00DF0BA8" w:rsidRDefault="00DF0BA8" w:rsidP="00285C25">
      <w:pPr>
        <w:spacing w:after="0" w:line="480" w:lineRule="auto"/>
        <w:ind w:left="720"/>
        <w:rPr>
          <w:rFonts w:ascii="Times New Roman" w:hAnsi="Times New Roman" w:cs="Times New Roman"/>
          <w:sz w:val="18"/>
          <w:szCs w:val="18"/>
        </w:rPr>
      </w:pPr>
    </w:p>
    <w:p w14:paraId="31F09DB7" w14:textId="77777777" w:rsidR="00750066" w:rsidRPr="009A164C" w:rsidRDefault="009A164C" w:rsidP="001F4F23">
      <w:pPr>
        <w:pStyle w:val="Heading3"/>
        <w:numPr>
          <w:ilvl w:val="0"/>
          <w:numId w:val="0"/>
        </w:numPr>
        <w:spacing w:after="0" w:line="480" w:lineRule="auto"/>
        <w:ind w:left="450"/>
        <w:rPr>
          <w:szCs w:val="28"/>
        </w:rPr>
      </w:pPr>
      <w:bookmarkStart w:id="50" w:name="_Toc235394975"/>
      <w:r>
        <w:rPr>
          <w:szCs w:val="28"/>
        </w:rPr>
        <w:t>2.7.1 Data Ingestion &amp; Normalization</w:t>
      </w:r>
      <w:bookmarkEnd w:id="50"/>
    </w:p>
    <w:p w14:paraId="76DF4640" w14:textId="4C23A722" w:rsidR="00750066" w:rsidRPr="00750066" w:rsidRDefault="00750066" w:rsidP="001F4F23">
      <w:pPr>
        <w:spacing w:after="0" w:line="480" w:lineRule="auto"/>
        <w:ind w:left="630"/>
        <w:rPr>
          <w:rFonts w:ascii="Times New Roman" w:hAnsi="Times New Roman" w:cs="Times New Roman"/>
        </w:rPr>
      </w:pPr>
      <w:r>
        <w:rPr>
          <w:rFonts w:ascii="Times New Roman" w:hAnsi="Times New Roman" w:cs="Times New Roman"/>
        </w:rPr>
        <w:t xml:space="preserve">A SOC's effectiveness begins with the breadth and quality of its data collection. Telemetry is ingested from virtually every corner of the environment. A good description of the types of telemetry comes from a glossary available from </w:t>
      </w:r>
      <w:hyperlink r:id="rId22" w:anchor=":~:text=Security%20telemetry%20is%20the%20continuous,and%20resilience%20against%20evolving%20threats." w:history="1">
        <w:r>
          <w:rPr>
            <w:rStyle w:val="Hyperlink"/>
            <w:rFonts w:ascii="Times New Roman" w:hAnsi="Times New Roman" w:cs="Times New Roman"/>
          </w:rPr>
          <w:t>Deepwatch</w:t>
        </w:r>
      </w:hyperlink>
      <w:r>
        <w:rPr>
          <w:rFonts w:ascii="Times New Roman" w:hAnsi="Times New Roman" w:cs="Times New Roman"/>
        </w:rPr>
        <w:t xml:space="preserve">,  “telemetry encompasses multiple data types, including system logs (e.g., Windows Event Logs), application logs (e.g., API access logs), network telemetry (e.g., NetFlow, DNS), and identity telemetry (e.g., SSO events, MFA logs). Sources include EDR agents, firewalls, load balancers, cloud APIs, and SaaS platforms”. All of this raw, heterogeneous data is shipped, typically using syslog, vendor APIs, often using the Representational State Transfer API, commonly </w:t>
      </w:r>
      <w:r>
        <w:rPr>
          <w:rFonts w:ascii="Times New Roman" w:hAnsi="Times New Roman" w:cs="Times New Roman"/>
        </w:rPr>
        <w:lastRenderedPageBreak/>
        <w:t xml:space="preserve">referred to as REST API, or lightweight forwarders into a centralized SIEM or data lake, where it is parsed, normalized into a common schema, such as the Elastic Common Schema (ECS) (Brahmam, 2023; Elastic N.V., 2026d), timestamped, and indexed for search. This is typically where many SIEM solutions have custom rules or filters, often referred to as a data pipeline. </w:t>
      </w:r>
    </w:p>
    <w:p w14:paraId="6E96FE1B" w14:textId="77777777" w:rsidR="00750066" w:rsidRPr="00750066" w:rsidRDefault="00750066" w:rsidP="00285C25">
      <w:pPr>
        <w:spacing w:after="0" w:line="480" w:lineRule="auto"/>
        <w:rPr>
          <w:rFonts w:ascii="Times New Roman" w:hAnsi="Times New Roman" w:cs="Times New Roman"/>
        </w:rPr>
      </w:pPr>
    </w:p>
    <w:p w14:paraId="319F5190" w14:textId="77777777" w:rsidR="00750066" w:rsidRPr="009A164C" w:rsidRDefault="009A164C" w:rsidP="001F4F23">
      <w:pPr>
        <w:pStyle w:val="Heading3"/>
        <w:numPr>
          <w:ilvl w:val="0"/>
          <w:numId w:val="0"/>
        </w:numPr>
        <w:tabs>
          <w:tab w:val="left" w:pos="450"/>
        </w:tabs>
        <w:spacing w:after="0" w:line="480" w:lineRule="auto"/>
        <w:ind w:left="450"/>
        <w:rPr>
          <w:szCs w:val="28"/>
        </w:rPr>
      </w:pPr>
      <w:bookmarkStart w:id="51" w:name="_Toc235394976"/>
      <w:r>
        <w:rPr>
          <w:szCs w:val="28"/>
        </w:rPr>
        <w:t>2.7.2 Detection &amp; Alerting</w:t>
      </w:r>
      <w:bookmarkEnd w:id="51"/>
    </w:p>
    <w:p w14:paraId="4808CF9D" w14:textId="77777777" w:rsidR="00750066" w:rsidRDefault="00750066" w:rsidP="001F4F23">
      <w:pPr>
        <w:spacing w:line="480" w:lineRule="auto"/>
        <w:ind w:left="630"/>
        <w:rPr>
          <w:rFonts w:ascii="Times New Roman" w:hAnsi="Times New Roman" w:cs="Times New Roman"/>
        </w:rPr>
      </w:pPr>
      <w:r>
        <w:rPr>
          <w:rFonts w:ascii="Times New Roman" w:hAnsi="Times New Roman" w:cs="Times New Roman"/>
        </w:rPr>
        <w:t>Once data is flowing and normalized, the SIEM applies detection logic continuously across the incoming stream. This includes signature-based correlation rules (e.g., "alert if a user authenticates from two geographically impossible locations within 10 minutes"), threshold-based rules (e.g., "alert on more than 50 failed logins in 5 minutes from a single host"), and increasingly, ML-driven behavioral baselines that flag deviations from a user or entity's normal pattern, which commonly referred to as UEBA (User and Entity Behavior Analytics) (Nagaraj, 2023). On top of SIEM-native detections, dedicated tools like an NDR (Network Detection and Response) platform analyze east-west traffic for command-and-control beaconing or lateral movement, while EDR platforms surface on-endpoint detections such as credential dumping, process injection, or living-off-the-land techniques (Yusuf, 2022). Each fired detection generates an alert, tagged with metadata including the triggering rule, affected assets, timestamps, and where possible, a preliminary MITRE ATT&amp;CK tactic and technique mapping (MITRE Corporation, 2026). The output of this layer is a queue of alerts, which ranges from tens to thousands per day depending on environment size and tuning maturity, all of which flows into the triage queue.</w:t>
      </w:r>
    </w:p>
    <w:p w14:paraId="15118CC2" w14:textId="77777777" w:rsidR="00750066" w:rsidRPr="009A164C" w:rsidRDefault="009A164C" w:rsidP="001F4F23">
      <w:pPr>
        <w:pStyle w:val="Heading3"/>
        <w:numPr>
          <w:ilvl w:val="0"/>
          <w:numId w:val="0"/>
        </w:numPr>
        <w:ind w:left="450"/>
        <w:rPr>
          <w:szCs w:val="28"/>
        </w:rPr>
      </w:pPr>
      <w:bookmarkStart w:id="52" w:name="_Toc235394977"/>
      <w:r>
        <w:rPr>
          <w:szCs w:val="28"/>
        </w:rPr>
        <w:lastRenderedPageBreak/>
        <w:t>2.7.3 Triage &amp; Prioritization</w:t>
      </w:r>
      <w:bookmarkEnd w:id="52"/>
    </w:p>
    <w:p w14:paraId="5D51B655" w14:textId="77777777" w:rsidR="00750066" w:rsidRPr="00750066" w:rsidRDefault="00750066" w:rsidP="001F4F23">
      <w:pPr>
        <w:spacing w:after="0" w:line="480" w:lineRule="auto"/>
        <w:ind w:left="630"/>
        <w:rPr>
          <w:rFonts w:ascii="Times New Roman" w:hAnsi="Times New Roman" w:cs="Times New Roman"/>
        </w:rPr>
      </w:pPr>
      <w:r>
        <w:rPr>
          <w:rFonts w:ascii="Times New Roman" w:hAnsi="Times New Roman" w:cs="Times New Roman"/>
        </w:rPr>
        <w:t xml:space="preserve">The triage stage is where Tier 1 analysts serve as the first human checkpoint, working through the alert queue to rapidly determine what warrants further attention. The core task is separating true positives from false positives and noise but doing so efficiently under volume pressure. Analysts assess each alert against a set of contextual signals: Is the affected asset a crown jewel system (domain controller, payment server) or a low-value workstation? Is the user a privileged account or a standard employee? Has this exact indicator fired before and been closed as a false positive? Does the behavior align with a known business process (e.g., a scheduled vulnerability scan triggering a port sweep alert)? SOAR platforms play a significant role here by automatically enriching alerts the moment they are created. This is done by querying threat intelligence feeds for IP and domain reputation, pulling asset inventory data, checking whether a file </w:t>
      </w:r>
      <w:proofErr w:type="gramStart"/>
      <w:r>
        <w:rPr>
          <w:rFonts w:ascii="Times New Roman" w:hAnsi="Times New Roman" w:cs="Times New Roman"/>
        </w:rPr>
        <w:t>hash</w:t>
      </w:r>
      <w:proofErr w:type="gramEnd"/>
      <w:r>
        <w:rPr>
          <w:rFonts w:ascii="Times New Roman" w:hAnsi="Times New Roman" w:cs="Times New Roman"/>
        </w:rPr>
        <w:t xml:space="preserve"> is known-malicious via VirusTotal or an internal sandbox, and correlating the alert against any open incidents involving the same entities (Jangampet et al., 2024). Prioritization is then applied, often using a risk-scoring model that weighs asset criticality, threat confidence, and potential business impact, ensuring that a suspected ransomware precursor on a finance server jumps ahead of a low-confidence alert on an isolated dev box (Jangampet et al., 2024). Anything confirmed as noise is closed with documentation, feeding tuning efforts to reduce recurrence.</w:t>
      </w:r>
    </w:p>
    <w:p w14:paraId="22CCBC23" w14:textId="77777777" w:rsidR="00750066" w:rsidRPr="00750066" w:rsidRDefault="00750066" w:rsidP="00285C25">
      <w:pPr>
        <w:pStyle w:val="Heading3"/>
        <w:numPr>
          <w:ilvl w:val="0"/>
          <w:numId w:val="0"/>
        </w:numPr>
        <w:spacing w:after="0" w:line="480" w:lineRule="auto"/>
        <w:ind w:left="1350"/>
      </w:pPr>
    </w:p>
    <w:p w14:paraId="235A5BB7" w14:textId="77777777" w:rsidR="00750066" w:rsidRPr="009A164C" w:rsidRDefault="009A164C" w:rsidP="001F4F23">
      <w:pPr>
        <w:pStyle w:val="Heading3"/>
        <w:numPr>
          <w:ilvl w:val="0"/>
          <w:numId w:val="0"/>
        </w:numPr>
        <w:spacing w:after="0" w:line="480" w:lineRule="auto"/>
        <w:ind w:left="450"/>
        <w:rPr>
          <w:szCs w:val="28"/>
        </w:rPr>
      </w:pPr>
      <w:bookmarkStart w:id="53" w:name="_Toc235394978"/>
      <w:r>
        <w:rPr>
          <w:szCs w:val="28"/>
        </w:rPr>
        <w:t>2.7.4 Investigation &amp; Context Gathering</w:t>
      </w:r>
      <w:bookmarkEnd w:id="53"/>
    </w:p>
    <w:p w14:paraId="5C7D3C84" w14:textId="77777777" w:rsidR="00750066" w:rsidRPr="00750066" w:rsidRDefault="00750066" w:rsidP="001F4F23">
      <w:pPr>
        <w:spacing w:after="0" w:line="480" w:lineRule="auto"/>
        <w:ind w:left="630"/>
        <w:rPr>
          <w:rFonts w:ascii="Times New Roman" w:hAnsi="Times New Roman" w:cs="Times New Roman"/>
        </w:rPr>
      </w:pPr>
      <w:r>
        <w:rPr>
          <w:rFonts w:ascii="Times New Roman" w:hAnsi="Times New Roman" w:cs="Times New Roman"/>
        </w:rPr>
        <w:t xml:space="preserve">Alerts that survive triage are escalated into formal incidents and handed to Tier 2 or Tier 3 analysts for deep investigation (Akula, 2024). The investigator's goal is to answer a core </w:t>
      </w:r>
      <w:r>
        <w:rPr>
          <w:rFonts w:ascii="Times New Roman" w:hAnsi="Times New Roman" w:cs="Times New Roman"/>
        </w:rPr>
        <w:lastRenderedPageBreak/>
        <w:t>set of questions: What exactly happened? When did it start, and how far back does the activity go? What systems, accounts, and data were involved? Is this an isolated event or evidence of a broader intrusion? Analysts pivot aggressively across data sources, starting from the initial alert and fanning out through SIEM queries, EDR telemetry, and network logs. to reconstruct a full attack timeline. A suspicious PowerShell execution on an endpoint, for example, might prompt the analyst to examine the parent process that spawned it, the network connections the host made around the same time, whether any lateral movement occurred via SMB or RDP, what credentials were in use, and whether those credentials authenticated anywhere else in the environment. Threat intelligence is layered in throughout where it maps observed TTPs to MITRE ATT&amp;CK, cross-references IOCs against intel feeds, and checks whether the activity pattern resembles a known threat actor or campaign. The output of this stage is a clear understanding of scope: a list of confirmed compromised hosts and accounts, the likely initial access vector, the attacker's apparent objectives, and an assessment of whether the threat is still active.</w:t>
      </w:r>
    </w:p>
    <w:p w14:paraId="4B878744" w14:textId="77777777" w:rsidR="00750066" w:rsidRPr="00750066" w:rsidRDefault="00750066" w:rsidP="00285C25">
      <w:pPr>
        <w:spacing w:after="0" w:line="480" w:lineRule="auto"/>
        <w:rPr>
          <w:rFonts w:ascii="Times New Roman" w:hAnsi="Times New Roman" w:cs="Times New Roman"/>
        </w:rPr>
      </w:pPr>
    </w:p>
    <w:p w14:paraId="295D2A73" w14:textId="77777777" w:rsidR="00750066" w:rsidRPr="00996703" w:rsidRDefault="009A164C" w:rsidP="00285C25">
      <w:pPr>
        <w:pStyle w:val="Heading3"/>
        <w:numPr>
          <w:ilvl w:val="0"/>
          <w:numId w:val="0"/>
        </w:numPr>
        <w:spacing w:after="0" w:line="480" w:lineRule="auto"/>
        <w:ind w:left="720"/>
        <w:rPr>
          <w:rFonts w:cs="Times New Roman"/>
          <w:szCs w:val="28"/>
        </w:rPr>
      </w:pPr>
      <w:bookmarkStart w:id="54" w:name="_Toc235394979"/>
      <w:r>
        <w:rPr>
          <w:rFonts w:cs="Times New Roman"/>
          <w:szCs w:val="28"/>
        </w:rPr>
        <w:t>2.7.5 Response &amp; Containment</w:t>
      </w:r>
      <w:bookmarkEnd w:id="54"/>
    </w:p>
    <w:p w14:paraId="76324315" w14:textId="77777777" w:rsidR="00750066" w:rsidRPr="00750066" w:rsidRDefault="00750066" w:rsidP="00C05962">
      <w:pPr>
        <w:spacing w:line="480" w:lineRule="auto"/>
        <w:ind w:left="810"/>
        <w:rPr>
          <w:rFonts w:ascii="Times New Roman" w:hAnsi="Times New Roman" w:cs="Times New Roman"/>
        </w:rPr>
      </w:pPr>
      <w:r>
        <w:rPr>
          <w:rFonts w:ascii="Times New Roman" w:hAnsi="Times New Roman" w:cs="Times New Roman"/>
        </w:rPr>
        <w:t xml:space="preserve">With scope established, the team shifts to active response. Immediate containment actions are taken to stop the spread and limit damage: compromised endpoints are isolated from the network (a single click in most modern EDR platforms), affected user accounts are suspended or have their credentials rotated, malicious processes are killed, and identified Command and Control (C2) domains or IP addresses are blocked at the firewall and DNS layer. If cloud infrastructure is involved, misconfigured resources are remediated, exposed API keys are revoked, and suspicious IAM sessions are terminated. </w:t>
      </w:r>
      <w:r>
        <w:rPr>
          <w:rFonts w:ascii="Times New Roman" w:hAnsi="Times New Roman" w:cs="Times New Roman"/>
        </w:rPr>
        <w:lastRenderedPageBreak/>
        <w:t>SOAR playbooks automate many of these containment steps, enabling consistent, fast execution without relying solely on analyst memory under pressure. Beyond immediate containment, eradication follows, which typically involves removing malware persistence mechanisms (scheduled tasks, registry run keys, malicious services), reimaging heavily compromised hosts, and patching the vulnerability or closing the misconfiguration that enabled initial access. Throughout response, forensic preservation is just as important. This includes preserving memory dumps, disk images, and relevant log exports that are captured before they are overwritten, preserving the evidentiary record for any potential legal or regulatory inquiries.</w:t>
      </w:r>
    </w:p>
    <w:p w14:paraId="01447D82" w14:textId="77777777" w:rsidR="00750066" w:rsidRPr="00750066" w:rsidRDefault="00750066" w:rsidP="008B75AF">
      <w:pPr>
        <w:spacing w:after="0" w:line="480" w:lineRule="auto"/>
        <w:ind w:left="720"/>
        <w:rPr>
          <w:rFonts w:ascii="Times New Roman" w:hAnsi="Times New Roman" w:cs="Times New Roman"/>
        </w:rPr>
      </w:pPr>
      <w:r>
        <w:rPr>
          <w:rFonts w:ascii="Times New Roman" w:hAnsi="Times New Roman" w:cs="Times New Roman"/>
        </w:rPr>
        <w:t xml:space="preserve">A post-incident report is written capturing the full timeline, root cause, scope of impact, actions taken, and any gaps in detection or response that were exposed. </w:t>
      </w:r>
    </w:p>
    <w:p w14:paraId="3B8FA7E3" w14:textId="77777777" w:rsidR="007550A7" w:rsidRDefault="007550A7" w:rsidP="008B75AF">
      <w:pPr>
        <w:spacing w:after="0" w:line="480" w:lineRule="auto"/>
        <w:rPr>
          <w:rFonts w:ascii="Times New Roman" w:hAnsi="Times New Roman" w:cs="Times New Roman"/>
        </w:rPr>
      </w:pPr>
    </w:p>
    <w:p w14:paraId="11288A22" w14:textId="77777777" w:rsidR="00B82A90" w:rsidRDefault="009A164C" w:rsidP="008B75AF">
      <w:pPr>
        <w:pStyle w:val="Heading2"/>
        <w:spacing w:before="0" w:after="0" w:line="480" w:lineRule="auto"/>
        <w:rPr>
          <w:rFonts w:cs="Times New Roman"/>
          <w:szCs w:val="28"/>
        </w:rPr>
      </w:pPr>
      <w:bookmarkStart w:id="55" w:name="_Toc235394980"/>
      <w:r>
        <w:rPr>
          <w:rFonts w:cs="Times New Roman"/>
          <w:szCs w:val="28"/>
        </w:rPr>
        <w:t>2.8 Main Challenges for the SOC</w:t>
      </w:r>
      <w:bookmarkEnd w:id="55"/>
    </w:p>
    <w:p w14:paraId="5B47F10C" w14:textId="77777777" w:rsidR="000319E4" w:rsidRPr="000319E4" w:rsidRDefault="00B23794" w:rsidP="001F4F23">
      <w:pPr>
        <w:spacing w:line="480" w:lineRule="auto"/>
        <w:ind w:left="360"/>
        <w:rPr>
          <w:rFonts w:ascii="Times New Roman" w:hAnsi="Times New Roman" w:cs="Times New Roman"/>
        </w:rPr>
      </w:pPr>
      <w:r>
        <w:rPr>
          <w:rFonts w:ascii="Times New Roman" w:hAnsi="Times New Roman" w:cs="Times New Roman"/>
        </w:rPr>
        <w:t xml:space="preserve">Even well-structured SOC pipelines of the type described in Section 2.7 are not immune to systemic failure. The literature identifies three categories of challenge that consistently undermine SOC effectiveness regardless of organizational maturity: excessive alert volume leading to analyst fatigue, insufficient asset and data context causing misaligned prioritization, and the structural inability to detect slow and deliberate threat actors who operate beneath detection thresholds (Bradley, 2026). Each of these challenges is directly relevant to the problem of PII-targeted attacks, and each is examined in the subsections below. However, even the most well-resourced SOC is not immune to a set of challenges that can potentially undermine its effectiveness. The sheer volume of modern threat data, the relentless pressure of an overflowing alert queue, and critical gaps in contextual awareness </w:t>
      </w:r>
      <w:r>
        <w:rPr>
          <w:rFonts w:ascii="Times New Roman" w:hAnsi="Times New Roman" w:cs="Times New Roman"/>
        </w:rPr>
        <w:lastRenderedPageBreak/>
        <w:t xml:space="preserve">can erode even a technically sophisticated operation from the inside (Bradley, 2026). The following sections walk through each phase of the SOC operational flow in detail and examine how these problems can limit the ability for the SOC team to properly identify the risk associated with an attack. As our focus is on the risk to PII, we will specifically refer to the risks these challenges have </w:t>
      </w:r>
      <w:proofErr w:type="gramStart"/>
      <w:r>
        <w:rPr>
          <w:rFonts w:ascii="Times New Roman" w:hAnsi="Times New Roman" w:cs="Times New Roman"/>
        </w:rPr>
        <w:t>on</w:t>
      </w:r>
      <w:proofErr w:type="gramEnd"/>
      <w:r>
        <w:rPr>
          <w:rFonts w:ascii="Times New Roman" w:hAnsi="Times New Roman" w:cs="Times New Roman"/>
        </w:rPr>
        <w:t xml:space="preserve"> the SOC team’s ability to identify risks to PII, subsequently prioritize these risks and investigate them effectively all of which lead to longer response times. </w:t>
      </w:r>
    </w:p>
    <w:p w14:paraId="71F74A20" w14:textId="77777777" w:rsidR="000319E4" w:rsidRDefault="00121FFE" w:rsidP="001F4F23">
      <w:pPr>
        <w:spacing w:after="0" w:line="480" w:lineRule="auto"/>
        <w:ind w:left="360"/>
        <w:rPr>
          <w:rFonts w:ascii="Times New Roman" w:hAnsi="Times New Roman" w:cs="Times New Roman"/>
        </w:rPr>
      </w:pPr>
      <w:r>
        <w:rPr>
          <w:rFonts w:ascii="Times New Roman" w:hAnsi="Times New Roman" w:cs="Times New Roman"/>
        </w:rPr>
        <w:t xml:space="preserve">While we touched upon many of these SOC challenges within each high-profile financial data breach in section 2.3, we will go into some depth here on each challenge and specifically how a PII framework can help improve SOC efficacy.  </w:t>
      </w:r>
    </w:p>
    <w:p w14:paraId="36E395A0" w14:textId="77777777" w:rsidR="001F4F23" w:rsidRPr="000319E4" w:rsidRDefault="001F4F23" w:rsidP="00285C25">
      <w:pPr>
        <w:spacing w:after="0" w:line="480" w:lineRule="auto"/>
        <w:ind w:left="720"/>
        <w:rPr>
          <w:rFonts w:ascii="Times New Roman" w:hAnsi="Times New Roman" w:cs="Times New Roman"/>
        </w:rPr>
      </w:pPr>
    </w:p>
    <w:p w14:paraId="53EFF975" w14:textId="77777777" w:rsidR="000319E4" w:rsidRDefault="009850D1" w:rsidP="001F4F23">
      <w:pPr>
        <w:pStyle w:val="Heading3"/>
        <w:numPr>
          <w:ilvl w:val="0"/>
          <w:numId w:val="0"/>
        </w:numPr>
        <w:spacing w:after="0" w:line="480" w:lineRule="auto"/>
        <w:ind w:firstLine="450"/>
      </w:pPr>
      <w:bookmarkStart w:id="56" w:name="_Toc235394981"/>
      <w:r>
        <w:t>2.8.1 Too Much Noise and Alert Fatigue</w:t>
      </w:r>
      <w:bookmarkEnd w:id="56"/>
    </w:p>
    <w:p w14:paraId="3841F1A5" w14:textId="77777777" w:rsidR="00ED2008" w:rsidRPr="00ED2008" w:rsidRDefault="001F641A" w:rsidP="001F4F23">
      <w:pPr>
        <w:tabs>
          <w:tab w:val="left" w:pos="630"/>
        </w:tabs>
        <w:spacing w:line="480" w:lineRule="auto"/>
        <w:ind w:left="630"/>
        <w:rPr>
          <w:rFonts w:ascii="Times New Roman" w:hAnsi="Times New Roman" w:cs="Times New Roman"/>
        </w:rPr>
      </w:pPr>
      <w:r>
        <w:rPr>
          <w:rFonts w:ascii="Times New Roman" w:hAnsi="Times New Roman" w:cs="Times New Roman"/>
        </w:rPr>
        <w:t>When referring to Figure 2.1, and section 2.6.1, collecting data from various sources and correlating that data is one of the first stages in the SOC workflow. However, SOC teams today are frequently overwhelmed by a relentless deluge of events and security notifications, a phenomenon widely known as alert fatigue. As organizations expand their digital footprints, SIEM systems ingest massive volumes of data, often triggering thousands of alerts per day, many of which are false positives or low-priority "noise." When analysts are forced to sift through an endless queue of repetitive or insignificant warnings, their cognitive load increases, leading to burnout and decreased morale. More dangerously, this saturation creates a "crying wolf" effect where critical indicators of a sophisticated breach can easily be missed or ignored amidst the clutter, significantly increasing the mean-time-to-detect (MTTD) a genuine threat.</w:t>
      </w:r>
    </w:p>
    <w:p w14:paraId="54E00F3F" w14:textId="77777777" w:rsidR="00ED2008" w:rsidRPr="00ED2008" w:rsidRDefault="00ED2008" w:rsidP="001F4F23">
      <w:pPr>
        <w:tabs>
          <w:tab w:val="left" w:pos="630"/>
        </w:tabs>
        <w:spacing w:after="0" w:line="480" w:lineRule="auto"/>
        <w:ind w:left="630"/>
        <w:rPr>
          <w:rFonts w:ascii="Times New Roman" w:hAnsi="Times New Roman" w:cs="Times New Roman"/>
        </w:rPr>
      </w:pPr>
      <w:r>
        <w:rPr>
          <w:rFonts w:ascii="Times New Roman" w:hAnsi="Times New Roman" w:cs="Times New Roman"/>
        </w:rPr>
        <w:lastRenderedPageBreak/>
        <w:t>To combat this exhaustion and prioritize effectively, SOC teams must transition from volume-based monitoring to risk-based analysis by integrating deep data context into their SIEM workflows. By automatically gathering context regarding the classification, sensitivity, and physical location of PII, analysts can instantly distinguish between a commodity malware infection on a guest workstation and a targeted exfiltration attempt on a server containing regulated customer data. Understanding exactly what data is at risk and whether it falls under strict compliance mandates like GDPR or CCPA, allows the SOC to apply a "value-at-risk" lens to every incident. This contextual intelligence transforms a generic alert into a prioritized business risk, ensuring that the team’s limited time and energy are focused on the threats that pose the greatest potential for financial or reputational damage.</w:t>
      </w:r>
    </w:p>
    <w:p w14:paraId="32B5C897" w14:textId="77777777" w:rsidR="009850D1" w:rsidRDefault="009850D1" w:rsidP="00285C25">
      <w:pPr>
        <w:pStyle w:val="Heading3"/>
        <w:numPr>
          <w:ilvl w:val="0"/>
          <w:numId w:val="0"/>
        </w:numPr>
        <w:spacing w:after="0" w:line="480" w:lineRule="auto"/>
        <w:ind w:left="1350"/>
      </w:pPr>
    </w:p>
    <w:p w14:paraId="02DD277E" w14:textId="1EAC4385" w:rsidR="000319E4" w:rsidRPr="000319E4" w:rsidRDefault="009850D1" w:rsidP="001F4F23">
      <w:pPr>
        <w:pStyle w:val="Heading3"/>
        <w:numPr>
          <w:ilvl w:val="0"/>
          <w:numId w:val="0"/>
        </w:numPr>
        <w:spacing w:after="0" w:line="480" w:lineRule="auto"/>
        <w:ind w:left="450"/>
      </w:pPr>
      <w:bookmarkStart w:id="57" w:name="_Toc235394982"/>
      <w:r>
        <w:t>2.8.2 Prioritization Inhibits Threat Detection and Response</w:t>
      </w:r>
      <w:bookmarkEnd w:id="57"/>
    </w:p>
    <w:p w14:paraId="7940D00E" w14:textId="77777777" w:rsidR="00ED2008" w:rsidRPr="00ED2008" w:rsidRDefault="00ED2008" w:rsidP="001F4F23">
      <w:pPr>
        <w:spacing w:line="480" w:lineRule="auto"/>
        <w:ind w:left="630"/>
        <w:rPr>
          <w:rFonts w:ascii="Times New Roman" w:hAnsi="Times New Roman" w:cs="Times New Roman"/>
        </w:rPr>
      </w:pPr>
      <w:r>
        <w:rPr>
          <w:rFonts w:ascii="Times New Roman" w:hAnsi="Times New Roman" w:cs="Times New Roman"/>
        </w:rPr>
        <w:t xml:space="preserve">Without a baseline of data context, SOC analysts are often forced to treat all security events with equal urgency, leading to a "first-in, first-out" approach that is fundamentally disconnected from business risk. When an anomaly, for example, an unusual outbound connection or a spike in database queries, is detected, the lack of metadata regarding the target asset makes it impossible to determine if the activity is a routine administrative task or an attacker attempting to exfiltrate sensitive data (i.e. PII). This "context vacuum" forces security analysts to spend an excessing amount of time manually pivoting between disparate tools to understand what activity is </w:t>
      </w:r>
      <w:proofErr w:type="gramStart"/>
      <w:r>
        <w:rPr>
          <w:rFonts w:ascii="Times New Roman" w:hAnsi="Times New Roman" w:cs="Times New Roman"/>
        </w:rPr>
        <w:t>actually occurring</w:t>
      </w:r>
      <w:proofErr w:type="gramEnd"/>
      <w:r>
        <w:rPr>
          <w:rFonts w:ascii="Times New Roman" w:hAnsi="Times New Roman" w:cs="Times New Roman"/>
        </w:rPr>
        <w:t xml:space="preserve"> and what is being potentially targeted, often losing the race against an attacker who is moving laterally through the network.</w:t>
      </w:r>
    </w:p>
    <w:p w14:paraId="467AADA3" w14:textId="77777777" w:rsidR="00ED2008" w:rsidRPr="00ED2008" w:rsidRDefault="00ED2008" w:rsidP="001F4F23">
      <w:pPr>
        <w:tabs>
          <w:tab w:val="left" w:pos="900"/>
        </w:tabs>
        <w:spacing w:line="480" w:lineRule="auto"/>
        <w:ind w:left="630"/>
        <w:rPr>
          <w:rFonts w:ascii="Times New Roman" w:hAnsi="Times New Roman" w:cs="Times New Roman"/>
        </w:rPr>
      </w:pPr>
      <w:r>
        <w:rPr>
          <w:rFonts w:ascii="Times New Roman" w:hAnsi="Times New Roman" w:cs="Times New Roman"/>
        </w:rPr>
        <w:lastRenderedPageBreak/>
        <w:t>When PII classification and sensitivity are integrated into a contextual framework, the SOC can move toward automated, high-fidelity prioritization. By correlating anomalies against the specific attributes of the data at risk, the SIEM can dynamically adjust the risk score of an event. For example, a suspicious login attempt on a generic workstation might trigger a low-priority alert, whereas the same behavior on a server tagged with "High-Sensitivity PII" or "Regulatory Target" would immediately escalate to a critical incident. This allows the system to distinguish between a technical anomaly and a potential data catastrophe by factoring in the "weight" of the target.</w:t>
      </w:r>
    </w:p>
    <w:p w14:paraId="6B641D0E" w14:textId="77777777" w:rsidR="00ED2008" w:rsidRPr="00ED2008" w:rsidRDefault="00ED2008" w:rsidP="001F4F23">
      <w:pPr>
        <w:tabs>
          <w:tab w:val="left" w:pos="900"/>
        </w:tabs>
        <w:spacing w:after="0" w:line="480" w:lineRule="auto"/>
        <w:ind w:left="630"/>
        <w:rPr>
          <w:rFonts w:ascii="Times New Roman" w:hAnsi="Times New Roman" w:cs="Times New Roman"/>
        </w:rPr>
      </w:pPr>
      <w:r>
        <w:rPr>
          <w:rFonts w:ascii="Times New Roman" w:hAnsi="Times New Roman" w:cs="Times New Roman"/>
        </w:rPr>
        <w:t>Ultimately, this framework enables a more surgical response by aligning security operations with data governance. By identifying the targets that hold the most sensitive PII, the SOC can prioritize investigations based on a calculated risk score that accounts for both the severity of the threat and the value of the asset. This approach ensures that limited investigative resources are always directed toward events where the potential for a data breach is highest, effectively turning the SOC from a reactive monitoring unit into a risk-aligned defense team.</w:t>
      </w:r>
    </w:p>
    <w:p w14:paraId="7ABB8FED" w14:textId="77777777" w:rsidR="000319E4" w:rsidRPr="000319E4" w:rsidRDefault="000319E4" w:rsidP="00285C25">
      <w:pPr>
        <w:spacing w:after="0" w:line="480" w:lineRule="auto"/>
        <w:rPr>
          <w:rFonts w:ascii="Times New Roman" w:hAnsi="Times New Roman" w:cs="Times New Roman"/>
        </w:rPr>
      </w:pPr>
    </w:p>
    <w:p w14:paraId="088D8265" w14:textId="77777777" w:rsidR="000319E4" w:rsidRPr="000319E4" w:rsidRDefault="009850D1" w:rsidP="001F4F23">
      <w:pPr>
        <w:pStyle w:val="Heading3"/>
        <w:numPr>
          <w:ilvl w:val="0"/>
          <w:numId w:val="0"/>
        </w:numPr>
        <w:spacing w:after="0" w:line="480" w:lineRule="auto"/>
        <w:ind w:left="450"/>
      </w:pPr>
      <w:bookmarkStart w:id="58" w:name="_Toc235394983"/>
      <w:r>
        <w:t>2.8.3 The Slow and Silent Attacker Is The Most Dangerous</w:t>
      </w:r>
      <w:bookmarkEnd w:id="58"/>
    </w:p>
    <w:p w14:paraId="37D00394" w14:textId="77777777" w:rsidR="00326F87" w:rsidRPr="00326F87" w:rsidRDefault="00326F87" w:rsidP="001F4F23">
      <w:pPr>
        <w:spacing w:line="480" w:lineRule="auto"/>
        <w:ind w:left="630"/>
        <w:rPr>
          <w:rFonts w:ascii="Times New Roman" w:hAnsi="Times New Roman" w:cs="Times New Roman"/>
        </w:rPr>
      </w:pPr>
      <w:r>
        <w:rPr>
          <w:rFonts w:ascii="Times New Roman" w:hAnsi="Times New Roman" w:cs="Times New Roman"/>
        </w:rPr>
        <w:t xml:space="preserve">When a SOC team lacks data context, they are forced to operate in a "reactive vacuum" where security events appear as a fragmented, flat list of technical anomalies. Without knowing which assets house sensitive PII, an analyst might see a series of failed logins or an unusual API call and dismiss them as routine network noise or a misconfigured service. This lack of prioritization means that the "signal" of an actual PII theft, such as a small but unauthorized data egress from a legacy database, is frequently buried under thousands of </w:t>
      </w:r>
      <w:r>
        <w:rPr>
          <w:rFonts w:ascii="Times New Roman" w:hAnsi="Times New Roman" w:cs="Times New Roman"/>
        </w:rPr>
        <w:lastRenderedPageBreak/>
        <w:t>low-risk alerts. By the time the SOC can manually connect these dots, the attacker has often already identified the "crown jewels" and completed the exfiltration, leaving the team to investigate a disaster that has already occurred.</w:t>
      </w:r>
    </w:p>
    <w:p w14:paraId="42262905" w14:textId="77777777" w:rsidR="00326F87" w:rsidRPr="00326F87" w:rsidRDefault="00326F87" w:rsidP="001F4F23">
      <w:pPr>
        <w:spacing w:line="480" w:lineRule="auto"/>
        <w:ind w:left="630"/>
        <w:rPr>
          <w:rFonts w:ascii="Times New Roman" w:hAnsi="Times New Roman" w:cs="Times New Roman"/>
        </w:rPr>
      </w:pPr>
      <w:r>
        <w:rPr>
          <w:rFonts w:ascii="Times New Roman" w:hAnsi="Times New Roman" w:cs="Times New Roman"/>
        </w:rPr>
        <w:t xml:space="preserve">The danger of missing these critical events is that modern attackers do not need to trigger "loud" alarms to be successful; they simply need to find the gaps where context is missing. If a SOC cannot see that a specific user account has suddenly accessed a high-sensitivity PII bucket it has never touched before, the event may never reach the threshold for a manual investigation. This "context gap" essentially provides a cloaking device for intruders, allowing them to dwell within the environment for weeks or months, often referred to as attack dwell time (Sloan, 2025). Because the SOC is unable to prioritize based on the classification and location of data, they remain blind to the fact that a minor technical anomaly is </w:t>
      </w:r>
      <w:proofErr w:type="gramStart"/>
      <w:r>
        <w:rPr>
          <w:rFonts w:ascii="Times New Roman" w:hAnsi="Times New Roman" w:cs="Times New Roman"/>
        </w:rPr>
        <w:t>actually part</w:t>
      </w:r>
      <w:proofErr w:type="gramEnd"/>
      <w:r>
        <w:rPr>
          <w:rFonts w:ascii="Times New Roman" w:hAnsi="Times New Roman" w:cs="Times New Roman"/>
        </w:rPr>
        <w:t xml:space="preserve"> of a broader attack campaign against the organization's most regulated information.</w:t>
      </w:r>
    </w:p>
    <w:p w14:paraId="4D008001" w14:textId="77777777" w:rsidR="00326F87" w:rsidRDefault="00326F87" w:rsidP="001F4F23">
      <w:pPr>
        <w:spacing w:after="0" w:line="480" w:lineRule="auto"/>
        <w:ind w:left="630"/>
        <w:rPr>
          <w:rFonts w:ascii="Times New Roman" w:hAnsi="Times New Roman" w:cs="Times New Roman"/>
        </w:rPr>
      </w:pPr>
      <w:r>
        <w:rPr>
          <w:rFonts w:ascii="Times New Roman" w:hAnsi="Times New Roman" w:cs="Times New Roman"/>
        </w:rPr>
        <w:t>This failure to bridge the gap between technical alerts and data sensitivity is precisely what led to one of the most significant PII breaches in the financial industry: the 2019 Capital One breach. Because the SOC lacked the integrated context to realize that a single IAM role had over-privileged access to more than 700 S3 buckets containing sensitive PII, the unauthorized access went undetected for months. This massive breach underscores that without a contextual framework to flag anomalies involving PII targets, even the most sophisticated financial institutions can allow a catastrophic attack to slip through their defenses.</w:t>
      </w:r>
    </w:p>
    <w:p w14:paraId="273B8261" w14:textId="77777777" w:rsidR="00285C25" w:rsidRDefault="00285C25" w:rsidP="00285C25">
      <w:pPr>
        <w:spacing w:after="0" w:line="480" w:lineRule="auto"/>
        <w:ind w:left="900"/>
        <w:rPr>
          <w:rFonts w:ascii="Times New Roman" w:hAnsi="Times New Roman" w:cs="Times New Roman"/>
        </w:rPr>
      </w:pPr>
    </w:p>
    <w:p w14:paraId="310578D0" w14:textId="12A3FD43" w:rsidR="00CF4825" w:rsidRDefault="00CF4825" w:rsidP="00A61064">
      <w:pPr>
        <w:pStyle w:val="Heading2"/>
      </w:pPr>
      <w:bookmarkStart w:id="59" w:name="_Toc235394984"/>
      <w:r>
        <w:lastRenderedPageBreak/>
        <w:t>2.9 MITRE ATT&amp;CK Framework as a Cornerstone of Security Operations</w:t>
      </w:r>
      <w:bookmarkEnd w:id="59"/>
    </w:p>
    <w:p w14:paraId="39F89888" w14:textId="0B7565D9" w:rsidR="00982B63" w:rsidRDefault="00CF4825" w:rsidP="00CF4825">
      <w:pPr>
        <w:tabs>
          <w:tab w:val="left" w:pos="450"/>
        </w:tabs>
        <w:spacing w:after="0" w:line="480" w:lineRule="auto"/>
        <w:ind w:left="360"/>
        <w:rPr>
          <w:rFonts w:ascii="Times New Roman" w:hAnsi="Times New Roman" w:cs="Times New Roman"/>
        </w:rPr>
      </w:pPr>
      <w:r>
        <w:rPr>
          <w:rFonts w:ascii="Times New Roman" w:hAnsi="Times New Roman" w:cs="Times New Roman"/>
        </w:rPr>
        <w:t xml:space="preserve">The MITRE ATT&amp;CK (Adversarial Tactics, Techniques, and Common Knowledge) framework serves as a foundational catalog for the SOC in systematically categorizing, analyzing, and relating the specific security events that analysts encounter and showing them how it relates to the overall attack campaign by a threat actor (MITRE Corporation, 2026). </w:t>
      </w:r>
      <w:r w:rsidR="001622A8">
        <w:rPr>
          <w:rFonts w:ascii="Times New Roman" w:hAnsi="Times New Roman" w:cs="Times New Roman"/>
        </w:rPr>
        <w:t>As Figure 2.</w:t>
      </w:r>
      <w:r w:rsidR="00FA57A1">
        <w:rPr>
          <w:rFonts w:ascii="Times New Roman" w:hAnsi="Times New Roman" w:cs="Times New Roman"/>
        </w:rPr>
        <w:t>7</w:t>
      </w:r>
      <w:r w:rsidR="001622A8">
        <w:rPr>
          <w:rFonts w:ascii="Times New Roman" w:hAnsi="Times New Roman" w:cs="Times New Roman"/>
        </w:rPr>
        <w:t xml:space="preserve"> illustrates, i</w:t>
      </w:r>
      <w:r>
        <w:rPr>
          <w:rFonts w:ascii="Times New Roman" w:hAnsi="Times New Roman" w:cs="Times New Roman"/>
        </w:rPr>
        <w:t xml:space="preserve">nstead of treating each security alert as an isolated incident, the ATT&amp;CK framework enables analysts to map observed behaviors, such as a PowerShell execution, an anomalous outbound connection, or an unusual database query, to a documented set of adversary tactics and techniques. By providing this reference it can reveal to analysts the underlying intent and progression of an attack in progress. This is especially critical when analyzing threats targeting the exfiltration of credit card and banking transaction data from financial institutions, where threat actors routinely execute multi-stage campaigns that span weeks or months before a single high-confidence alert is generated. </w:t>
      </w:r>
    </w:p>
    <w:p w14:paraId="11007280" w14:textId="77777777" w:rsidR="00BA5066" w:rsidRDefault="00BA5066" w:rsidP="00CF4825">
      <w:pPr>
        <w:tabs>
          <w:tab w:val="left" w:pos="450"/>
        </w:tabs>
        <w:spacing w:after="0" w:line="480" w:lineRule="auto"/>
        <w:ind w:left="360"/>
        <w:rPr>
          <w:rFonts w:ascii="Times New Roman" w:hAnsi="Times New Roman" w:cs="Times New Roman"/>
        </w:rPr>
      </w:pPr>
      <w:r>
        <w:rPr>
          <w:rFonts w:ascii="Times New Roman" w:hAnsi="Times New Roman" w:cs="Times New Roman"/>
          <w:noProof/>
        </w:rPr>
        <w:lastRenderedPageBreak/>
        <w:drawing>
          <wp:inline distT="0" distB="0" distL="0" distR="0" wp14:anchorId="4378F2E9" wp14:editId="096E5DED">
            <wp:extent cx="5943600" cy="3978275"/>
            <wp:effectExtent l="0" t="0" r="0" b="3175"/>
            <wp:docPr id="1132115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15205" name="Picture 1132115205"/>
                    <pic:cNvPicPr/>
                  </pic:nvPicPr>
                  <pic:blipFill>
                    <a:blip r:embed="rId23">
                      <a:extLst>
                        <a:ext uri="{28A0092B-C50C-407E-A947-70E740481C1C}">
                          <a14:useLocalDpi xmlns:a14="http://schemas.microsoft.com/office/drawing/2010/main" val="0"/>
                        </a:ext>
                      </a:extLst>
                    </a:blip>
                    <a:stretch>
                      <a:fillRect/>
                    </a:stretch>
                  </pic:blipFill>
                  <pic:spPr>
                    <a:xfrm>
                      <a:off x="0" y="0"/>
                      <a:ext cx="5943600" cy="3978275"/>
                    </a:xfrm>
                    <a:prstGeom prst="rect">
                      <a:avLst/>
                    </a:prstGeom>
                  </pic:spPr>
                </pic:pic>
              </a:graphicData>
            </a:graphic>
          </wp:inline>
        </w:drawing>
      </w:r>
    </w:p>
    <w:p w14:paraId="59354ADA" w14:textId="78C93A01" w:rsidR="00BA5066" w:rsidRPr="001341B1" w:rsidRDefault="00BA5066" w:rsidP="00BA5066">
      <w:pPr>
        <w:tabs>
          <w:tab w:val="left" w:pos="450"/>
        </w:tabs>
        <w:spacing w:after="0" w:line="480" w:lineRule="auto"/>
        <w:ind w:left="360"/>
        <w:jc w:val="center"/>
        <w:rPr>
          <w:rFonts w:ascii="Times New Roman" w:hAnsi="Times New Roman" w:cs="Times New Roman"/>
          <w:iCs/>
          <w:sz w:val="18"/>
          <w:szCs w:val="18"/>
        </w:rPr>
      </w:pPr>
      <w:r>
        <w:rPr>
          <w:rFonts w:ascii="Times New Roman" w:hAnsi="Times New Roman" w:cs="Times New Roman"/>
          <w:b/>
          <w:iCs/>
          <w:sz w:val="18"/>
          <w:szCs w:val="18"/>
        </w:rPr>
        <w:t>Figure 2.</w:t>
      </w:r>
      <w:r w:rsidR="00FA57A1">
        <w:rPr>
          <w:rFonts w:ascii="Times New Roman" w:hAnsi="Times New Roman" w:cs="Times New Roman"/>
          <w:b/>
          <w:iCs/>
          <w:sz w:val="18"/>
          <w:szCs w:val="18"/>
        </w:rPr>
        <w:t>7</w:t>
      </w:r>
      <w:r>
        <w:rPr>
          <w:rFonts w:ascii="Times New Roman" w:hAnsi="Times New Roman" w:cs="Times New Roman"/>
          <w:iCs/>
          <w:sz w:val="18"/>
          <w:szCs w:val="18"/>
        </w:rPr>
        <w:t xml:space="preserve"> MITRE ATT&amp;CK Framework Navigator Tool example used by SOC to identify attacker tactics</w:t>
      </w:r>
    </w:p>
    <w:p w14:paraId="6C85696E" w14:textId="77777777" w:rsidR="00BA5066" w:rsidRDefault="00BA5066" w:rsidP="00CF4825">
      <w:pPr>
        <w:tabs>
          <w:tab w:val="left" w:pos="450"/>
        </w:tabs>
        <w:spacing w:after="0" w:line="480" w:lineRule="auto"/>
        <w:ind w:left="360"/>
        <w:rPr>
          <w:rFonts w:ascii="Times New Roman" w:hAnsi="Times New Roman" w:cs="Times New Roman"/>
          <w:sz w:val="18"/>
          <w:szCs w:val="18"/>
        </w:rPr>
      </w:pPr>
    </w:p>
    <w:p w14:paraId="552A91CD" w14:textId="77777777" w:rsidR="00982B63" w:rsidRDefault="00BA5066" w:rsidP="00CF4825">
      <w:pPr>
        <w:tabs>
          <w:tab w:val="left" w:pos="450"/>
        </w:tabs>
        <w:spacing w:after="0" w:line="480" w:lineRule="auto"/>
        <w:ind w:left="360"/>
        <w:rPr>
          <w:rFonts w:ascii="Times New Roman" w:hAnsi="Times New Roman" w:cs="Times New Roman"/>
        </w:rPr>
      </w:pPr>
      <w:r>
        <w:rPr>
          <w:rFonts w:ascii="Times New Roman" w:hAnsi="Times New Roman" w:cs="Times New Roman"/>
          <w:sz w:val="18"/>
          <w:szCs w:val="18"/>
        </w:rPr>
        <w:t xml:space="preserve"> </w:t>
      </w:r>
      <w:r>
        <w:rPr>
          <w:rFonts w:ascii="Times New Roman" w:hAnsi="Times New Roman" w:cs="Times New Roman"/>
        </w:rPr>
        <w:t xml:space="preserve">The five attack scenarios that we will be using to illustrate the basis of this research will show how referencing the ATT&amp;CK framework can help reveal how isolated, low-context events by themselves can benefit the analyst. However, by bringing in PII context, this </w:t>
      </w:r>
      <w:proofErr w:type="gramStart"/>
      <w:r>
        <w:rPr>
          <w:rFonts w:ascii="Times New Roman" w:hAnsi="Times New Roman" w:cs="Times New Roman"/>
        </w:rPr>
        <w:t>can further</w:t>
      </w:r>
      <w:proofErr w:type="gramEnd"/>
      <w:r>
        <w:rPr>
          <w:rFonts w:ascii="Times New Roman" w:hAnsi="Times New Roman" w:cs="Times New Roman"/>
        </w:rPr>
        <w:t xml:space="preserve"> significantly augment the prioritization of these events sooner in the attack chain. </w:t>
      </w:r>
    </w:p>
    <w:p w14:paraId="5D285497" w14:textId="77777777" w:rsidR="00982B63" w:rsidRDefault="00CF4825" w:rsidP="00CF4825">
      <w:pPr>
        <w:tabs>
          <w:tab w:val="left" w:pos="450"/>
        </w:tabs>
        <w:spacing w:after="0" w:line="480" w:lineRule="auto"/>
        <w:ind w:left="360"/>
        <w:rPr>
          <w:rFonts w:ascii="Times New Roman" w:hAnsi="Times New Roman" w:cs="Times New Roman"/>
        </w:rPr>
      </w:pPr>
      <w:r>
        <w:rPr>
          <w:rFonts w:ascii="Times New Roman" w:hAnsi="Times New Roman" w:cs="Times New Roman"/>
        </w:rPr>
        <w:t xml:space="preserve">In Scenario 1, a Remote Access Trojan (RAT) campaign begins with a spear-phishing delivery (T1566.001) and progresses through persistence via registry Run key modification (T1547.001), PowerShell-based file system discovery targeting SSN and bank account files (T1083, T1005), and ultimately staged exfiltration over a Command-Control (C2) channel (T1074.001, T1041, TA0010) — a sequence where each alert, viewed in isolation, may </w:t>
      </w:r>
      <w:r>
        <w:rPr>
          <w:rFonts w:ascii="Times New Roman" w:hAnsi="Times New Roman" w:cs="Times New Roman"/>
        </w:rPr>
        <w:lastRenderedPageBreak/>
        <w:t xml:space="preserve">appear unremarkable, but when mapped through ATT&amp;CK reveals a complete APT-style campaign targeting Tier 1 PII. </w:t>
      </w:r>
    </w:p>
    <w:p w14:paraId="6F420D01" w14:textId="77777777" w:rsidR="00982B63" w:rsidRDefault="00CF4825" w:rsidP="00CF4825">
      <w:pPr>
        <w:tabs>
          <w:tab w:val="left" w:pos="450"/>
        </w:tabs>
        <w:spacing w:after="0" w:line="480" w:lineRule="auto"/>
        <w:ind w:left="360"/>
        <w:rPr>
          <w:rFonts w:ascii="Times New Roman" w:hAnsi="Times New Roman" w:cs="Times New Roman"/>
        </w:rPr>
      </w:pPr>
      <w:r>
        <w:rPr>
          <w:rFonts w:ascii="Times New Roman" w:hAnsi="Times New Roman" w:cs="Times New Roman"/>
        </w:rPr>
        <w:t xml:space="preserve">In Scenario 2, a credential harvesting and account takeover campaign exploits phishing to capture online banking credentials (T1566.002), followed by anomalous authentication from new geographic locations (T1078) and session token theft (T1539, T1185), techniques that, when correlated through the ATT&amp;CK lens, connect a seemingly routine failed login to an active financial account compromise. </w:t>
      </w:r>
    </w:p>
    <w:p w14:paraId="53F9CBA2" w14:textId="77777777" w:rsidR="00982B63" w:rsidRDefault="00CF4825" w:rsidP="00CF4825">
      <w:pPr>
        <w:tabs>
          <w:tab w:val="left" w:pos="450"/>
        </w:tabs>
        <w:spacing w:after="0" w:line="480" w:lineRule="auto"/>
        <w:ind w:left="360"/>
        <w:rPr>
          <w:rFonts w:ascii="Times New Roman" w:hAnsi="Times New Roman" w:cs="Times New Roman"/>
        </w:rPr>
      </w:pPr>
      <w:r>
        <w:rPr>
          <w:rFonts w:ascii="Times New Roman" w:hAnsi="Times New Roman" w:cs="Times New Roman"/>
        </w:rPr>
        <w:t xml:space="preserve">Scenario 3 demonstrates that the ATT&amp;CK framework is equally essential for insider threats: a privileged user conducting bulk database exports of full customer records, including SSNs, account numbers, and credit histories, maps to legitimate credential abuse (T1078.002), unauthorized data collection from cloud storage (T1530), and exfiltration via external services (T1048, T1567), behaviors that standard SIEM alerting would likely classify as authorized activity without the contextual pattern that ATT&amp;CK provides. </w:t>
      </w:r>
    </w:p>
    <w:p w14:paraId="3105F1D3" w14:textId="77777777" w:rsidR="00982B63" w:rsidRDefault="00CF4825" w:rsidP="00CF4825">
      <w:pPr>
        <w:tabs>
          <w:tab w:val="left" w:pos="450"/>
        </w:tabs>
        <w:spacing w:after="0" w:line="480" w:lineRule="auto"/>
        <w:ind w:left="360"/>
        <w:rPr>
          <w:rFonts w:ascii="Times New Roman" w:hAnsi="Times New Roman" w:cs="Times New Roman"/>
        </w:rPr>
      </w:pPr>
      <w:r>
        <w:rPr>
          <w:rFonts w:ascii="Times New Roman" w:hAnsi="Times New Roman" w:cs="Times New Roman"/>
        </w:rPr>
        <w:t xml:space="preserve">In Scenario 4, an external attacker exploiting a SQL injection vulnerability (T1190) to gain direct access to customer database tables containing credit card account numbers and SSNs executes a technique chain through web shell deployment (T1505) and bulk data staging and exfiltration (T1074, T1041), where the ATT&amp;CK mapping connects what may appear to be an application-tier error log to an active database exfiltration event. </w:t>
      </w:r>
    </w:p>
    <w:p w14:paraId="4C1AFBAD" w14:textId="77777777" w:rsidR="00CF4825" w:rsidRPr="00CF4825" w:rsidRDefault="00CF4825" w:rsidP="00CF4825">
      <w:pPr>
        <w:tabs>
          <w:tab w:val="left" w:pos="450"/>
        </w:tabs>
        <w:spacing w:after="0" w:line="480" w:lineRule="auto"/>
        <w:ind w:left="360"/>
        <w:rPr>
          <w:rFonts w:ascii="Times New Roman" w:hAnsi="Times New Roman" w:cs="Times New Roman"/>
        </w:rPr>
      </w:pPr>
      <w:r>
        <w:rPr>
          <w:rFonts w:ascii="Times New Roman" w:hAnsi="Times New Roman" w:cs="Times New Roman"/>
        </w:rPr>
        <w:t xml:space="preserve">Finally, Scenario 5, a ransomware double-extortion campaign conducted by a Ransomware-as-a-Service (RaaS) “client”, illustrates the most complex ATT&amp;CK coverage, spanning initial access via exposed VPN or Remote Desktop Protocol (RDP) (T1133, T1021.001), lateral movement and tool deployment (T1570), bulk staging of mandatory government identification and documentation and HR files using Rclone and MEGAsync (T1560, </w:t>
      </w:r>
      <w:r>
        <w:rPr>
          <w:rFonts w:ascii="Times New Roman" w:hAnsi="Times New Roman" w:cs="Times New Roman"/>
        </w:rPr>
        <w:lastRenderedPageBreak/>
        <w:t>T1537), and pre-encryption exfiltration before the ransomware payload is triggered (T1486). The challenge is that this is a sequence where the ATT&amp;CK framework is the only mechanism capable of linking early lateral movement events to the eventual PII exfiltration, hours or days before the encryption event makes the breach undeniable. Across all five scenarios, the ATT&amp;CK framework provides the SOC with a shared, vendor-neutral, standardized language that can provide a uniform reference In this way, the ATT&amp;CK framework does not simply classify what an attacker did, it also provides the SOC with a much earlier warning about the potential risks. When you combined this with a PII framework, it increases the efficacy of the SOC to investigate and remediate a potential attack, much sooner in the kill chain, preventing a breach.</w:t>
      </w:r>
    </w:p>
    <w:p w14:paraId="4235F563" w14:textId="77777777" w:rsidR="00FF649F" w:rsidRPr="00FF649F" w:rsidRDefault="00FF649F" w:rsidP="00285C25">
      <w:pPr>
        <w:spacing w:after="0"/>
      </w:pPr>
    </w:p>
    <w:p w14:paraId="2B13B321" w14:textId="77777777" w:rsidR="00B82A90" w:rsidRPr="00A61064" w:rsidRDefault="001C0A17" w:rsidP="00A61064">
      <w:pPr>
        <w:pStyle w:val="Heading2"/>
      </w:pPr>
      <w:bookmarkStart w:id="60" w:name="_Toc235394985"/>
      <w:r>
        <w:t>2.10 Establishing the Potential of a PII Context Framework to Improve SOC Efficacy</w:t>
      </w:r>
      <w:bookmarkEnd w:id="60"/>
    </w:p>
    <w:p w14:paraId="2DCBBC80" w14:textId="77777777" w:rsidR="00B23794" w:rsidRPr="008D552C" w:rsidRDefault="00B23794" w:rsidP="003A73AB">
      <w:pPr>
        <w:tabs>
          <w:tab w:val="left" w:pos="540"/>
        </w:tabs>
        <w:spacing w:line="480" w:lineRule="auto"/>
        <w:ind w:left="540"/>
        <w:rPr>
          <w:rFonts w:ascii="Times New Roman" w:hAnsi="Times New Roman" w:cs="Times New Roman"/>
        </w:rPr>
      </w:pPr>
      <w:r>
        <w:rPr>
          <w:rFonts w:ascii="Times New Roman" w:hAnsi="Times New Roman" w:cs="Times New Roman"/>
        </w:rPr>
        <w:t>The compounding effects of alert fatigue, insufficient asset context, and the inability to prioritize threats create a structural visibility gap that the literature consistently identifies as a primary driver of modern data breaches (Bradley, 2026; Crowley, 2024). When a SOC team is inundated with thousands of generic alerts, the natural operational response is to focus on the loudest or most recent events rather than those posing the greatest risk to the organization’s most sensitive assets. Without embedded knowledge of where PII resides and how it is classified, threat actors who mimic legitimate administrative behavior can move undetected through the environment until the damage is irreversible.</w:t>
      </w:r>
    </w:p>
    <w:p w14:paraId="7C0B4739" w14:textId="77777777" w:rsidR="008D552C" w:rsidRPr="008D552C" w:rsidRDefault="008D552C" w:rsidP="003A73AB">
      <w:pPr>
        <w:tabs>
          <w:tab w:val="left" w:pos="450"/>
        </w:tabs>
        <w:spacing w:line="480" w:lineRule="auto"/>
        <w:ind w:left="540"/>
        <w:rPr>
          <w:rFonts w:ascii="Times New Roman" w:hAnsi="Times New Roman" w:cs="Times New Roman"/>
        </w:rPr>
      </w:pPr>
      <w:r>
        <w:rPr>
          <w:rFonts w:ascii="Times New Roman" w:hAnsi="Times New Roman" w:cs="Times New Roman"/>
        </w:rPr>
        <w:t xml:space="preserve">To break this cycle, it is critical to build a PII framework that treats data classification and location as fundamental metadata within the SIEM. By enriching every security event with context regarding the sensitivity of the target data, organizations can transform their defense strategy from a reactive posture to a risk-aligned one. When a SIEM can </w:t>
      </w:r>
      <w:r>
        <w:rPr>
          <w:rFonts w:ascii="Times New Roman" w:hAnsi="Times New Roman" w:cs="Times New Roman"/>
        </w:rPr>
        <w:lastRenderedPageBreak/>
        <w:t>automatically correlate a suspicious login with a database containing high-sensitivity PII, the resulting alert is no longer just another "anomaly"; it is a high-priority business risk. This depth of correlation allows the SOC to see the network through the eyes of the attacker, recognizing that the true goal is not just to gain access, but to reach the regulated data.</w:t>
      </w:r>
    </w:p>
    <w:p w14:paraId="57B855E9" w14:textId="357C79EB" w:rsidR="008D552C" w:rsidRPr="008D552C" w:rsidRDefault="00FA57A1" w:rsidP="003A73AB">
      <w:pPr>
        <w:spacing w:line="480" w:lineRule="auto"/>
        <w:ind w:left="540"/>
        <w:rPr>
          <w:rFonts w:ascii="Times New Roman" w:hAnsi="Times New Roman" w:cs="Times New Roman"/>
        </w:rPr>
      </w:pPr>
      <w:r>
        <w:rPr>
          <w:rFonts w:ascii="Times New Roman" w:hAnsi="Times New Roman" w:cs="Times New Roman"/>
        </w:rPr>
        <w:t>A</w:t>
      </w:r>
      <w:r w:rsidR="008D552C">
        <w:rPr>
          <w:rFonts w:ascii="Times New Roman" w:hAnsi="Times New Roman" w:cs="Times New Roman"/>
        </w:rPr>
        <w:t xml:space="preserve"> framework is the essential bridge between technical monitoring and strategic risk management. By integrating PII classification, such as distinguishing between public information and highly regulated Social Security numbers, the SOC can implement dynamic risk scoring that reflects the actual potential for harm. This intelligence enables analysts to ignore the noise and focus on the specific sequence of events that indicate an attacker is probing for or moving toward a data "crown jewel." Knowing exactly where sensitive data resides allows for the creation of "</w:t>
      </w:r>
      <w:proofErr w:type="gramStart"/>
      <w:r w:rsidR="008D552C">
        <w:rPr>
          <w:rFonts w:ascii="Times New Roman" w:hAnsi="Times New Roman" w:cs="Times New Roman"/>
        </w:rPr>
        <w:t>honey-pots</w:t>
      </w:r>
      <w:proofErr w:type="gramEnd"/>
      <w:r w:rsidR="008D552C">
        <w:rPr>
          <w:rFonts w:ascii="Times New Roman" w:hAnsi="Times New Roman" w:cs="Times New Roman"/>
        </w:rPr>
        <w:t>" or specialized watchlists, ensuring that any interaction with those specific targets is met with immediate and surgical investigation.</w:t>
      </w:r>
    </w:p>
    <w:p w14:paraId="55C49D64" w14:textId="428BC6EA" w:rsidR="008D552C" w:rsidRDefault="008D552C" w:rsidP="003A73AB">
      <w:pPr>
        <w:spacing w:line="480" w:lineRule="auto"/>
        <w:ind w:left="540"/>
        <w:rPr>
          <w:rFonts w:ascii="Times New Roman" w:hAnsi="Times New Roman" w:cs="Times New Roman"/>
        </w:rPr>
      </w:pPr>
      <w:r>
        <w:rPr>
          <w:rFonts w:ascii="Times New Roman" w:hAnsi="Times New Roman" w:cs="Times New Roman"/>
        </w:rPr>
        <w:t xml:space="preserve">Ultimately, effectively identifying when an attacker is attempting to steal PII requires a shift in how we define a "critical" event. A breach is rarely the result of a single catastrophic failure, but rather a series of ignored clues that, if viewed through the lens of data context, would have been obvious indicators of compromise. By embedding data sensitivity and location into the very heart of the SOC's investigative workflow, organizations provide their analysts with the "why" behind the "what." This clarity is the most effective weapon against data exfiltration, ensuring that when an attacker reaches for sensitive information, the SOC is already there to stop them. </w:t>
      </w:r>
    </w:p>
    <w:p w14:paraId="30F5B6F2" w14:textId="3C9A6D53" w:rsidR="00D82DB2" w:rsidRPr="008D552C" w:rsidRDefault="00D82DB2" w:rsidP="003A73AB">
      <w:pPr>
        <w:spacing w:line="480" w:lineRule="auto"/>
        <w:ind w:left="540"/>
        <w:rPr>
          <w:rFonts w:ascii="Times New Roman" w:hAnsi="Times New Roman" w:cs="Times New Roman"/>
        </w:rPr>
      </w:pPr>
      <w:r>
        <w:rPr>
          <w:rFonts w:ascii="Times New Roman" w:hAnsi="Times New Roman" w:cs="Times New Roman"/>
        </w:rPr>
        <w:lastRenderedPageBreak/>
        <w:t>Taken together, the literature reviewed in this chapter demonstrates that the persistent theft of PII from financial institutions is not primarily a failure of detection technology, but a failure to connect two functions that already exist within most organizations: the data security teams that classify and protect PII at rest, and the SOC teams that monitor and respond to active threats. The major breach case studies in Section 2.4, the SOC workflow examined in Sections 2.6 and 2.7, and the operational challenges of alert fatigue and prioritization failure discussed in Section 2.8 all converge on the same structural gap identified in Section 2.10: SIEM and UEBA platforms correlate behavioral anomalies without any awareness of the sensitivity of the data being touched, leaving analysts to guess at which alerts represent genuine risk to regulated PII. Having established the theoretical and empirical case for a PII Context Framework, the remainder of this praxis shifts from reviewing what is known about this gap to designing and testing a solution for it. Chapter 3 presents the research methodology used to design, implement, and validate this framework within a controlled SOC environment.</w:t>
      </w:r>
    </w:p>
    <w:p w14:paraId="72D6E5AF" w14:textId="77777777" w:rsidR="008D552C" w:rsidRPr="008D552C" w:rsidRDefault="008D552C" w:rsidP="008D552C"/>
    <w:p w14:paraId="1BF73E38" w14:textId="77777777" w:rsidR="00D82DB2" w:rsidRDefault="00D82DB2" w:rsidP="00EA7215">
      <w:pPr>
        <w:spacing w:line="480" w:lineRule="auto"/>
        <w:ind w:left="720"/>
        <w:jc w:val="center"/>
        <w:rPr>
          <w:rFonts w:ascii="Times New Roman" w:hAnsi="Times New Roman" w:cs="Times New Roman"/>
          <w:b/>
          <w:bCs/>
          <w:szCs w:val="28"/>
        </w:rPr>
      </w:pPr>
    </w:p>
    <w:p w14:paraId="55C314D4" w14:textId="77777777" w:rsidR="00D82DB2" w:rsidRDefault="00D82DB2" w:rsidP="00EA7215">
      <w:pPr>
        <w:spacing w:line="480" w:lineRule="auto"/>
        <w:ind w:left="720"/>
        <w:jc w:val="center"/>
        <w:rPr>
          <w:rFonts w:ascii="Times New Roman" w:hAnsi="Times New Roman" w:cs="Times New Roman"/>
          <w:b/>
          <w:bCs/>
          <w:szCs w:val="28"/>
        </w:rPr>
      </w:pPr>
    </w:p>
    <w:p w14:paraId="618C3FD1" w14:textId="77777777" w:rsidR="00D82DB2" w:rsidRDefault="00D82DB2" w:rsidP="00EA7215">
      <w:pPr>
        <w:spacing w:line="480" w:lineRule="auto"/>
        <w:ind w:left="720"/>
        <w:jc w:val="center"/>
        <w:rPr>
          <w:rFonts w:ascii="Times New Roman" w:hAnsi="Times New Roman" w:cs="Times New Roman"/>
          <w:b/>
          <w:bCs/>
          <w:szCs w:val="28"/>
        </w:rPr>
      </w:pPr>
    </w:p>
    <w:p w14:paraId="2C017DD3" w14:textId="77777777" w:rsidR="00D82DB2" w:rsidRDefault="00D82DB2" w:rsidP="00EA7215">
      <w:pPr>
        <w:spacing w:line="480" w:lineRule="auto"/>
        <w:ind w:left="720"/>
        <w:jc w:val="center"/>
        <w:rPr>
          <w:rFonts w:ascii="Times New Roman" w:hAnsi="Times New Roman" w:cs="Times New Roman"/>
          <w:b/>
          <w:bCs/>
          <w:szCs w:val="28"/>
        </w:rPr>
      </w:pPr>
    </w:p>
    <w:p w14:paraId="7A7D939E" w14:textId="77777777" w:rsidR="00D82DB2" w:rsidRDefault="00D82DB2" w:rsidP="00EA7215">
      <w:pPr>
        <w:spacing w:line="480" w:lineRule="auto"/>
        <w:ind w:left="720"/>
        <w:jc w:val="center"/>
        <w:rPr>
          <w:rFonts w:ascii="Times New Roman" w:hAnsi="Times New Roman" w:cs="Times New Roman"/>
          <w:b/>
          <w:bCs/>
          <w:szCs w:val="28"/>
        </w:rPr>
      </w:pPr>
    </w:p>
    <w:p w14:paraId="7974DBFB" w14:textId="77777777" w:rsidR="00D82DB2" w:rsidRDefault="00D82DB2" w:rsidP="00EA7215">
      <w:pPr>
        <w:spacing w:line="480" w:lineRule="auto"/>
        <w:ind w:left="720"/>
        <w:jc w:val="center"/>
        <w:rPr>
          <w:rFonts w:ascii="Times New Roman" w:hAnsi="Times New Roman" w:cs="Times New Roman"/>
          <w:b/>
          <w:bCs/>
          <w:szCs w:val="28"/>
        </w:rPr>
      </w:pPr>
    </w:p>
    <w:p w14:paraId="05FC91FF" w14:textId="77777777" w:rsidR="00D82DB2" w:rsidRDefault="00D82DB2" w:rsidP="00EA7215">
      <w:pPr>
        <w:spacing w:line="480" w:lineRule="auto"/>
        <w:ind w:left="720"/>
        <w:jc w:val="center"/>
        <w:rPr>
          <w:rFonts w:ascii="Times New Roman" w:hAnsi="Times New Roman" w:cs="Times New Roman"/>
          <w:b/>
          <w:bCs/>
          <w:szCs w:val="28"/>
        </w:rPr>
      </w:pPr>
    </w:p>
    <w:p w14:paraId="39365B0B" w14:textId="13282412" w:rsidR="00285C25" w:rsidRDefault="00FA5167" w:rsidP="00D82DB2">
      <w:pPr>
        <w:spacing w:line="480" w:lineRule="auto"/>
        <w:jc w:val="center"/>
        <w:rPr>
          <w:rFonts w:ascii="Times New Roman" w:hAnsi="Times New Roman" w:cs="Times New Roman"/>
          <w:b/>
          <w:bCs/>
          <w:szCs w:val="28"/>
        </w:rPr>
      </w:pPr>
      <w:r>
        <w:rPr>
          <w:rFonts w:ascii="Times New Roman" w:hAnsi="Times New Roman" w:cs="Times New Roman"/>
          <w:b/>
          <w:bCs/>
          <w:szCs w:val="28"/>
        </w:rPr>
        <w:lastRenderedPageBreak/>
        <w:t>Chapter 3 Methodology</w:t>
      </w:r>
    </w:p>
    <w:p w14:paraId="754F8132" w14:textId="77777777" w:rsidR="001C0A17" w:rsidRDefault="001C0A17" w:rsidP="00EB274E">
      <w:pPr>
        <w:rPr>
          <w:rFonts w:ascii="Times New Roman" w:hAnsi="Times New Roman" w:cs="Times New Roman"/>
        </w:rPr>
      </w:pPr>
    </w:p>
    <w:p w14:paraId="061C50F5" w14:textId="77777777" w:rsidR="00EA7215" w:rsidRDefault="00EA7215" w:rsidP="00EA7215">
      <w:pPr>
        <w:pStyle w:val="Heading2"/>
      </w:pPr>
      <w:bookmarkStart w:id="61" w:name="_Toc235394986"/>
      <w:r>
        <w:t>3.1 Overview and Research Design</w:t>
      </w:r>
      <w:bookmarkEnd w:id="61"/>
    </w:p>
    <w:p w14:paraId="075A68CD" w14:textId="77777777" w:rsidR="00EA7215" w:rsidRPr="00764AD6" w:rsidRDefault="00EA7215" w:rsidP="00764AD6">
      <w:pPr>
        <w:spacing w:line="480" w:lineRule="auto"/>
        <w:ind w:left="360"/>
        <w:jc w:val="both"/>
        <w:rPr>
          <w:rFonts w:ascii="Times New Roman" w:hAnsi="Times New Roman" w:cs="Times New Roman"/>
        </w:rPr>
      </w:pPr>
      <w:r>
        <w:rPr>
          <w:rFonts w:ascii="Times New Roman" w:hAnsi="Times New Roman" w:cs="Times New Roman"/>
        </w:rPr>
        <w:t>This chapter presents the methodology employed to investigate whether a PII Context Framework, integrated within SOC environment, can improve triage effectiveness, reduce alert noise, and accelerate analyst prioritization of high-risk data theft threats. The research is grounded in a mixed-methods, applied design science paradigm (Hevner et al., 2004; Peffers et al., 2007). It combines controlled technical experimentation using synthetic attack data with quantitative performance measurement, enabling both the construction and the empirical validation of the proposed framework.</w:t>
      </w:r>
    </w:p>
    <w:p w14:paraId="327330E1" w14:textId="77777777" w:rsidR="00B00716" w:rsidRDefault="00EA7215" w:rsidP="00B00716">
      <w:pPr>
        <w:spacing w:line="480" w:lineRule="auto"/>
        <w:ind w:left="360"/>
        <w:jc w:val="both"/>
        <w:rPr>
          <w:rFonts w:ascii="Times New Roman" w:hAnsi="Times New Roman" w:cs="Times New Roman"/>
        </w:rPr>
      </w:pPr>
      <w:r>
        <w:rPr>
          <w:rFonts w:ascii="Times New Roman" w:hAnsi="Times New Roman" w:cs="Times New Roman"/>
        </w:rPr>
        <w:t xml:space="preserve">The core methodology follows a five-stage sequential design as </w:t>
      </w:r>
      <w:proofErr w:type="gramStart"/>
      <w:r>
        <w:rPr>
          <w:rFonts w:ascii="Times New Roman" w:hAnsi="Times New Roman" w:cs="Times New Roman"/>
        </w:rPr>
        <w:t>show</w:t>
      </w:r>
      <w:proofErr w:type="gramEnd"/>
      <w:r>
        <w:rPr>
          <w:rFonts w:ascii="Times New Roman" w:hAnsi="Times New Roman" w:cs="Times New Roman"/>
        </w:rPr>
        <w:t xml:space="preserve"> in Figure 3.1. </w:t>
      </w:r>
    </w:p>
    <w:p w14:paraId="0826E841" w14:textId="77777777" w:rsidR="00B00716" w:rsidRDefault="00B00716" w:rsidP="00B00716">
      <w:pPr>
        <w:spacing w:line="480" w:lineRule="auto"/>
        <w:ind w:left="360"/>
        <w:jc w:val="both"/>
        <w:rPr>
          <w:rFonts w:ascii="Times New Roman" w:hAnsi="Times New Roman" w:cs="Times New Roman"/>
        </w:rPr>
      </w:pPr>
      <w:r>
        <w:rPr>
          <w:rFonts w:ascii="Times New Roman" w:hAnsi="Times New Roman" w:cs="Times New Roman"/>
          <w:noProof/>
        </w:rPr>
        <w:drawing>
          <wp:inline distT="0" distB="0" distL="0" distR="0" wp14:anchorId="589AD706" wp14:editId="4CB5944A">
            <wp:extent cx="5957856" cy="2964180"/>
            <wp:effectExtent l="0" t="0" r="5080" b="7620"/>
            <wp:docPr id="156229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91141" name="Picture 15622911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2545" cy="2971488"/>
                    </a:xfrm>
                    <a:prstGeom prst="rect">
                      <a:avLst/>
                    </a:prstGeom>
                  </pic:spPr>
                </pic:pic>
              </a:graphicData>
            </a:graphic>
          </wp:inline>
        </w:drawing>
      </w:r>
    </w:p>
    <w:p w14:paraId="57A8C826" w14:textId="77777777" w:rsidR="00B00716" w:rsidRPr="00003D5A" w:rsidRDefault="00B00716" w:rsidP="00B00716">
      <w:pPr>
        <w:spacing w:after="0" w:line="240" w:lineRule="auto"/>
        <w:jc w:val="center"/>
        <w:rPr>
          <w:rFonts w:ascii="Times New Roman" w:hAnsi="Times New Roman" w:cs="Times New Roman"/>
          <w:iCs/>
          <w:sz w:val="18"/>
          <w:szCs w:val="18"/>
        </w:rPr>
      </w:pPr>
      <w:r>
        <w:rPr>
          <w:rFonts w:ascii="Times New Roman" w:hAnsi="Times New Roman" w:cs="Times New Roman"/>
          <w:b/>
          <w:iCs/>
          <w:sz w:val="18"/>
          <w:szCs w:val="18"/>
        </w:rPr>
        <w:t>Figure 3.1</w:t>
      </w:r>
      <w:r>
        <w:rPr>
          <w:rFonts w:ascii="Times New Roman" w:hAnsi="Times New Roman" w:cs="Times New Roman"/>
          <w:iCs/>
          <w:sz w:val="18"/>
          <w:szCs w:val="18"/>
        </w:rPr>
        <w:t xml:space="preserve"> Five Stages for Implementing, Testing and Validating PII Framework</w:t>
      </w:r>
    </w:p>
    <w:p w14:paraId="01133F09" w14:textId="77777777" w:rsidR="00B00716" w:rsidRDefault="00B00716" w:rsidP="00B00716">
      <w:pPr>
        <w:spacing w:line="480" w:lineRule="auto"/>
        <w:ind w:left="360"/>
        <w:jc w:val="both"/>
        <w:rPr>
          <w:rFonts w:ascii="Times New Roman" w:hAnsi="Times New Roman" w:cs="Times New Roman"/>
        </w:rPr>
      </w:pPr>
    </w:p>
    <w:p w14:paraId="5A65FEF4" w14:textId="77777777" w:rsidR="00B00716" w:rsidRDefault="00B00716" w:rsidP="00B00716">
      <w:pPr>
        <w:spacing w:line="480" w:lineRule="auto"/>
        <w:ind w:left="360"/>
        <w:jc w:val="both"/>
        <w:rPr>
          <w:rFonts w:ascii="Times New Roman" w:hAnsi="Times New Roman" w:cs="Times New Roman"/>
        </w:rPr>
      </w:pPr>
    </w:p>
    <w:p w14:paraId="15F2C9CF" w14:textId="77777777" w:rsidR="00B00716" w:rsidRDefault="00EA7215" w:rsidP="00B00716">
      <w:pPr>
        <w:spacing w:line="480" w:lineRule="auto"/>
        <w:ind w:left="360"/>
        <w:jc w:val="both"/>
      </w:pPr>
      <w:r>
        <w:rPr>
          <w:rFonts w:ascii="Times New Roman" w:hAnsi="Times New Roman" w:cs="Times New Roman"/>
        </w:rPr>
        <w:lastRenderedPageBreak/>
        <w:t>Each stage builds directly upon the outputs of the preceding stage, establishing a progression from environment configuration to framework validation. The Framework for Evaluation in Design (FEDS) (Venable et al., 2016) guided the evaluation strategy, ensuring that both the absence and presence of PII context can be measured against identical synthetic attack scenarios, enabling direct comparison of analyst triage performance under each condition.</w:t>
      </w:r>
      <w:r>
        <w:rPr>
          <w:rFonts w:ascii="Times New Roman" w:eastAsia="Times New Roman" w:hAnsi="Times New Roman" w:cs="Times New Roman"/>
        </w:rPr>
        <w:t xml:space="preserve"> </w:t>
      </w:r>
    </w:p>
    <w:p w14:paraId="1E34D01C" w14:textId="29FF6AC8" w:rsidR="00B00716" w:rsidRDefault="00B00716" w:rsidP="00B00716">
      <w:pPr>
        <w:spacing w:line="480" w:lineRule="auto"/>
        <w:ind w:left="360"/>
        <w:jc w:val="both"/>
      </w:pPr>
      <w:r>
        <w:rPr>
          <w:rFonts w:ascii="Times New Roman" w:eastAsia="Times New Roman" w:hAnsi="Times New Roman" w:cs="Times New Roman"/>
        </w:rPr>
        <w:t>Rather than studying an existing production deployment, this study builds a purpose-built experimental environment that replicates the core components of a modern SOC, which includes log ingestion, normalization, correlation, alerting, and visualization, using open-source tools that are also directly used as enterprise-grade SIEM deployments (Zimmerman, 2014). This approach allows for controlled, reproducible testing that would be impossible in a live security or production environment. At the same time, because the synthetic attack scenarios are derived from documented real-world TTPs drawn from the MITRE ATT&amp;CK framework and mapped to attack patterns observed in the major breaches analyzed in Chapter 2, the research findings speak directly to the challenges faced by operational SOC teams defending financial institutions against PII-targeting threat actors.</w:t>
      </w:r>
    </w:p>
    <w:p w14:paraId="6B2087B4" w14:textId="77777777" w:rsidR="00B00716" w:rsidRDefault="00B00716" w:rsidP="00BC0FE2">
      <w:pPr>
        <w:spacing w:line="480" w:lineRule="auto"/>
        <w:ind w:left="360"/>
        <w:jc w:val="both"/>
      </w:pPr>
      <w:r>
        <w:rPr>
          <w:rFonts w:ascii="Times New Roman" w:eastAsia="Times New Roman" w:hAnsi="Times New Roman" w:cs="Times New Roman"/>
        </w:rPr>
        <w:t xml:space="preserve">The research also addresses three primary hypotheses introduced in Chapter 1. Hypothesis 1 proposes that analysts using a PII context-aware triage framework will identify and prioritize high-risk threats significantly faster than those relying on standard SIEM alerts alone. Hypothesis 2 holds that correlating anomalous behaviors with PII-specific threat context reduces alert noise and improves escalation of critical events. Hypothesis 3 asserts that detection rules mapped to early-stage behavioral indicators of financial threat actors will produce faster and more accurate prioritization responses when augmented by PII context. The </w:t>
      </w:r>
      <w:r>
        <w:rPr>
          <w:rFonts w:ascii="Times New Roman" w:eastAsia="Times New Roman" w:hAnsi="Times New Roman" w:cs="Times New Roman"/>
        </w:rPr>
        <w:lastRenderedPageBreak/>
        <w:t>five-stage methodology is specifically designed to generate the empirical evidence necessary to evaluate each of these hypotheses.</w:t>
      </w:r>
    </w:p>
    <w:p w14:paraId="5A02F3CF" w14:textId="6C5E4599" w:rsidR="00B00716" w:rsidRDefault="00B00716" w:rsidP="00BC0FE2">
      <w:pPr>
        <w:spacing w:line="480" w:lineRule="auto"/>
        <w:ind w:left="360"/>
        <w:jc w:val="both"/>
        <w:rPr>
          <w:rFonts w:ascii="Times New Roman" w:eastAsia="Times New Roman" w:hAnsi="Times New Roman" w:cs="Times New Roman"/>
        </w:rPr>
      </w:pPr>
      <w:r>
        <w:rPr>
          <w:rFonts w:ascii="Times New Roman" w:eastAsia="Times New Roman" w:hAnsi="Times New Roman" w:cs="Times New Roman"/>
        </w:rPr>
        <w:t>The remainder of Chapter 3 is organized as follows. Section 3.2 describes the research environment setup in detail, including component selection, installation sequence, configuration of the Elastic Common Schema (ECS), and the rationale for each architectural decision. Section 3.3 presents the synthetic attack scenario design, walking through the five attack profiles that were constructed to represent realistic PII-targeting threat actor campaigns. Section 3.4 describes the baseline data preparation process, including the creation and ingestion of synthetic datasets and the application of standard detection rules in the absence of any PII context. Section 3.5 documents the development of the filter and logic framework, including the aggregation pipelines, enrichment logic, Kibana dashboards, and alerting configuration. Section 3.6 presents the PII Context Framework design in detail, including the base scoring model, the promotion criteria, and the rationale for each classification decision. Section 3.7 explains the testing and validation methodology, including the metrics, measurement procedures, and statistical approach used to assess the framework's effectiveness. Section 3.8 addresses ethical considerations and the limitations of this research design.</w:t>
      </w:r>
    </w:p>
    <w:p w14:paraId="31400759" w14:textId="77777777" w:rsidR="00003D5A" w:rsidRDefault="00003D5A" w:rsidP="00BC0FE2">
      <w:pPr>
        <w:spacing w:line="480" w:lineRule="auto"/>
        <w:ind w:left="360"/>
        <w:jc w:val="both"/>
        <w:rPr>
          <w:rFonts w:ascii="Times New Roman" w:eastAsia="Times New Roman" w:hAnsi="Times New Roman" w:cs="Times New Roman"/>
        </w:rPr>
      </w:pPr>
    </w:p>
    <w:p w14:paraId="3E5029EF" w14:textId="77777777" w:rsidR="00441811" w:rsidRDefault="00441811" w:rsidP="00441811">
      <w:pPr>
        <w:pStyle w:val="Heading2"/>
        <w:spacing w:before="200" w:after="60"/>
      </w:pPr>
      <w:bookmarkStart w:id="62" w:name="_Toc235394987"/>
      <w:r>
        <w:rPr>
          <w:rFonts w:eastAsia="Times New Roman" w:cs="Times New Roman"/>
          <w:szCs w:val="24"/>
        </w:rPr>
        <w:t>3.2 Research Approach</w:t>
      </w:r>
      <w:bookmarkEnd w:id="62"/>
    </w:p>
    <w:p w14:paraId="207B5867" w14:textId="32A831E7" w:rsidR="009153CB" w:rsidRDefault="00441811" w:rsidP="00003D5A">
      <w:pPr>
        <w:spacing w:line="480" w:lineRule="auto"/>
        <w:ind w:left="360"/>
        <w:rPr>
          <w:rFonts w:ascii="Times New Roman" w:eastAsia="Times New Roman" w:hAnsi="Times New Roman" w:cs="Times New Roman"/>
        </w:rPr>
      </w:pPr>
      <w:r>
        <w:rPr>
          <w:rFonts w:ascii="Times New Roman" w:eastAsia="Times New Roman" w:hAnsi="Times New Roman" w:cs="Times New Roman"/>
        </w:rPr>
        <w:t xml:space="preserve">This research adopts a design science research (DSR) paradigm combined with a quantitative, comparative evaluation strategy. Design science is appropriate because the central contribution of this study is the construction and evaluation of a novel artifact, the PII Context Framework, rather than the observation of a pre-existing phenomenon (Hevner et al., 2004; Peffers et al., 2007). Hevner et al. (2004) frame design science as the iterative </w:t>
      </w:r>
      <w:r>
        <w:rPr>
          <w:rFonts w:ascii="Times New Roman" w:eastAsia="Times New Roman" w:hAnsi="Times New Roman" w:cs="Times New Roman"/>
        </w:rPr>
        <w:lastRenderedPageBreak/>
        <w:t>construction and assessment of artifacts that address a relevant organizational problem, and Peffers et al. (2007) provide the six-activity DSR process model, problem identification, objective definition, design and development, demonstration, evaluation, and communication, that structures the progression of this praxis from the problem articulated in Chapter 1 to the validated framework presented here. These stages implemented here are shown in Figure 3.2.</w:t>
      </w:r>
    </w:p>
    <w:p w14:paraId="3867C1B6" w14:textId="3A21EE91" w:rsidR="009153CB" w:rsidRDefault="009153CB" w:rsidP="00441811">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2CA021F" wp14:editId="3CEBDE97">
            <wp:extent cx="5943600" cy="2153285"/>
            <wp:effectExtent l="0" t="0" r="0" b="0"/>
            <wp:docPr id="10800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3243" name="Picture 1080032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153285"/>
                    </a:xfrm>
                    <a:prstGeom prst="rect">
                      <a:avLst/>
                    </a:prstGeom>
                  </pic:spPr>
                </pic:pic>
              </a:graphicData>
            </a:graphic>
          </wp:inline>
        </w:drawing>
      </w:r>
    </w:p>
    <w:p w14:paraId="1BA1A9C4" w14:textId="385864C4" w:rsidR="00F0362A" w:rsidRPr="005629A4" w:rsidRDefault="00F0362A" w:rsidP="00F0362A">
      <w:pPr>
        <w:jc w:val="center"/>
        <w:rPr>
          <w:sz w:val="20"/>
          <w:szCs w:val="20"/>
        </w:rPr>
      </w:pPr>
      <w:r>
        <w:rPr>
          <w:rFonts w:ascii="Times New Roman" w:eastAsia="Times New Roman" w:hAnsi="Times New Roman" w:cs="Times New Roman"/>
          <w:b/>
          <w:bCs/>
          <w:sz w:val="20"/>
          <w:szCs w:val="20"/>
        </w:rPr>
        <w:t xml:space="preserve">Figure 3.2. </w:t>
      </w:r>
      <w:r>
        <w:rPr>
          <w:rFonts w:ascii="Times New Roman" w:eastAsia="Times New Roman" w:hAnsi="Times New Roman" w:cs="Times New Roman"/>
          <w:sz w:val="20"/>
          <w:szCs w:val="20"/>
        </w:rPr>
        <w:t>6 Stage DSR Model Implemented for this Praxis.</w:t>
      </w:r>
    </w:p>
    <w:p w14:paraId="0F1B5BB1" w14:textId="77777777" w:rsidR="009153CB" w:rsidRPr="009153CB" w:rsidRDefault="009153CB" w:rsidP="00003D5A">
      <w:pPr>
        <w:spacing w:line="480" w:lineRule="auto"/>
        <w:ind w:left="360"/>
        <w:rPr>
          <w:rFonts w:ascii="Times New Roman" w:eastAsia="Times New Roman" w:hAnsi="Times New Roman" w:cs="Times New Roman"/>
        </w:rPr>
      </w:pPr>
    </w:p>
    <w:p w14:paraId="689B4F0A" w14:textId="77777777" w:rsidR="00441811" w:rsidRDefault="00441811" w:rsidP="00003D5A">
      <w:pPr>
        <w:spacing w:line="480" w:lineRule="auto"/>
        <w:ind w:left="360"/>
      </w:pPr>
      <w:r>
        <w:rPr>
          <w:rFonts w:ascii="Times New Roman" w:eastAsia="Times New Roman" w:hAnsi="Times New Roman" w:cs="Times New Roman"/>
        </w:rPr>
        <w:t xml:space="preserve">The evaluation strategy is grounded in the Framework for Evaluation in Design Science (FEDS) proposed by Venable et al. (2016), which distinguishes between formative evaluation during artifact construction and summative evaluation of the completed artifact, and which recommends an artificial, controlled evaluation setting when real-world deployment would be premature or ethically constrained. Because production financial-institution telemetry cannot be used without exposing real customer PII, an artificial but rigorously controlled evaluation environment is the methodologically defensible choice. The approach is therefore fundamentally constructive: rather than studying an existing production deployment, the </w:t>
      </w:r>
      <w:r>
        <w:rPr>
          <w:rFonts w:ascii="Times New Roman" w:eastAsia="Times New Roman" w:hAnsi="Times New Roman" w:cs="Times New Roman"/>
        </w:rPr>
        <w:lastRenderedPageBreak/>
        <w:t>study builds a purpose-built experimental environment that replicates the core components of a modern SOC, log ingestion, normalization, correlation, alerting, and visualization, using open-source tooling that is functionally analogous to enterprise-grade SIEM platforms (Zimmerman, 2014; Detken et al., 2015; Miloslavskaya, 2018).</w:t>
      </w:r>
    </w:p>
    <w:p w14:paraId="29341457" w14:textId="77777777" w:rsidR="00441811" w:rsidRDefault="00441811" w:rsidP="00003D5A">
      <w:pPr>
        <w:spacing w:line="480" w:lineRule="auto"/>
        <w:ind w:left="360"/>
      </w:pPr>
      <w:r>
        <w:rPr>
          <w:rFonts w:ascii="Times New Roman" w:eastAsia="Times New Roman" w:hAnsi="Times New Roman" w:cs="Times New Roman"/>
        </w:rPr>
        <w:t xml:space="preserve">The study is best characterized as a controlled artifact evaluation </w:t>
      </w:r>
      <w:proofErr w:type="gramStart"/>
      <w:r>
        <w:rPr>
          <w:rFonts w:ascii="Times New Roman" w:eastAsia="Times New Roman" w:hAnsi="Times New Roman" w:cs="Times New Roman"/>
        </w:rPr>
        <w:t>with a</w:t>
      </w:r>
      <w:proofErr w:type="gramEnd"/>
      <w:r>
        <w:rPr>
          <w:rFonts w:ascii="Times New Roman" w:eastAsia="Times New Roman" w:hAnsi="Times New Roman" w:cs="Times New Roman"/>
        </w:rPr>
        <w:t xml:space="preserve"> within-subjects comparative design. The same synthetic attack data is processed under two conditions, a baseline condition without PII context and an enriched condition with PII context, so that any measured difference in triage performance is attributable to the framework itself rather than to differences in the underlying data. External validity is preserved by deriving every synthetic attack scenario from documented real-world tactics, techniques, and procedures (TTPs) catalogued in the MITRE ATT&amp;CK knowledge base (Strom et al., 2018; MITRE Corporation, 2026) and mapped to the attack patterns observed in the major financial-sector breaches analyzed in Chapter 2. In this way the findings speak directly to the operational challenges of SOC teams defending financial institutions, even though they are generated in a controlled setting.</w:t>
      </w:r>
    </w:p>
    <w:p w14:paraId="4DFD220D" w14:textId="77777777" w:rsidR="00441811" w:rsidRDefault="00441811" w:rsidP="00BC0FE2">
      <w:pPr>
        <w:spacing w:line="480" w:lineRule="auto"/>
        <w:ind w:left="360"/>
        <w:jc w:val="both"/>
      </w:pPr>
    </w:p>
    <w:p w14:paraId="03101B67" w14:textId="77777777" w:rsidR="00284E84" w:rsidRDefault="00284E84" w:rsidP="00284E84">
      <w:pPr>
        <w:pStyle w:val="Heading2"/>
        <w:spacing w:before="200" w:after="60"/>
      </w:pPr>
      <w:bookmarkStart w:id="63" w:name="_Toc235394988"/>
      <w:r>
        <w:rPr>
          <w:rFonts w:eastAsia="Times New Roman" w:cs="Times New Roman"/>
          <w:szCs w:val="24"/>
        </w:rPr>
        <w:t>3.3 Research Questions and Hypotheses</w:t>
      </w:r>
      <w:bookmarkEnd w:id="63"/>
    </w:p>
    <w:p w14:paraId="1BF7E742" w14:textId="77777777" w:rsidR="00284E84" w:rsidRDefault="00284E84" w:rsidP="00003D5A">
      <w:pPr>
        <w:spacing w:line="480" w:lineRule="auto"/>
        <w:ind w:left="360"/>
      </w:pPr>
      <w:r>
        <w:rPr>
          <w:rFonts w:ascii="Times New Roman" w:eastAsia="Times New Roman" w:hAnsi="Times New Roman" w:cs="Times New Roman"/>
        </w:rPr>
        <w:t>The methodology is designed to investigate the four research questions and three hypotheses introduced in Chapter 1. This section restates them and specifies, for each, the design element and measurement that addresses it. Grounding each question in the gaps identified in Chapter 2 ensures that the methodology investigates the actual problem rather than a proxy for it.</w:t>
      </w:r>
    </w:p>
    <w:p w14:paraId="106F823C" w14:textId="77777777" w:rsidR="00284E84" w:rsidRPr="00AA2008" w:rsidRDefault="00284E84" w:rsidP="00AA2008">
      <w:pPr>
        <w:pStyle w:val="Heading3"/>
        <w:numPr>
          <w:ilvl w:val="2"/>
          <w:numId w:val="31"/>
        </w:numPr>
        <w:tabs>
          <w:tab w:val="left" w:pos="630"/>
          <w:tab w:val="left" w:pos="1080"/>
        </w:tabs>
        <w:ind w:left="450" w:firstLine="0"/>
      </w:pPr>
      <w:bookmarkStart w:id="64" w:name="_Toc235394989"/>
      <w:r>
        <w:t>Research Questions</w:t>
      </w:r>
      <w:bookmarkEnd w:id="64"/>
    </w:p>
    <w:p w14:paraId="20E3E535" w14:textId="77777777" w:rsidR="00284E84" w:rsidRDefault="00284E84" w:rsidP="00AA2008">
      <w:pPr>
        <w:spacing w:line="480" w:lineRule="auto"/>
        <w:ind w:left="630"/>
      </w:pPr>
      <w:r>
        <w:rPr>
          <w:rFonts w:ascii="Times New Roman" w:eastAsia="Times New Roman" w:hAnsi="Times New Roman" w:cs="Times New Roman"/>
        </w:rPr>
        <w:lastRenderedPageBreak/>
        <w:t>Q1. To what extent do current UEBA and SIEM platforms fail to correlate user behavioral anomalies with the specific sensitivity levels of PII and banking data? This question is investigated through the baseline condition (Stage 2), in which standard detection rules operate without any PII metadata, establishing an empirical reference point for the magnitude of the correlation gap described by Crowley (2024) and Tariq et al. (2025).</w:t>
      </w:r>
    </w:p>
    <w:p w14:paraId="706D73B0" w14:textId="3923831F" w:rsidR="00284E84" w:rsidRPr="00A743F0" w:rsidRDefault="00284E84" w:rsidP="00A743F0">
      <w:pPr>
        <w:spacing w:line="480" w:lineRule="auto"/>
        <w:ind w:left="630"/>
        <w:rPr>
          <w:rFonts w:ascii="Times New Roman" w:eastAsia="Times New Roman" w:hAnsi="Times New Roman" w:cs="Times New Roman"/>
        </w:rPr>
      </w:pPr>
      <w:r>
        <w:rPr>
          <w:rFonts w:ascii="Times New Roman" w:eastAsia="Times New Roman" w:hAnsi="Times New Roman" w:cs="Times New Roman"/>
        </w:rPr>
        <w:t>Q2.</w:t>
      </w:r>
      <w:r>
        <w:rPr>
          <w:rFonts w:eastAsia="Times New Roman"/>
        </w:rPr>
        <w:t xml:space="preserve"> </w:t>
      </w:r>
      <w:r>
        <w:rPr>
          <w:rFonts w:ascii="Times New Roman" w:eastAsia="Times New Roman" w:hAnsi="Times New Roman" w:cs="Times New Roman"/>
        </w:rPr>
        <w:t>What contextual variables are most critical for an analyst to automate the mapping of "data-at-rest" security insights into real-time "data-in-use" behavioral alerts, thereby providing a more accurate representation of risk? This question is addressed by the design of the PII Context Framework (Stage 4), whose three contextual inputs operationalize the contextual signals that Chapter 2 identified as absent from current triage workflows. The enrichment pipeline (Stages 3 and 4) encodes the framework and applies them to streaming events at ingestion time, directly addressing the integration gap between Data Security Posture Management and the SIEM.</w:t>
      </w:r>
    </w:p>
    <w:p w14:paraId="31FC238B" w14:textId="1F91C171" w:rsidR="00284E84" w:rsidRDefault="00284E84" w:rsidP="00AA2008">
      <w:pPr>
        <w:spacing w:line="480" w:lineRule="auto"/>
        <w:ind w:left="630"/>
      </w:pPr>
      <w:r>
        <w:rPr>
          <w:rFonts w:ascii="Times New Roman" w:eastAsia="Times New Roman" w:hAnsi="Times New Roman" w:cs="Times New Roman"/>
        </w:rPr>
        <w:t>Q3. Does the application of a context-aware risk scoring model significantly reduce the noise of false positives compared to standard anomaly detection rules? This question is answered quantitatively in the validation stage (Stage 5) by comparing false-positive rates at high priority between the baseline and enriched conditions.</w:t>
      </w:r>
    </w:p>
    <w:p w14:paraId="30EC6809" w14:textId="77777777" w:rsidR="00284E84" w:rsidRDefault="00284E84" w:rsidP="00AA2008">
      <w:pPr>
        <w:pStyle w:val="Heading3"/>
        <w:numPr>
          <w:ilvl w:val="2"/>
          <w:numId w:val="31"/>
        </w:numPr>
        <w:tabs>
          <w:tab w:val="left" w:pos="630"/>
          <w:tab w:val="left" w:pos="1080"/>
        </w:tabs>
        <w:ind w:left="450" w:firstLine="0"/>
      </w:pPr>
      <w:bookmarkStart w:id="65" w:name="_Toc235394990"/>
      <w:r>
        <w:t>Hypotheses</w:t>
      </w:r>
      <w:bookmarkEnd w:id="65"/>
    </w:p>
    <w:p w14:paraId="785FE141" w14:textId="77777777" w:rsidR="00284E84" w:rsidRDefault="00284E84" w:rsidP="00AA2008">
      <w:pPr>
        <w:spacing w:line="480" w:lineRule="auto"/>
        <w:ind w:left="630"/>
      </w:pPr>
      <w:r>
        <w:rPr>
          <w:rFonts w:ascii="Times New Roman" w:eastAsia="Times New Roman" w:hAnsi="Times New Roman" w:cs="Times New Roman"/>
        </w:rPr>
        <w:t>H1. Analysts using a PII context-aware triage framework will identify and prioritize high-risk threats to banking and credit-card PII significantly faster than analysts using standard SIEM/UEBA alerts without integrated data-sensitivity context. H1 is evaluated through the simulated triage-time metric under blinded conditions (Section 3.8).</w:t>
      </w:r>
    </w:p>
    <w:p w14:paraId="11517F77" w14:textId="77777777" w:rsidR="00284E84" w:rsidRDefault="00284E84" w:rsidP="00AA2008">
      <w:pPr>
        <w:spacing w:line="480" w:lineRule="auto"/>
        <w:ind w:left="630"/>
      </w:pPr>
      <w:r>
        <w:rPr>
          <w:rFonts w:ascii="Times New Roman" w:eastAsia="Times New Roman" w:hAnsi="Times New Roman" w:cs="Times New Roman"/>
        </w:rPr>
        <w:lastRenderedPageBreak/>
        <w:t>H2. Correlating anomalous behaviors with specific PII-related threat context reduces the noise of non-critical behavioral alerts and improves the escalation of critical anomalies relative to less significant ones. H2 is evaluated through the high-priority alert volume, the true-positive rate at high priority, and the alert-distribution-shift metric.</w:t>
      </w:r>
    </w:p>
    <w:p w14:paraId="7E93ADA7" w14:textId="77777777" w:rsidR="00284E84" w:rsidRDefault="00284E84" w:rsidP="00AA2008">
      <w:pPr>
        <w:spacing w:line="480" w:lineRule="auto"/>
        <w:ind w:left="630"/>
        <w:rPr>
          <w:rFonts w:ascii="Times New Roman" w:eastAsia="Times New Roman" w:hAnsi="Times New Roman" w:cs="Times New Roman"/>
        </w:rPr>
      </w:pPr>
      <w:r>
        <w:rPr>
          <w:rFonts w:ascii="Times New Roman" w:eastAsia="Times New Roman" w:hAnsi="Times New Roman" w:cs="Times New Roman"/>
        </w:rPr>
        <w:t>H3. Organizations that implement detection rules mapped to the early-stage behavioral indicators of financial threat actors will prioritize and respond to such threats faster when a PII context-aware framework is applied. H3 is evaluated through the early-detection-rate metric, which tests whether high-priority risk scores are assigned to early-stage indicators (for example, lateral movement) before the bulk-exfiltration phase generates more obvious signals (Sloan, 2025; Strom et al., 2018).</w:t>
      </w:r>
    </w:p>
    <w:p w14:paraId="564E6B15" w14:textId="77777777" w:rsidR="00594B1D" w:rsidRDefault="00594B1D" w:rsidP="00AA2008">
      <w:pPr>
        <w:spacing w:line="480" w:lineRule="auto"/>
        <w:ind w:left="630"/>
      </w:pPr>
    </w:p>
    <w:p w14:paraId="0279CD11" w14:textId="77777777" w:rsidR="00284E84" w:rsidRDefault="00284E84" w:rsidP="00284E84">
      <w:pPr>
        <w:pStyle w:val="Heading2"/>
        <w:spacing w:before="200" w:after="60"/>
      </w:pPr>
      <w:bookmarkStart w:id="66" w:name="_Toc235394991"/>
      <w:r>
        <w:rPr>
          <w:rFonts w:eastAsia="Times New Roman" w:cs="Times New Roman"/>
          <w:szCs w:val="24"/>
        </w:rPr>
        <w:t>3.4 Experimental Design</w:t>
      </w:r>
      <w:bookmarkEnd w:id="66"/>
    </w:p>
    <w:p w14:paraId="15BCC026" w14:textId="77777777" w:rsidR="00284E84" w:rsidRDefault="00284E84" w:rsidP="00AA2008">
      <w:pPr>
        <w:spacing w:line="480" w:lineRule="auto"/>
        <w:ind w:left="360"/>
      </w:pPr>
      <w:r>
        <w:rPr>
          <w:rFonts w:ascii="Times New Roman" w:eastAsia="Times New Roman" w:hAnsi="Times New Roman" w:cs="Times New Roman"/>
        </w:rPr>
        <w:t>The experimental design is a single-environment, two-condition comparative evaluation executed over five synthetic attack scenarios. The independent variable is the presence or absence of PII context enrichment. The dependent variables are the triage-performance metrics defined in Section 3.8: high-priority alert volume, true-positive and false-positive rates at high priority, simulated triage time, and early-detection rate. All other factors, the underlying event data, the detection rules, the analyst evaluators, and the visualization interface, are held constant across conditions so that observed differences can be attributed to the framework.</w:t>
      </w:r>
    </w:p>
    <w:p w14:paraId="0524236A" w14:textId="77777777" w:rsidR="00284E84" w:rsidRDefault="00284E84" w:rsidP="00AA2008">
      <w:pPr>
        <w:spacing w:line="480" w:lineRule="auto"/>
        <w:ind w:left="360"/>
      </w:pPr>
      <w:r>
        <w:rPr>
          <w:rFonts w:ascii="Times New Roman" w:eastAsia="Times New Roman" w:hAnsi="Times New Roman" w:cs="Times New Roman"/>
        </w:rPr>
        <w:t xml:space="preserve">Holding the data constant across conditions is the core control of the design. Each synthetic dataset is normalized once to the Elastic Common Schema (ECS) and then processed through </w:t>
      </w:r>
      <w:r>
        <w:rPr>
          <w:rFonts w:ascii="Times New Roman" w:eastAsia="Times New Roman" w:hAnsi="Times New Roman" w:cs="Times New Roman"/>
        </w:rPr>
        <w:lastRenderedPageBreak/>
        <w:t xml:space="preserve">two parallel pipelines that produce two parallel sets of Elasticsearch indices. The only difference between the indices is the presence of the populated </w:t>
      </w:r>
      <w:proofErr w:type="gramStart"/>
      <w:r>
        <w:rPr>
          <w:rFonts w:ascii="Times New Roman" w:eastAsia="Times New Roman" w:hAnsi="Times New Roman" w:cs="Times New Roman"/>
        </w:rPr>
        <w:t>pii.context</w:t>
      </w:r>
      <w:proofErr w:type="gramEnd"/>
      <w:r>
        <w:rPr>
          <w:rFonts w:ascii="Times New Roman" w:eastAsia="Times New Roman" w:hAnsi="Times New Roman" w:cs="Times New Roman"/>
        </w:rPr>
        <w:t xml:space="preserve"> namespace fields in the enriched condition and their absence in the baseline condition. This dual-index architecture enables direct, field-level comparison against identical underlying events and eliminates dataset variability as a confounding factor (Sommer &amp; Paxson, 2010; Ring et al., 2019).</w:t>
      </w:r>
    </w:p>
    <w:p w14:paraId="566F4710" w14:textId="77A0F591" w:rsidR="00284E84" w:rsidRDefault="00284E84" w:rsidP="00AA2008">
      <w:pPr>
        <w:spacing w:line="480" w:lineRule="auto"/>
        <w:ind w:left="360"/>
      </w:pPr>
      <w:r>
        <w:rPr>
          <w:rFonts w:ascii="Times New Roman" w:eastAsia="Times New Roman" w:hAnsi="Times New Roman" w:cs="Times New Roman"/>
        </w:rPr>
        <w:t>The design proceeds through five sequential stages, each building on the outputs of the prior stage, as depicted in Figure 3.2. Stage 1 establishes an experimental environment. Stage 2 prepares the baseline data and applies standard detection without PII context, producing the comparison reference point. Stage 3 develops the filter, correlation, and visualization infrastructure shared by both conditions. Stage 4 constructs the PII Context Framework and its risk-scoring and promotion engine. Stage 5 re-executes the enriched pipeline and measures performance against the Stage 2 baseline. Consistent with the formative evaluation guidance of FEDS (Venable et al., 2016), the scoring model is calibrated iteratively against a small held-out validation subset before the summative Stage 5 evaluation is conducted, a feedback loop indicated in Figure 3.1.</w:t>
      </w:r>
    </w:p>
    <w:p w14:paraId="06061B70" w14:textId="77777777" w:rsidR="00284E84" w:rsidRDefault="00284E84" w:rsidP="00AA2008">
      <w:pPr>
        <w:spacing w:line="480" w:lineRule="auto"/>
        <w:ind w:left="360"/>
        <w:rPr>
          <w:rFonts w:ascii="Times New Roman" w:eastAsia="Times New Roman" w:hAnsi="Times New Roman" w:cs="Times New Roman"/>
        </w:rPr>
      </w:pPr>
      <w:r>
        <w:rPr>
          <w:rFonts w:ascii="Times New Roman" w:eastAsia="Times New Roman" w:hAnsi="Times New Roman" w:cs="Times New Roman"/>
        </w:rPr>
        <w:t xml:space="preserve">To manage scope and to validate the pipeline end-to-end before the full five-scenario evaluation, the Remote Access Trojan (RAT) scenario described in Section 3.6 is implemented first as a proof of concept. This staged implementation is consistent with the research scope defined in Chapter 1, which framed the initial work as building and validating the framework against a small set of representative scenarios before broader testing. The RAT scenario exercises every component of the framework, ingestion, normalization, </w:t>
      </w:r>
      <w:r>
        <w:rPr>
          <w:rFonts w:ascii="Times New Roman" w:eastAsia="Times New Roman" w:hAnsi="Times New Roman" w:cs="Times New Roman"/>
        </w:rPr>
        <w:lastRenderedPageBreak/>
        <w:t>correlation, enrichment, scoring, and alerting, and therefore confirms that the methodology is sound before it is generalized across the remaining four scenarios.</w:t>
      </w:r>
    </w:p>
    <w:p w14:paraId="4EE061AD" w14:textId="77777777" w:rsidR="00594B1D" w:rsidRDefault="00594B1D" w:rsidP="00AA2008">
      <w:pPr>
        <w:spacing w:line="480" w:lineRule="auto"/>
        <w:ind w:left="360"/>
      </w:pPr>
    </w:p>
    <w:p w14:paraId="33575D5F" w14:textId="77777777" w:rsidR="00284E84" w:rsidRDefault="00284E84" w:rsidP="00284E84">
      <w:pPr>
        <w:pStyle w:val="Heading2"/>
        <w:spacing w:before="200" w:after="60"/>
      </w:pPr>
      <w:bookmarkStart w:id="67" w:name="_Toc235394992"/>
      <w:r>
        <w:rPr>
          <w:rFonts w:eastAsia="Times New Roman" w:cs="Times New Roman"/>
          <w:szCs w:val="24"/>
        </w:rPr>
        <w:t>3.5 The Graphical Model and Conceptual Framework</w:t>
      </w:r>
      <w:bookmarkEnd w:id="67"/>
    </w:p>
    <w:p w14:paraId="39A5DC81" w14:textId="74F9A698" w:rsidR="00284E84" w:rsidRDefault="00F0362A" w:rsidP="00AA2008">
      <w:pPr>
        <w:spacing w:line="480" w:lineRule="auto"/>
        <w:ind w:left="360"/>
      </w:pPr>
      <w:r>
        <w:rPr>
          <w:rFonts w:ascii="Times New Roman" w:eastAsia="Times New Roman" w:hAnsi="Times New Roman" w:cs="Times New Roman"/>
        </w:rPr>
        <w:t>Outside of Figure 3.2 the other model that anchors this research is presented in Figure 3.3, which is the conceptual model of the PII Context Framework itself, specifying how the base anomaly risk score is preserved and enriched with contextual inputs that can promote an alert to critical priority when an attack targeting PII is confirmed.</w:t>
      </w:r>
    </w:p>
    <w:p w14:paraId="2B091648" w14:textId="77777777" w:rsidR="00284E84" w:rsidRDefault="00284E84" w:rsidP="00284E84">
      <w:pPr>
        <w:spacing w:before="120" w:after="60"/>
        <w:jc w:val="center"/>
      </w:pPr>
      <w:r>
        <w:rPr>
          <w:noProof/>
        </w:rPr>
        <w:lastRenderedPageBreak/>
        <w:drawing>
          <wp:inline distT="0" distB="0" distL="0" distR="0" wp14:anchorId="4BAEB378" wp14:editId="0827E5E1">
            <wp:extent cx="5715000" cy="714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7143750"/>
                    </a:xfrm>
                    <a:prstGeom prst="rect">
                      <a:avLst/>
                    </a:prstGeom>
                  </pic:spPr>
                </pic:pic>
              </a:graphicData>
            </a:graphic>
          </wp:inline>
        </w:drawing>
      </w:r>
    </w:p>
    <w:p w14:paraId="16A8A4B2" w14:textId="179717D1" w:rsidR="00284E84" w:rsidRPr="001341B1" w:rsidRDefault="00284E84" w:rsidP="00284E84">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Figure 3.3. </w:t>
      </w:r>
      <w:r>
        <w:rPr>
          <w:rFonts w:ascii="Times New Roman" w:eastAsia="Times New Roman" w:hAnsi="Times New Roman" w:cs="Times New Roman"/>
          <w:sz w:val="18"/>
          <w:szCs w:val="18"/>
        </w:rPr>
        <w:t>End-to-end methodology framework: the five-stage research pipeline and the baseline-versus-enriched comparison that generates the evidence evaluated against H1, H2, and H3.</w:t>
      </w:r>
    </w:p>
    <w:p w14:paraId="5F379587" w14:textId="77777777" w:rsidR="00594B1D" w:rsidRPr="00594B1D" w:rsidRDefault="00594B1D" w:rsidP="00284E84">
      <w:pPr>
        <w:jc w:val="center"/>
        <w:rPr>
          <w:sz w:val="18"/>
          <w:szCs w:val="18"/>
        </w:rPr>
      </w:pPr>
    </w:p>
    <w:p w14:paraId="5EC300A7" w14:textId="18962BB8" w:rsidR="00284E84" w:rsidRDefault="00284E84" w:rsidP="00AA2008">
      <w:pPr>
        <w:spacing w:line="480" w:lineRule="auto"/>
        <w:ind w:left="360"/>
      </w:pPr>
      <w:r>
        <w:rPr>
          <w:rFonts w:ascii="Times New Roman" w:eastAsia="Times New Roman" w:hAnsi="Times New Roman" w:cs="Times New Roman"/>
        </w:rPr>
        <w:lastRenderedPageBreak/>
        <w:t xml:space="preserve">Figure 3.2 reads top to bottom. The five numbered stages form the constructive backbone of the study. The flow branches after Stage 5 into the baseline condition (no PII context) and the enriched condition (PII context applied); both conditions feed a single comparative performance-measurement step whose outputs constitute the evidence base for the three hypotheses. The dashed return path from validation to framework construction represents the iterative calibration of scoring weights described in Section 3.4. This figure shows that the contribution of the study is </w:t>
      </w:r>
      <w:proofErr w:type="gramStart"/>
      <w:r>
        <w:rPr>
          <w:rFonts w:ascii="Times New Roman" w:eastAsia="Times New Roman" w:hAnsi="Times New Roman" w:cs="Times New Roman"/>
        </w:rPr>
        <w:t>not</w:t>
      </w:r>
      <w:proofErr w:type="gramEnd"/>
      <w:r>
        <w:rPr>
          <w:rFonts w:ascii="Times New Roman" w:eastAsia="Times New Roman" w:hAnsi="Times New Roman" w:cs="Times New Roman"/>
        </w:rPr>
        <w:t xml:space="preserve"> any single stage but the controlled comparison the pipeline makes possible.</w:t>
      </w:r>
    </w:p>
    <w:p w14:paraId="79FCE526" w14:textId="63304B21" w:rsidR="00284E84" w:rsidRDefault="00761A7B" w:rsidP="00284E84">
      <w:pPr>
        <w:spacing w:before="120" w:after="60"/>
        <w:jc w:val="center"/>
      </w:pPr>
      <w:r>
        <w:rPr>
          <w:noProof/>
        </w:rPr>
        <w:drawing>
          <wp:inline distT="0" distB="0" distL="0" distR="0" wp14:anchorId="4EBF214E" wp14:editId="001ED5A4">
            <wp:extent cx="5943600" cy="3326130"/>
            <wp:effectExtent l="0" t="0" r="0" b="7620"/>
            <wp:docPr id="108278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82885" name="Picture 10827828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26130"/>
                    </a:xfrm>
                    <a:prstGeom prst="rect">
                      <a:avLst/>
                    </a:prstGeom>
                  </pic:spPr>
                </pic:pic>
              </a:graphicData>
            </a:graphic>
          </wp:inline>
        </w:drawing>
      </w:r>
    </w:p>
    <w:p w14:paraId="75EFE4E1" w14:textId="01BD1152" w:rsidR="00284E84" w:rsidRPr="005629A4" w:rsidRDefault="00284E84" w:rsidP="00284E84">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Figure 3.4. </w:t>
      </w:r>
      <w:r>
        <w:rPr>
          <w:rFonts w:ascii="Times New Roman" w:eastAsia="Times New Roman" w:hAnsi="Times New Roman" w:cs="Times New Roman"/>
          <w:sz w:val="18"/>
          <w:szCs w:val="18"/>
        </w:rPr>
        <w:t xml:space="preserve">Conceptual model of the PII Context Framework: </w:t>
      </w:r>
    </w:p>
    <w:p w14:paraId="7DEA0A2D" w14:textId="77777777" w:rsidR="00D05BD1" w:rsidRPr="00D05BD1" w:rsidRDefault="00D05BD1" w:rsidP="00284E84">
      <w:pPr>
        <w:jc w:val="center"/>
        <w:rPr>
          <w:sz w:val="18"/>
          <w:szCs w:val="18"/>
        </w:rPr>
      </w:pPr>
    </w:p>
    <w:p w14:paraId="0F2C722B" w14:textId="65E8FF2B" w:rsidR="00284E84" w:rsidRDefault="00284E84" w:rsidP="00AA2008">
      <w:pPr>
        <w:spacing w:line="480" w:lineRule="auto"/>
        <w:ind w:left="360"/>
        <w:rPr>
          <w:rFonts w:ascii="Times New Roman" w:eastAsia="Times New Roman" w:hAnsi="Times New Roman" w:cs="Times New Roman"/>
        </w:rPr>
      </w:pPr>
      <w:r>
        <w:rPr>
          <w:rFonts w:ascii="Times New Roman" w:eastAsia="Times New Roman" w:hAnsi="Times New Roman" w:cs="Times New Roman"/>
        </w:rPr>
        <w:t>Figure 3.4 specifies the framework’s internal logic. The base alert severity is scored on a 0–100 scale by the standard detection and anomaly rules, independent of any PII context, and is mapped to one of three base priority tiers by threshold: scores of 60 and above are classified as high and routed to the priority investigation queue; scores between 40 and 59 enter a monitored medium-priority queue; and scores below 40 are classified as low and deferred for batch review. The base score never reaches critical on its own. The PII Context Framework then operates as a bounded, weighted promotion layer implemented across the Logstash enrichment layer and Elasticsearch aggregation queries. Three contextual inputs—the PII exposure tier of the targeted asset (0–25 points, primary impact), its asset criticality (0–20 points, secondary impact), and the attack complexity of the correlated behavior (0–15 points, threat likelihood)—are each converted to a bounded contribution and added to the base score to form a composite risk score (composite = base + PII + asset + complexity, capped at 100). Because the two impact contributions (up to 45 points combined) outweigh the likelihood contribution (up to 15 points), a confirmed attack on an asset holding Tier 1 or Tier 2 PII can be promoted to critical priority, whereas an otherwise sophisticated attack on non-sensitive data is bounded at high, consistent with the risk formulation Risk = f(Impact, Likelihood) (NIST, 2012). The critical tier is gated: an alert reaches it only when its composite score falls in the high band (80 or above), the target is registered as holding Tier 1 or Tier 2 PII, and there is real evidence of an active attack—either observed PII exposure in the event or at least one correlated MITRE ATT&amp;CK technique. Ambient traffic on a PII-holding asset therefore does not qualify, so the critical tier is reserved for confirmed attacks targeting PII, isolating the alerts that warrant immediate incident response rather than queued investigation. This model embeds data-sensitivity context directly into alert prioritization, the integration that Chapter 2 identified as the missing link between data governance and security operations (Pendleton et al., 2016; NIST, 2012).</w:t>
      </w:r>
      <w:r>
        <w:rPr>
          <w:rFonts w:ascii="Times New Roman" w:eastAsia="Times New Roman" w:hAnsi="Times New Roman" w:cs="Times New Roman"/>
        </w:rPr>
      </w:r>
    </w:p>
    <w:p w14:paraId="3097EF85" w14:textId="77777777" w:rsidR="00594B1D" w:rsidRDefault="00594B1D" w:rsidP="00AA2008">
      <w:pPr>
        <w:spacing w:line="480" w:lineRule="auto"/>
        <w:ind w:left="360"/>
      </w:pPr>
    </w:p>
    <w:p w14:paraId="37249AC9" w14:textId="77777777" w:rsidR="00284E84" w:rsidRDefault="00284E84" w:rsidP="00284E84">
      <w:pPr>
        <w:pStyle w:val="Heading2"/>
        <w:spacing w:before="200" w:after="60"/>
      </w:pPr>
      <w:bookmarkStart w:id="68" w:name="_Toc235394993"/>
      <w:r>
        <w:rPr>
          <w:rFonts w:eastAsia="Times New Roman" w:cs="Times New Roman"/>
          <w:szCs w:val="24"/>
        </w:rPr>
        <w:t>3.6 Datasets</w:t>
      </w:r>
      <w:bookmarkEnd w:id="68"/>
    </w:p>
    <w:p w14:paraId="1252EF95" w14:textId="77777777" w:rsidR="00284E84" w:rsidRDefault="00284E84" w:rsidP="00AA2008">
      <w:pPr>
        <w:spacing w:line="480" w:lineRule="auto"/>
        <w:ind w:left="360"/>
      </w:pPr>
      <w:r>
        <w:rPr>
          <w:rFonts w:ascii="Times New Roman" w:eastAsia="Times New Roman" w:hAnsi="Times New Roman" w:cs="Times New Roman"/>
        </w:rPr>
        <w:t xml:space="preserve">This research uses synthetic datasets generated specifically for the study. Synthetic data is necessary for both ethical and methodological reasons: it eliminates any exposure of real customer </w:t>
      </w:r>
      <w:proofErr w:type="gramStart"/>
      <w:r>
        <w:rPr>
          <w:rFonts w:ascii="Times New Roman" w:eastAsia="Times New Roman" w:hAnsi="Times New Roman" w:cs="Times New Roman"/>
        </w:rPr>
        <w:t>PII</w:t>
      </w:r>
      <w:proofErr w:type="gramEnd"/>
      <w:r>
        <w:rPr>
          <w:rFonts w:ascii="Times New Roman" w:eastAsia="Times New Roman" w:hAnsi="Times New Roman" w:cs="Times New Roman"/>
        </w:rPr>
        <w:t xml:space="preserve"> and it permits deterministic, reproducible generation so that identical datasets can be processed under both experimental conditions (Sommer &amp; Paxson, 2010; Sharafaldin et al., 2018). Each dataset is generated with custom Python log-generation scripts seeded deterministically, so that the same seed produces an identical dataset across test runs and dataset variability is removed as a confounding variable (Ring et al., 2019).</w:t>
      </w:r>
    </w:p>
    <w:p w14:paraId="12BDE373" w14:textId="22C885AD" w:rsidR="00284E84" w:rsidRDefault="00284E84" w:rsidP="00AA2008">
      <w:pPr>
        <w:spacing w:line="480" w:lineRule="auto"/>
        <w:ind w:left="360"/>
      </w:pPr>
      <w:r>
        <w:rPr>
          <w:rFonts w:ascii="Times New Roman" w:eastAsia="Times New Roman" w:hAnsi="Times New Roman" w:cs="Times New Roman"/>
        </w:rPr>
        <w:lastRenderedPageBreak/>
        <w:t>Each dataset contains both malicious and benign events. Benign events simulate normal business activity, routine authentication, scheduled database backups, authorized file access, and ordinary web traffic, and create the alert-noise conditions characteristic of real SOC environments. The ratio of malicious to benign events is set up to approximate the signal-to-noise ratios documented in SOC research, in which true-positive alerts typically represent only a small fraction of total daily alert volume, reproducing the alert-fatigue conditions described in Chapter 2 (Crowley, 2024; Tariq et al., 2025). Every dataset is normalized once to ECS before ingestion so that both conditions operate on identically structured events (Brahmam, 2023).</w:t>
      </w:r>
    </w:p>
    <w:p w14:paraId="19CB6EB9" w14:textId="77777777" w:rsidR="00284E84" w:rsidRDefault="00284E84" w:rsidP="00AA2008">
      <w:pPr>
        <w:spacing w:line="480" w:lineRule="auto"/>
        <w:ind w:left="360"/>
      </w:pPr>
      <w:r>
        <w:rPr>
          <w:rFonts w:ascii="Times New Roman" w:eastAsia="Times New Roman" w:hAnsi="Times New Roman" w:cs="Times New Roman"/>
        </w:rPr>
        <w:t>Five scenarios were designed, each targeting a distinct PII category, employing a different initial-access vector, and producing a unique behavioral signature, so that the framework must demonstrate breadth of coverage rather than optimization for a single attack pattern (Strom et al., 2018; MITRE Corporation, 2026). Each scenario is specified in three layers: the attacker objective (the PII types targeted), the technique chain (mapped to MITRE ATT&amp;CK tactics and techniques), and the log signature (the event fields and sequences generated in the experimental environment).</w:t>
      </w:r>
    </w:p>
    <w:p w14:paraId="2C636EAC" w14:textId="73020B94" w:rsidR="00284E84" w:rsidRDefault="00B3760A" w:rsidP="00594B1D">
      <w:pPr>
        <w:pStyle w:val="Heading3"/>
        <w:numPr>
          <w:ilvl w:val="2"/>
          <w:numId w:val="34"/>
        </w:numPr>
        <w:tabs>
          <w:tab w:val="left" w:pos="450"/>
          <w:tab w:val="left" w:pos="1080"/>
        </w:tabs>
        <w:ind w:left="450" w:firstLine="0"/>
      </w:pPr>
      <w:bookmarkStart w:id="69" w:name="_Toc235394994"/>
      <w:r>
        <w:t>Primary Scenario: Remote Access Trojan with PII Exfiltration</w:t>
      </w:r>
      <w:bookmarkEnd w:id="69"/>
    </w:p>
    <w:p w14:paraId="7D99908D" w14:textId="77777777" w:rsidR="00284E84" w:rsidRDefault="00284E84" w:rsidP="002B0BF2">
      <w:pPr>
        <w:spacing w:line="480" w:lineRule="auto"/>
        <w:ind w:left="630"/>
      </w:pPr>
      <w:r>
        <w:rPr>
          <w:rFonts w:ascii="Times New Roman" w:eastAsia="Times New Roman" w:hAnsi="Times New Roman" w:cs="Times New Roman"/>
        </w:rPr>
        <w:t>The RAT scenario is the initial implemented scenario and the proof of concept for the full methodology. RAT campaigns are a well-documented and severe threat to financial institutions because they grant persistent, interactive control of a compromised host from which an operator can locate and exfiltrate sensitive data over an extended period (El-Metwaly et al., 2024). The scenario simulates a spear-phishing delivery of a RAT to a financial-institution employee with access to customer Social Security numbers and bank-</w:t>
      </w:r>
      <w:r>
        <w:rPr>
          <w:rFonts w:ascii="Times New Roman" w:eastAsia="Times New Roman" w:hAnsi="Times New Roman" w:cs="Times New Roman"/>
        </w:rPr>
        <w:lastRenderedPageBreak/>
        <w:t>account records. The technique chain begins with initial access via a malicious email attachment (T1566.001, Spearphishing Attachment), establishes persistence through a Windows registry Run key modification (T1547.001, Registry Run Keys), proceeds through PowerShell-based file and directory discovery targeting directories known to contain SSN and account data (T1083 and T1005), and culminates in staged exfiltration over a command-and-control channel (T1074.001 and T1041) (Applebaum et al., 2016; MITRE Corporation, 2026).</w:t>
      </w:r>
    </w:p>
    <w:p w14:paraId="074B69C9" w14:textId="369205B0" w:rsidR="00284E84" w:rsidRDefault="00284E84" w:rsidP="002B0BF2">
      <w:pPr>
        <w:spacing w:line="480" w:lineRule="auto"/>
        <w:ind w:left="630"/>
      </w:pPr>
      <w:r>
        <w:rPr>
          <w:rFonts w:ascii="Times New Roman" w:eastAsia="Times New Roman" w:hAnsi="Times New Roman" w:cs="Times New Roman"/>
        </w:rPr>
        <w:t xml:space="preserve">The synthetic log data for the RAT scenario simulates 72 hours of attacker activity following initial access and includes endpoint telemetry, network-flow records, and process-execution events at volumes sufficient to embed the malicious sequence within realistic noise. Without PII context, the command-and-control beaconing and registry-persistence events are expected to generate only low-to-medium-severity alerts that would be triaged as anomalous but not necessarily high priority (Crowley, 2024). With PII context applied, the framework is expected to confirm that the correlated activity constitutes an active attack against assets tagged as containing Tier 1 PII, promoting the affected alerts from their low-to-medium base priority to critical (Hubbard &amp; Seiersen, 2023). Because the RAT scenario exercises every stage of the pipeline, its successful execution validates the methodology before it </w:t>
      </w:r>
      <w:proofErr w:type="gramStart"/>
      <w:r>
        <w:rPr>
          <w:rFonts w:ascii="Times New Roman" w:eastAsia="Times New Roman" w:hAnsi="Times New Roman" w:cs="Times New Roman"/>
        </w:rPr>
        <w:t>is extended</w:t>
      </w:r>
      <w:proofErr w:type="gramEnd"/>
      <w:r>
        <w:rPr>
          <w:rFonts w:ascii="Times New Roman" w:eastAsia="Times New Roman" w:hAnsi="Times New Roman" w:cs="Times New Roman"/>
        </w:rPr>
        <w:t xml:space="preserve"> to the remaining four scenarios.</w:t>
      </w:r>
    </w:p>
    <w:p w14:paraId="73260188" w14:textId="4F8BEB61" w:rsidR="00284E84" w:rsidRDefault="00B3760A" w:rsidP="002B0BF2">
      <w:pPr>
        <w:pStyle w:val="Heading3"/>
        <w:numPr>
          <w:ilvl w:val="2"/>
          <w:numId w:val="34"/>
        </w:numPr>
        <w:tabs>
          <w:tab w:val="left" w:pos="630"/>
          <w:tab w:val="left" w:pos="1080"/>
        </w:tabs>
        <w:ind w:left="450" w:firstLine="0"/>
      </w:pPr>
      <w:bookmarkStart w:id="70" w:name="_Toc235394995"/>
      <w:r>
        <w:t>Remaining Scenarios</w:t>
      </w:r>
      <w:bookmarkEnd w:id="70"/>
      <w:r>
        <w:t xml:space="preserve"> </w:t>
      </w:r>
    </w:p>
    <w:p w14:paraId="1415C37B" w14:textId="77777777" w:rsidR="00284E84" w:rsidRDefault="00284E84" w:rsidP="002B0BF2">
      <w:pPr>
        <w:spacing w:line="480" w:lineRule="auto"/>
        <w:ind w:left="630"/>
      </w:pPr>
      <w:r>
        <w:rPr>
          <w:rFonts w:ascii="Times New Roman" w:eastAsia="Times New Roman" w:hAnsi="Times New Roman" w:cs="Times New Roman"/>
        </w:rPr>
        <w:t xml:space="preserve">Scenario 2 simulates a credential-harvesting campaign and online-banking account takeover, chaining phishing delivery of a credential-harvesting page (T1566.002), anomalous authentication from new geographic locations (T1078), and session-token theft (T1539 and T1185). It tests whether the framework correctly elevates authentication </w:t>
      </w:r>
      <w:r>
        <w:rPr>
          <w:rFonts w:ascii="Times New Roman" w:eastAsia="Times New Roman" w:hAnsi="Times New Roman" w:cs="Times New Roman"/>
        </w:rPr>
        <w:lastRenderedPageBreak/>
        <w:t>anomalies when they are associated with the authentication gateway for accounts containing high-sensitivity banking PII (Pendleton et al., 2016; NIST, 2012).</w:t>
      </w:r>
    </w:p>
    <w:p w14:paraId="21F90FF1" w14:textId="77777777" w:rsidR="00284E84" w:rsidRDefault="00284E84" w:rsidP="002B0BF2">
      <w:pPr>
        <w:spacing w:line="480" w:lineRule="auto"/>
        <w:ind w:left="630"/>
      </w:pPr>
      <w:r>
        <w:rPr>
          <w:rFonts w:ascii="Times New Roman" w:eastAsia="Times New Roman" w:hAnsi="Times New Roman" w:cs="Times New Roman"/>
        </w:rPr>
        <w:t>Scenario 3 simulates a privileged-insider threat in which a database administrator conducts bulk exports of full customer records. It chains legitimate-credential abuse (T1078.002), unauthorized bulk data collection (T1530, adapted to an on-premises database context), and exfiltration via an external cloud-synchronization service (T1048 and T1567). This scenario is the most challenging for standard detection because the actor uses legitimate credentials within the scope of an administrative role; the framework is expected to differentiate authorized bulk access from unauthorized bulk export by correlating event volume and frequency against the PII sensitivity tier of the targeted tables (Greitzer &amp; Ferryman, 2013; McCallister et al., 2010).</w:t>
      </w:r>
    </w:p>
    <w:p w14:paraId="6AE54440" w14:textId="77777777" w:rsidR="00284E84" w:rsidRDefault="00284E84" w:rsidP="002B0BF2">
      <w:pPr>
        <w:spacing w:line="480" w:lineRule="auto"/>
        <w:ind w:left="630"/>
      </w:pPr>
      <w:r>
        <w:rPr>
          <w:rFonts w:ascii="Times New Roman" w:eastAsia="Times New Roman" w:hAnsi="Times New Roman" w:cs="Times New Roman"/>
        </w:rPr>
        <w:t>Scenario 4 simulates an external attacker exploiting a SQL injection vulnerability (T1190) in a web-facing financial application, deploying a web shell for persistence (T1505), and staging and exfiltrating credit-card records (T1074 and T1041). It tests whether the framework elevates application-layer indicators that appear in isolation as routine error logs when those indicators are associated with assets hosting cardholder data subject to PCI DSS requirements (Payment Card Industry Security Standards Council [PCI SSC], 2022).</w:t>
      </w:r>
    </w:p>
    <w:p w14:paraId="787831D3" w14:textId="77777777" w:rsidR="00284E84" w:rsidRDefault="00284E84" w:rsidP="002B0BF2">
      <w:pPr>
        <w:spacing w:line="480" w:lineRule="auto"/>
        <w:ind w:left="630"/>
        <w:rPr>
          <w:rFonts w:ascii="Times New Roman" w:eastAsia="Times New Roman" w:hAnsi="Times New Roman" w:cs="Times New Roman"/>
        </w:rPr>
      </w:pPr>
      <w:r>
        <w:rPr>
          <w:rFonts w:ascii="Times New Roman" w:eastAsia="Times New Roman" w:hAnsi="Times New Roman" w:cs="Times New Roman"/>
        </w:rPr>
        <w:t xml:space="preserve">Scenario 5 simulates a Ransomware-as-a-Service double-extortion operation with pre-encryption PII exfiltration, the most complex and multi-stage campaign of the five. It spans initial access via an exposed remote service (T1133), lateral tool transfer (T1570), bulk staging of HR and customer PII (T1560 and T1537), pre-encryption exfiltration (TA0010), and finally ransomware deployment (T1486) (Applebaum et al., 2016; MITRE </w:t>
      </w:r>
      <w:r>
        <w:rPr>
          <w:rFonts w:ascii="Times New Roman" w:eastAsia="Times New Roman" w:hAnsi="Times New Roman" w:cs="Times New Roman"/>
        </w:rPr>
        <w:lastRenderedPageBreak/>
        <w:t>Corporation, 2026). Its extended timeline approximates real-world ransomware dwell time and tests whether the framework can surface early-stage behavioral indicators as elevated-priority events before the bulk-exfiltration phase begins (Sloan, 2025). Dataset construction for this scenario draws on established methodologies for realistic intrusion simulation (Sharafaldin et al., 2018).</w:t>
      </w:r>
    </w:p>
    <w:p w14:paraId="62DCE69B" w14:textId="77777777" w:rsidR="00DA64C3" w:rsidRDefault="00DA64C3" w:rsidP="002B0BF2">
      <w:pPr>
        <w:spacing w:line="480" w:lineRule="auto"/>
        <w:ind w:left="630"/>
      </w:pPr>
    </w:p>
    <w:p w14:paraId="361C5F1E" w14:textId="77777777" w:rsidR="00284E84" w:rsidRDefault="00284E84" w:rsidP="00284E84">
      <w:pPr>
        <w:pStyle w:val="Heading2"/>
        <w:spacing w:before="200" w:after="60"/>
      </w:pPr>
      <w:bookmarkStart w:id="71" w:name="_Toc235394996"/>
      <w:r>
        <w:rPr>
          <w:rFonts w:eastAsia="Times New Roman" w:cs="Times New Roman"/>
          <w:szCs w:val="24"/>
        </w:rPr>
        <w:t>3.7 Techniques and Tools</w:t>
      </w:r>
      <w:bookmarkEnd w:id="71"/>
    </w:p>
    <w:p w14:paraId="7979D84A" w14:textId="77777777" w:rsidR="00284E84" w:rsidRDefault="00284E84" w:rsidP="002B0BF2">
      <w:pPr>
        <w:spacing w:line="480" w:lineRule="auto"/>
        <w:ind w:left="360"/>
      </w:pPr>
      <w:r>
        <w:rPr>
          <w:rFonts w:ascii="Times New Roman" w:eastAsia="Times New Roman" w:hAnsi="Times New Roman" w:cs="Times New Roman"/>
        </w:rPr>
        <w:t>The experimental environment is constructed from open-source components that are architecturally analogous to enterprise SIEM platforms while remaining fully transparent and reproducible. This section documents the platform, the data-normalization standard, and the PII Context Framework components that constitute the study’s technical apparatus.</w:t>
      </w:r>
    </w:p>
    <w:p w14:paraId="526B7948" w14:textId="77777777" w:rsidR="00284E84" w:rsidRDefault="002B0BF2" w:rsidP="002B0BF2">
      <w:pPr>
        <w:pStyle w:val="Heading3"/>
        <w:numPr>
          <w:ilvl w:val="0"/>
          <w:numId w:val="0"/>
        </w:numPr>
        <w:tabs>
          <w:tab w:val="left" w:pos="630"/>
          <w:tab w:val="left" w:pos="720"/>
        </w:tabs>
        <w:ind w:left="450"/>
      </w:pPr>
      <w:bookmarkStart w:id="72" w:name="_Toc235394997"/>
      <w:r>
        <w:t>3.7.1 Platform and Containerization</w:t>
      </w:r>
      <w:bookmarkEnd w:id="72"/>
    </w:p>
    <w:p w14:paraId="0018964D" w14:textId="77777777" w:rsidR="00284E84" w:rsidRDefault="00284E84" w:rsidP="002B0BF2">
      <w:pPr>
        <w:spacing w:line="480" w:lineRule="auto"/>
        <w:ind w:left="630"/>
        <w:rPr>
          <w:rFonts w:ascii="Times New Roman" w:eastAsia="Times New Roman" w:hAnsi="Times New Roman" w:cs="Times New Roman"/>
        </w:rPr>
      </w:pPr>
      <w:r>
        <w:rPr>
          <w:rFonts w:ascii="Times New Roman" w:eastAsia="Times New Roman" w:hAnsi="Times New Roman" w:cs="Times New Roman"/>
        </w:rPr>
        <w:t xml:space="preserve">The environment is built on the Elasticsearch, Logstash, and Kibana (ELK) stack deployed in Docker containers on an Ubuntu Linux host (Merkel, 2014). ELK was selected for three reasons. First, it is architecturally analogous to enterprise SIEM platforms such as Splunk, Microsoft Sentinel, and IBM QRadar in supporting centralized ingestion, schema-based normalization, correlation-rule development, and dashboard visualization (Detken et al., 2015; Miloslavskaya, 2018). Second, its open-source nature permits full documentation and sharing of every configuration file, pipeline definition, and detection rule without licensing restrictions. Third, its native support for the Elastic Common Schema provides a standardized data model consistent with real-world SIEM ingestion (Elastic N.V., 2026a). Containerization with Docker provides environmental isolation, reproducibility, and portability; each component runs in its own container with </w:t>
      </w:r>
      <w:r>
        <w:rPr>
          <w:rFonts w:ascii="Times New Roman" w:eastAsia="Times New Roman" w:hAnsi="Times New Roman" w:cs="Times New Roman"/>
        </w:rPr>
        <w:lastRenderedPageBreak/>
        <w:t>dedicated resources, and a single-node configuration is used throughout, reflecting the experimental scope and avoiding distributed-cluster complexity irrelevant to the research questions (Pahl &amp; Jamshidi, 2016).</w:t>
      </w:r>
    </w:p>
    <w:p w14:paraId="4A4AC4F7" w14:textId="3B71DDD1" w:rsidR="00284E84" w:rsidRDefault="00284E84" w:rsidP="00DA64C3">
      <w:pPr>
        <w:spacing w:line="480" w:lineRule="auto"/>
        <w:ind w:left="630"/>
        <w:rPr>
          <w:rFonts w:ascii="Times New Roman" w:eastAsia="Times New Roman" w:hAnsi="Times New Roman" w:cs="Times New Roman"/>
        </w:rPr>
      </w:pPr>
      <w:r>
        <w:rPr>
          <w:rFonts w:ascii="Times New Roman" w:eastAsia="Times New Roman" w:hAnsi="Times New Roman" w:cs="Times New Roman"/>
        </w:rPr>
        <w:t xml:space="preserve">Within the stack, Elasticsearch functions as the indexed data store and query engine for normalized events, enriched alert records, and computed risk scores (Elastic N.V., 2026a). Logstash serves as the ingestion and transformation pipeline, parsing, normalizing, and enriching events before indexing; </w:t>
      </w:r>
      <w:proofErr w:type="gramStart"/>
      <w:r>
        <w:rPr>
          <w:rFonts w:ascii="Times New Roman" w:eastAsia="Times New Roman" w:hAnsi="Times New Roman" w:cs="Times New Roman"/>
        </w:rPr>
        <w:t>its</w:t>
      </w:r>
      <w:proofErr w:type="gramEnd"/>
      <w:r>
        <w:rPr>
          <w:rFonts w:ascii="Times New Roman" w:eastAsia="Times New Roman" w:hAnsi="Times New Roman" w:cs="Times New Roman"/>
        </w:rPr>
        <w:t xml:space="preserve"> translate filter plugin provides the dictionary-based enrichment central to the PII context step in Stage 4 (Elastic N.V., 2026b; Turnbull, 2020). Kibana provides the visualization, dashboarding, and alerting interface, including the risk-heatmap dashboards and the threshold-based alerting that replicate the SIEM alerting workflow analysts experience in production (Elastic N.V., 2026c). Figure 3.5 illustrates the environment used that closely simulates an actual enterprise SOC environment that leverages the ELK stack. </w:t>
      </w:r>
    </w:p>
    <w:p w14:paraId="08591BAA" w14:textId="0A587BD6" w:rsidR="00D05BD1" w:rsidRDefault="00D05BD1" w:rsidP="00D05BD1">
      <w:pPr>
        <w:spacing w:line="480" w:lineRule="auto"/>
      </w:pPr>
      <w:r>
        <w:rPr>
          <w:noProof/>
        </w:rPr>
        <w:drawing>
          <wp:inline distT="0" distB="0" distL="0" distR="0" wp14:anchorId="7F93745D" wp14:editId="4553D2E2">
            <wp:extent cx="5943600" cy="2788285"/>
            <wp:effectExtent l="0" t="0" r="0" b="0"/>
            <wp:docPr id="2972126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12644" name="Picture 2972126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788285"/>
                    </a:xfrm>
                    <a:prstGeom prst="rect">
                      <a:avLst/>
                    </a:prstGeom>
                  </pic:spPr>
                </pic:pic>
              </a:graphicData>
            </a:graphic>
          </wp:inline>
        </w:drawing>
      </w:r>
    </w:p>
    <w:p w14:paraId="16955A09" w14:textId="232F6D32" w:rsidR="00D05BD1" w:rsidRPr="005629A4" w:rsidRDefault="00D05BD1" w:rsidP="00D05BD1">
      <w:pPr>
        <w:jc w:val="center"/>
        <w:rPr>
          <w:sz w:val="18"/>
          <w:szCs w:val="18"/>
        </w:rPr>
      </w:pPr>
      <w:r>
        <w:rPr>
          <w:rFonts w:ascii="Times New Roman" w:eastAsia="Times New Roman" w:hAnsi="Times New Roman" w:cs="Times New Roman"/>
          <w:b/>
          <w:bCs/>
          <w:sz w:val="18"/>
          <w:szCs w:val="18"/>
        </w:rPr>
        <w:t xml:space="preserve">Figure 3.5. </w:t>
      </w:r>
      <w:r>
        <w:rPr>
          <w:rFonts w:ascii="Times New Roman" w:eastAsia="Times New Roman" w:hAnsi="Times New Roman" w:cs="Times New Roman"/>
          <w:sz w:val="18"/>
          <w:szCs w:val="18"/>
        </w:rPr>
        <w:t>The SIEM Environment that Simulates a Typical SOC Environment</w:t>
      </w:r>
    </w:p>
    <w:p w14:paraId="6A4BC1BC" w14:textId="77777777" w:rsidR="00D05BD1" w:rsidRDefault="00D05BD1" w:rsidP="00D05BD1">
      <w:pPr>
        <w:spacing w:line="480" w:lineRule="auto"/>
      </w:pPr>
    </w:p>
    <w:p w14:paraId="31730C07" w14:textId="77777777" w:rsidR="00284E84" w:rsidRDefault="002B0BF2" w:rsidP="002B0BF2">
      <w:pPr>
        <w:pStyle w:val="Heading3"/>
        <w:numPr>
          <w:ilvl w:val="0"/>
          <w:numId w:val="0"/>
        </w:numPr>
        <w:tabs>
          <w:tab w:val="left" w:pos="450"/>
          <w:tab w:val="left" w:pos="630"/>
        </w:tabs>
        <w:ind w:left="450"/>
      </w:pPr>
      <w:bookmarkStart w:id="73" w:name="_Toc235394998"/>
      <w:r>
        <w:t>3.7.2 Data Normalization: Elastic Common Schema</w:t>
      </w:r>
      <w:bookmarkEnd w:id="73"/>
    </w:p>
    <w:p w14:paraId="25A136EB" w14:textId="1AF10E73" w:rsidR="00284E84" w:rsidRDefault="00284E84" w:rsidP="002B0BF2">
      <w:pPr>
        <w:spacing w:line="480" w:lineRule="auto"/>
        <w:ind w:left="630"/>
        <w:rPr>
          <w:rFonts w:ascii="Times New Roman" w:eastAsia="Times New Roman" w:hAnsi="Times New Roman" w:cs="Times New Roman"/>
        </w:rPr>
      </w:pPr>
      <w:r>
        <w:rPr>
          <w:rFonts w:ascii="Times New Roman" w:eastAsia="Times New Roman" w:hAnsi="Times New Roman" w:cs="Times New Roman"/>
        </w:rPr>
        <w:t xml:space="preserve">The Elastic Common Schema (ECS) is adopted as the normalization standard because it mirrors the normalization requirements of enterprise SIEM deployments, most of which implement equivalent field standardization (for example, Microsoft Sentinel’s ASIM and Splunk’s CIM) to enable cross-source correlation (Elastic N.V., 2026a; Brahmam, 2023). Normalization is performed at the Logstash layer, mapping each event type, endpoint telemetry, network flow, authentication, database access, and file-system activity, to its corresponding ECS fields. To support PII enrichment, the ECS implementation is extended with a custom </w:t>
      </w:r>
      <w:proofErr w:type="gramStart"/>
      <w:r>
        <w:rPr>
          <w:rFonts w:ascii="Times New Roman" w:eastAsia="Times New Roman" w:hAnsi="Times New Roman" w:cs="Times New Roman"/>
        </w:rPr>
        <w:t>pii.context</w:t>
      </w:r>
      <w:proofErr w:type="gramEnd"/>
      <w:r>
        <w:rPr>
          <w:rFonts w:ascii="Times New Roman" w:eastAsia="Times New Roman" w:hAnsi="Times New Roman" w:cs="Times New Roman"/>
        </w:rPr>
        <w:t xml:space="preserve"> namespace that does not conflict with existing ECS definitions; it carries fields for asset criticality, PII exposure tier, data classification, the base risk score and priority tier, and the promotion status, populated by the Stage 4 enrichment pipeline (Elastic N.V., 2026b).</w:t>
      </w:r>
    </w:p>
    <w:p w14:paraId="34C4AF10" w14:textId="77777777" w:rsidR="00284E84" w:rsidRDefault="00284E84" w:rsidP="003440AF">
      <w:pPr>
        <w:pStyle w:val="Heading3"/>
        <w:numPr>
          <w:ilvl w:val="0"/>
          <w:numId w:val="0"/>
        </w:numPr>
        <w:tabs>
          <w:tab w:val="left" w:pos="450"/>
          <w:tab w:val="left" w:pos="630"/>
        </w:tabs>
        <w:ind w:left="450"/>
      </w:pPr>
      <w:bookmarkStart w:id="74" w:name="_Toc235394999"/>
      <w:r>
        <w:t>3.7.3 Aggregation, Correlation, and Visualization Logic</w:t>
      </w:r>
      <w:bookmarkEnd w:id="74"/>
    </w:p>
    <w:p w14:paraId="787CBC8B" w14:textId="2CC41FA1" w:rsidR="00284E84" w:rsidRDefault="00284E84" w:rsidP="003440AF">
      <w:pPr>
        <w:spacing w:line="480" w:lineRule="auto"/>
        <w:ind w:left="630"/>
        <w:jc w:val="both"/>
        <w:rPr>
          <w:rFonts w:ascii="Times New Roman" w:eastAsia="Times New Roman" w:hAnsi="Times New Roman" w:cs="Times New Roman"/>
        </w:rPr>
      </w:pPr>
      <w:r>
        <w:rPr>
          <w:rFonts w:ascii="Times New Roman" w:eastAsia="Times New Roman" w:hAnsi="Times New Roman" w:cs="Times New Roman"/>
        </w:rPr>
        <w:t xml:space="preserve">Effective PII-aware triage requires that individual events be aggregated into behavioral sessions before risk scoring is applied, because a single event carries limited signal whereas a correlated sequence on a sensitive asset constitutes a materially different risk profile (Pendleton et al., 2016; Hubbard &amp; Seiersen, 2023). The Logstash pipeline therefore computes and attaches synthetic correlation identifiers that group related events across time windows, enabling Elasticsearch aggregation queries without a stateful event-processing architecture (Elastic N.V., 2026a). Enrichment lookups are implemented with the translate filter plugin and in-memory dictionaries: a threat-intelligence dictionary mapping malicious address ranges to classification labels, and an asset-sensitivity dictionary mapping host </w:t>
      </w:r>
      <w:r>
        <w:rPr>
          <w:rFonts w:ascii="Times New Roman" w:eastAsia="Times New Roman" w:hAnsi="Times New Roman" w:cs="Times New Roman"/>
        </w:rPr>
        <w:lastRenderedPageBreak/>
        <w:t>identifiers to PII context metadata (Turnbull, 2020). A Kibana risk-heatmap dashboard provides the monitoring interface for both conditions, presenting risk concentration across assets over time, alert-volume histograms, PII-exposure distribution, and a triage queue sortable by promoted priority and base risk score (Elastic N.V., 2026c; Jangampet et al., 2024).</w:t>
      </w:r>
      <w:r>
        <w:t xml:space="preserve"> </w:t>
      </w:r>
      <w:r>
        <w:rPr>
          <w:rFonts w:ascii="Times New Roman" w:eastAsia="Times New Roman" w:hAnsi="Times New Roman" w:cs="Times New Roman"/>
        </w:rPr>
        <w:t>The components developed in this stage are highlighted in Table 3.1 (Elastic N.V., 2026c; Jangampet et al., 2024).</w:t>
      </w:r>
    </w:p>
    <w:p w14:paraId="645A287D" w14:textId="77777777" w:rsidR="00284E84" w:rsidRDefault="00284E84" w:rsidP="00284E84">
      <w:pPr>
        <w:spacing w:line="480" w:lineRule="auto"/>
        <w:ind w:left="360"/>
        <w:jc w:val="both"/>
      </w:pPr>
      <w:r>
        <w:rPr>
          <w:noProof/>
        </w:rPr>
        <w:drawing>
          <wp:inline distT="0" distB="0" distL="0" distR="0" wp14:anchorId="2637BB65" wp14:editId="431CCEAF">
            <wp:extent cx="5943600" cy="2534920"/>
            <wp:effectExtent l="0" t="0" r="0" b="0"/>
            <wp:docPr id="409629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29295" name="Picture 40962929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534920"/>
                    </a:xfrm>
                    <a:prstGeom prst="rect">
                      <a:avLst/>
                    </a:prstGeom>
                  </pic:spPr>
                </pic:pic>
              </a:graphicData>
            </a:graphic>
          </wp:inline>
        </w:drawing>
      </w:r>
    </w:p>
    <w:p w14:paraId="71D03752" w14:textId="630E41C9" w:rsidR="00284E84" w:rsidRDefault="00A71871" w:rsidP="00284E84">
      <w:pPr>
        <w:spacing w:line="480" w:lineRule="auto"/>
        <w:ind w:left="360"/>
        <w:jc w:val="center"/>
        <w:rPr>
          <w:rFonts w:ascii="Times New Roman" w:hAnsi="Times New Roman" w:cs="Times New Roman"/>
          <w:i/>
          <w:sz w:val="18"/>
          <w:szCs w:val="18"/>
        </w:rPr>
      </w:pPr>
      <w:r>
        <w:rPr>
          <w:rFonts w:ascii="Times New Roman" w:hAnsi="Times New Roman" w:cs="Times New Roman"/>
          <w:b/>
          <w:i/>
          <w:sz w:val="18"/>
          <w:szCs w:val="18"/>
        </w:rPr>
        <w:t xml:space="preserve">Table 3.1 </w:t>
      </w:r>
      <w:r>
        <w:rPr>
          <w:rFonts w:ascii="Times New Roman" w:hAnsi="Times New Roman" w:cs="Times New Roman"/>
          <w:i/>
          <w:sz w:val="18"/>
          <w:szCs w:val="18"/>
        </w:rPr>
        <w:t>Detection Pipeline Configuration for Correlation, Enrichment and Alerting</w:t>
      </w:r>
    </w:p>
    <w:p w14:paraId="524BB639" w14:textId="77777777" w:rsidR="00284E84" w:rsidRDefault="00284E84" w:rsidP="00284E84">
      <w:pPr>
        <w:spacing w:line="480" w:lineRule="auto"/>
      </w:pPr>
    </w:p>
    <w:p w14:paraId="3D9A9428" w14:textId="77777777" w:rsidR="00284E84" w:rsidRDefault="00284E84" w:rsidP="003440AF">
      <w:pPr>
        <w:pStyle w:val="Heading3"/>
        <w:numPr>
          <w:ilvl w:val="0"/>
          <w:numId w:val="0"/>
        </w:numPr>
        <w:tabs>
          <w:tab w:val="left" w:pos="450"/>
          <w:tab w:val="left" w:pos="630"/>
        </w:tabs>
        <w:ind w:left="450"/>
      </w:pPr>
      <w:bookmarkStart w:id="75" w:name="_Toc235395000"/>
      <w:r>
        <w:t>3.7.4 The PII Context Framework</w:t>
      </w:r>
      <w:bookmarkEnd w:id="75"/>
    </w:p>
    <w:p w14:paraId="6E328823" w14:textId="18F613BA" w:rsidR="00284E84" w:rsidRDefault="00284E84" w:rsidP="001646E3">
      <w:pPr>
        <w:spacing w:line="480" w:lineRule="auto"/>
        <w:ind w:left="630"/>
      </w:pPr>
      <w:r>
        <w:rPr>
          <w:rFonts w:ascii="Times New Roman" w:eastAsia="Times New Roman" w:hAnsi="Times New Roman" w:cs="Times New Roman"/>
        </w:rPr>
        <w:t xml:space="preserve">The PII Context Framework is the core artifact of the study. It comprises four interconnected components: an Asset Inventory Registry mapping each asset to its role, the PII categories it stores, its sensitivity tier, applicable regulatory requirements, and a base criticality score; a PII Classification Taxonomy; a Risk Scoring Engine; and an Enrichment Pipeline implemented within Logstash (Hubbard &amp; Seiersen, 2023; Elastic </w:t>
      </w:r>
      <w:r>
        <w:rPr>
          <w:rFonts w:ascii="Times New Roman" w:eastAsia="Times New Roman" w:hAnsi="Times New Roman" w:cs="Times New Roman"/>
        </w:rPr>
        <w:lastRenderedPageBreak/>
        <w:t>N.V., 2026b). The taxonomy and the scoring inputs are summarized below and depicted in Table 3.2.</w:t>
      </w:r>
    </w:p>
    <w:p w14:paraId="239D9D1B" w14:textId="7AFE32C2" w:rsidR="00284E84" w:rsidRDefault="00284E84" w:rsidP="001646E3">
      <w:pPr>
        <w:spacing w:line="480" w:lineRule="auto"/>
        <w:ind w:left="630"/>
      </w:pPr>
      <w:r>
        <w:rPr>
          <w:rFonts w:ascii="Times New Roman" w:eastAsia="Times New Roman" w:hAnsi="Times New Roman" w:cs="Times New Roman"/>
        </w:rPr>
        <w:t>The PII Classification Taxonomy defines four sensitivity tiers, synthesized from regulatory requirements, breach case-study analysis, and existing classification guidance (McCallister et al., 2010). Tier 1 (Critical PII) covers data types that individually enable identity fraud or financial account takeover, Social Security numbers, full card numbers, and bank-account and routing combinations, subject to the highest regulatory protection under GLBA (Federal Trade Commission, n.d.) and PCI DSS (PCI SSC, 2022) and associated with the highest per-record breach cost (IBM Security &amp; Ponemon Institute, 2025). Tier 2 (High-Sensitivity PII) covers data that amplifies attacker targeting, such as names combined with dates of birth and account credentials (Henry, 2025). Tier 3 (Moderate-Sensitivity PII) covers data commonly used in social engineering, such as email addresses and phone numbers. Tier 4 (Low-Sensitivity PII) covers publicly available or minimally sensitive data. Each tier feeds the promotion criteria, with Tier 1 and Tier 2 associations serving as the primary condition for promoting an alert to critical, and assets bearing no PII association never qualifying for promotion.</w:t>
      </w:r>
    </w:p>
    <w:p w14:paraId="70A0C7FB" w14:textId="04EE436D" w:rsidR="00284E84" w:rsidRDefault="00284E84" w:rsidP="001646E3">
      <w:pPr>
        <w:spacing w:line="480" w:lineRule="auto"/>
        <w:ind w:left="630"/>
      </w:pPr>
      <w:r>
        <w:rPr>
          <w:rFonts w:ascii="Times New Roman" w:eastAsia="Times New Roman" w:hAnsi="Times New Roman" w:cs="Times New Roman"/>
        </w:rPr>
        <w:t xml:space="preserve">Asset criticality scoring is a secondary promotion criterion reflecting the operational importance of the targeted asset beyond its PII content, assigned from criteria including the asset’s role in core business processes, the number of dependent downstream systems, its regulatory classification, its exposure surface, and its vulnerability status (Hubbard &amp; Seiersen, 2023; NIST, 2012). Attack complexity scoring captures behavioral sophistication and is assigned dynamically from the number of distinct MITRE ATT&amp;CK techniques observed across correlated events, with higher scores for multi-stage campaigns exhibiting </w:t>
      </w:r>
      <w:r>
        <w:rPr>
          <w:rFonts w:ascii="Times New Roman" w:eastAsia="Times New Roman" w:hAnsi="Times New Roman" w:cs="Times New Roman"/>
        </w:rPr>
        <w:lastRenderedPageBreak/>
        <w:t>lateral movement, extended dwell time, or advanced evasion (Strom et al., 2018; Applebaum et al., 2016; Sloan, 2025).</w:t>
      </w:r>
    </w:p>
    <w:p w14:paraId="6324EAB5" w14:textId="0844C186" w:rsidR="00284E84" w:rsidRDefault="00284E84" w:rsidP="001646E3">
      <w:pPr>
        <w:spacing w:line="480" w:lineRule="auto"/>
        <w:ind w:left="630"/>
        <w:rPr>
          <w:rFonts w:ascii="Times New Roman" w:eastAsia="Times New Roman" w:hAnsi="Times New Roman" w:cs="Times New Roman"/>
        </w:rPr>
      </w:pPr>
      <w:r>
        <w:rPr>
          <w:rFonts w:ascii="Times New Roman" w:eastAsia="Times New Roman" w:hAnsi="Times New Roman" w:cs="Times New Roman"/>
        </w:rPr>
        <w:t>The base alert severity is retained as a 0–100 score produced by the standard detection and anomaly rules and mapped to low (below 40), medium (40–59), or high (60 and above) priority; it never reaches critical on its own. The Risk Scoring Engine then applies the PII context as a bounded, weighted promotion layer rather than a replacement for the base score: the PII exposure tier, asset criticality, and attack complexity are each converted to an individually stored, capped contribution (up to 25, 20, and 15 points respectively) and added to the base severity to produce a composite risk score, so that every escalation carries a decomposed, auditable rationale that sums exactly to the composite. An alert is promoted to critical priority when its composite score reaches the high band (80 or above) and it reflects a confirmed, targeted threat to regulated PII, defined as an asset registered as holding Tier 1 or Tier 2 PII together with real evidence of an active attack—either observed PII exposure in the event or at least one correlated MITRE ATT&amp;CK technique; asset criticality contributes additional weight for borderline cases (Pendleton et al., 2016; NIST, 2012). Because the impact contributions dominate the likelihood contribution, attack sophistication alone cannot promote an alert directed at non-sensitive data. The contribution weights, base-tier thresholds, and promotion criteria are calibrated iteratively during Stage 3 using a held-out validation subset, consistent with the formative-evaluation guidance of FEDS, before the summative Stage 5 evaluation (Venable et al., 2016).</w:t>
      </w:r>
    </w:p>
    <w:p w14:paraId="6F494778" w14:textId="77777777" w:rsidR="001646E3" w:rsidRDefault="001646E3" w:rsidP="001646E3">
      <w:pPr>
        <w:spacing w:line="480" w:lineRule="auto"/>
        <w:ind w:left="630"/>
      </w:pPr>
    </w:p>
    <w:p w14:paraId="1A4D0BC8" w14:textId="77777777" w:rsidR="00284E84" w:rsidRDefault="00284E84" w:rsidP="00284E84">
      <w:pPr>
        <w:pStyle w:val="Heading2"/>
        <w:spacing w:before="200" w:after="60"/>
      </w:pPr>
      <w:bookmarkStart w:id="76" w:name="_Toc235395001"/>
      <w:r>
        <w:rPr>
          <w:rFonts w:eastAsia="Times New Roman" w:cs="Times New Roman"/>
          <w:szCs w:val="24"/>
        </w:rPr>
        <w:t>3.8 Testing Procedures</w:t>
      </w:r>
      <w:bookmarkEnd w:id="76"/>
    </w:p>
    <w:p w14:paraId="18C9ABF5" w14:textId="77777777" w:rsidR="00284E84" w:rsidRDefault="00284E84" w:rsidP="00557441">
      <w:pPr>
        <w:spacing w:line="480" w:lineRule="auto"/>
        <w:ind w:left="360"/>
      </w:pPr>
      <w:r>
        <w:rPr>
          <w:rFonts w:ascii="Times New Roman" w:eastAsia="Times New Roman" w:hAnsi="Times New Roman" w:cs="Times New Roman"/>
        </w:rPr>
        <w:t>Stage 5 executes the full enriched pipeline against each scenario and measures performance against the baseline established in Stage 2. The procedure is designed to produce quantitative evidence directly relevant to the three hypotheses while maintaining methodological rigor appropriate to doctoral research (Hevner et al., 2004; Venable et al., 2016).</w:t>
      </w:r>
    </w:p>
    <w:p w14:paraId="0BD6A79B" w14:textId="77777777" w:rsidR="00284E84" w:rsidRPr="00557441" w:rsidRDefault="00284E84" w:rsidP="00557441">
      <w:pPr>
        <w:pStyle w:val="Heading3"/>
        <w:numPr>
          <w:ilvl w:val="0"/>
          <w:numId w:val="0"/>
        </w:numPr>
        <w:ind w:left="450"/>
      </w:pPr>
      <w:bookmarkStart w:id="77" w:name="_Toc235395002"/>
      <w:r>
        <w:t>3.8.1 Baseline Establishment and Enriched Execution</w:t>
      </w:r>
      <w:bookmarkEnd w:id="77"/>
    </w:p>
    <w:p w14:paraId="44E8915E" w14:textId="53FA0C7A" w:rsidR="00284E84" w:rsidRDefault="00284E84" w:rsidP="00284E84">
      <w:pPr>
        <w:spacing w:line="480" w:lineRule="auto"/>
        <w:ind w:left="630"/>
        <w:jc w:val="both"/>
        <w:rPr>
          <w:rFonts w:ascii="Times New Roman" w:eastAsia="Times New Roman" w:hAnsi="Times New Roman" w:cs="Times New Roman"/>
        </w:rPr>
      </w:pPr>
      <w:r>
        <w:rPr>
          <w:rFonts w:ascii="Times New Roman" w:eastAsia="Times New Roman" w:hAnsi="Times New Roman" w:cs="Times New Roman"/>
        </w:rPr>
        <w:t xml:space="preserve">In Stage 2, standard detection rules are applied to each dataset using Elasticsearch threshold alerting and the Kibana rules engine, replicating a mature but standard SOC detection </w:t>
      </w:r>
      <w:r>
        <w:rPr>
          <w:rFonts w:ascii="Times New Roman" w:eastAsia="Times New Roman" w:hAnsi="Times New Roman" w:cs="Times New Roman"/>
        </w:rPr>
        <w:lastRenderedPageBreak/>
        <w:t>capability, signature-based correlation, threshold rules, and basic behavioral baselines, with no asset-specific PII weighting (Detken et al., 2015; Zimmerman, 2014).</w:t>
      </w:r>
      <w:r>
        <w:t xml:space="preserve"> </w:t>
      </w:r>
      <w:r>
        <w:rPr>
          <w:rFonts w:ascii="Times New Roman" w:eastAsia="Times New Roman" w:hAnsi="Times New Roman" w:cs="Times New Roman"/>
        </w:rPr>
        <w:t xml:space="preserve">The standard detection rules applied in the baseline condition are documented in table 3.1. </w:t>
      </w:r>
    </w:p>
    <w:p w14:paraId="7EFED02B" w14:textId="77777777" w:rsidR="001646E3" w:rsidRDefault="001646E3" w:rsidP="00284E84">
      <w:pPr>
        <w:spacing w:line="480" w:lineRule="auto"/>
        <w:ind w:left="630"/>
        <w:jc w:val="both"/>
        <w:rPr>
          <w:rFonts w:ascii="Times New Roman" w:eastAsia="Times New Roman" w:hAnsi="Times New Roman" w:cs="Times New Roman"/>
        </w:rPr>
      </w:pPr>
    </w:p>
    <w:p w14:paraId="291D957F" w14:textId="77777777" w:rsidR="00284E84" w:rsidRDefault="00284E84" w:rsidP="00284E84">
      <w:pPr>
        <w:spacing w:line="480" w:lineRule="auto"/>
        <w:ind w:left="630"/>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331E3DE" wp14:editId="6BFFA2BF">
            <wp:extent cx="5943600" cy="2520950"/>
            <wp:effectExtent l="0" t="0" r="0" b="0"/>
            <wp:docPr id="2051713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13001" name="Picture 20517130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520950"/>
                    </a:xfrm>
                    <a:prstGeom prst="rect">
                      <a:avLst/>
                    </a:prstGeom>
                  </pic:spPr>
                </pic:pic>
              </a:graphicData>
            </a:graphic>
          </wp:inline>
        </w:drawing>
      </w:r>
    </w:p>
    <w:p w14:paraId="6EFCF483" w14:textId="206AD10B" w:rsidR="00284E84" w:rsidRPr="001341B1" w:rsidRDefault="00A71871" w:rsidP="00284E84">
      <w:pPr>
        <w:spacing w:after="0" w:line="240" w:lineRule="auto"/>
        <w:jc w:val="center"/>
        <w:rPr>
          <w:rFonts w:ascii="Times New Roman" w:hAnsi="Times New Roman" w:cs="Times New Roman"/>
          <w:iCs/>
          <w:sz w:val="18"/>
          <w:szCs w:val="18"/>
        </w:rPr>
      </w:pPr>
      <w:r>
        <w:rPr>
          <w:rFonts w:ascii="Times New Roman" w:hAnsi="Times New Roman" w:cs="Times New Roman"/>
          <w:b/>
          <w:iCs/>
          <w:sz w:val="18"/>
          <w:szCs w:val="18"/>
        </w:rPr>
        <w:t xml:space="preserve">Table 3.2 </w:t>
      </w:r>
      <w:r>
        <w:rPr>
          <w:rFonts w:ascii="Times New Roman" w:hAnsi="Times New Roman" w:cs="Times New Roman"/>
          <w:iCs/>
          <w:sz w:val="18"/>
          <w:szCs w:val="18"/>
        </w:rPr>
        <w:t>Security Detection Rules and Triggers</w:t>
      </w:r>
    </w:p>
    <w:p w14:paraId="5AF9DE15" w14:textId="77777777" w:rsidR="001646E3" w:rsidRDefault="001646E3" w:rsidP="00284E84">
      <w:pPr>
        <w:spacing w:after="0" w:line="240" w:lineRule="auto"/>
        <w:jc w:val="center"/>
        <w:rPr>
          <w:rFonts w:ascii="Times New Roman" w:hAnsi="Times New Roman" w:cs="Times New Roman"/>
          <w:i/>
          <w:sz w:val="18"/>
          <w:szCs w:val="18"/>
        </w:rPr>
      </w:pPr>
    </w:p>
    <w:p w14:paraId="5C2238A1" w14:textId="77777777" w:rsidR="001646E3" w:rsidRDefault="001646E3" w:rsidP="00284E84">
      <w:pPr>
        <w:spacing w:after="0" w:line="240" w:lineRule="auto"/>
        <w:jc w:val="center"/>
        <w:rPr>
          <w:rFonts w:ascii="Times New Roman" w:hAnsi="Times New Roman" w:cs="Times New Roman"/>
          <w:i/>
          <w:sz w:val="18"/>
          <w:szCs w:val="18"/>
        </w:rPr>
      </w:pPr>
    </w:p>
    <w:p w14:paraId="793D3B73" w14:textId="77777777" w:rsidR="00284E84" w:rsidRDefault="00284E84" w:rsidP="00284E84">
      <w:pPr>
        <w:spacing w:after="0" w:line="240" w:lineRule="auto"/>
        <w:jc w:val="center"/>
        <w:rPr>
          <w:rFonts w:ascii="Times New Roman" w:eastAsia="Times New Roman" w:hAnsi="Times New Roman" w:cs="Times New Roman"/>
        </w:rPr>
      </w:pPr>
    </w:p>
    <w:p w14:paraId="3D1EA057" w14:textId="77777777" w:rsidR="00284E84" w:rsidRDefault="00284E84" w:rsidP="001646E3">
      <w:pPr>
        <w:spacing w:line="480" w:lineRule="auto"/>
        <w:ind w:left="630"/>
      </w:pPr>
      <w:r>
        <w:rPr>
          <w:rFonts w:ascii="Times New Roman" w:eastAsia="Times New Roman" w:hAnsi="Times New Roman" w:cs="Times New Roman"/>
        </w:rPr>
        <w:t xml:space="preserve"> The representative rule set includes failed-authentication thresholds, geographic authentication anomalies, large-outbound-transfer alerts, encoded-PowerShell execution anomalies, and database-query-volume spikes, all consistent with baseline detection capabilities documented in the SOC literature (Nagaraj, 2023; Jangampet et al., 2024). For each scenario, the baseline procedure records total alert volume, true-positive rate, and simulated triage time, the comparison reference point against which the enriched results are evaluated (Sundaramurthy et al., 2014).</w:t>
      </w:r>
    </w:p>
    <w:p w14:paraId="5AFA034B" w14:textId="50C0F723" w:rsidR="00284E84" w:rsidRDefault="00284E84" w:rsidP="001646E3">
      <w:pPr>
        <w:spacing w:line="480" w:lineRule="auto"/>
        <w:ind w:left="630"/>
      </w:pPr>
      <w:r>
        <w:rPr>
          <w:rFonts w:ascii="Times New Roman" w:eastAsia="Times New Roman" w:hAnsi="Times New Roman" w:cs="Times New Roman"/>
        </w:rPr>
        <w:t xml:space="preserve">In Stage 5, the complete PII Context Framework configuration, the Asset Inventory Registry, the taxonomy tier assignments, and the attack-complexity scoring logic,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loaded into Logstash, and each dataset is re-ingested through the enriched pipeline (Elastic N.V., 2026b). This produces a parallel set of Elasticsearch indices containing the original ECS fields plus the populated </w:t>
      </w:r>
      <w:proofErr w:type="gramStart"/>
      <w:r>
        <w:rPr>
          <w:rFonts w:ascii="Times New Roman" w:eastAsia="Times New Roman" w:hAnsi="Times New Roman" w:cs="Times New Roman"/>
        </w:rPr>
        <w:t>pii.context</w:t>
      </w:r>
      <w:proofErr w:type="gramEnd"/>
      <w:r>
        <w:rPr>
          <w:rFonts w:ascii="Times New Roman" w:eastAsia="Times New Roman" w:hAnsi="Times New Roman" w:cs="Times New Roman"/>
        </w:rPr>
        <w:t xml:space="preserve"> fields, enabling direct field-level comparison against the identical underlying events (Elastic N.V., 2026a). Aggregation queries then classify each alert into low (&lt; 40), medium (40–59), or high (≥ 60) priority from its base score, and apply the promotion criteria to elevate alerts reflecting a confirmed PII attack to critical priority, replicating the operational workflow in which low-priority alerts are deferred for batch review (Jangampet et al., 2024; Crowley, 2024). For metric computation, the analyst’s actionable high-priority queue is condition-specific: in the baseline condition it comprises the high and critical tiers jointly (base score ≥ 60), the best prioritization a context-blind SOC can make, whereas in the enriched condition it is the promoted critical tier, the confirmed-PII-attack queue the framework surfaces for immediate response—preserving comparability with the binary escalation decision embedded in the performance metrics.</w:t>
      </w:r>
    </w:p>
    <w:p w14:paraId="445D3E58" w14:textId="77777777" w:rsidR="00284E84" w:rsidRPr="00557441" w:rsidRDefault="00284E84" w:rsidP="00557441">
      <w:pPr>
        <w:pStyle w:val="Heading3"/>
        <w:numPr>
          <w:ilvl w:val="0"/>
          <w:numId w:val="0"/>
        </w:numPr>
        <w:ind w:left="540"/>
      </w:pPr>
      <w:bookmarkStart w:id="78" w:name="_Toc235395003"/>
      <w:r>
        <w:t>3.8.2 Primary Performance Metrics</w:t>
      </w:r>
      <w:bookmarkEnd w:id="78"/>
    </w:p>
    <w:p w14:paraId="482D979A" w14:textId="77777777" w:rsidR="00284E84" w:rsidRDefault="00284E84" w:rsidP="00557441">
      <w:pPr>
        <w:spacing w:line="480" w:lineRule="auto"/>
        <w:ind w:left="630"/>
      </w:pPr>
      <w:r>
        <w:rPr>
          <w:rFonts w:ascii="Times New Roman" w:eastAsia="Times New Roman" w:hAnsi="Times New Roman" w:cs="Times New Roman"/>
        </w:rPr>
        <w:t>Four primary metrics measure the framework’s impact on the three hypothesized dimensions of triage speed, noise reduction, and prioritization accuracy (Sundaramurthy et al., 2014; Greitzer &amp; Ferryman, 2013): (1) high-priority alert volume, the number of alerts classified high-priority in each condition; (2) true-positive rate at high priority, the proportion of high-priority alerts that correctly correspond to malicious activity; (3) simulated triage time per true-positive detection, the average analyst time to correctly identify a true positive as requiring escalation; and (4) false-positive rate at high priority. Triage-time measurements use a standardized protocol administered to trained analyst evaluators who assess alerts from both conditions in randomized, blinded order, without being told which condition each alert is drawn from; triage time is recorded from presentation of the alert to the documented triage decision.</w:t>
      </w:r>
    </w:p>
    <w:p w14:paraId="181DBC6D" w14:textId="77777777" w:rsidR="00284E84" w:rsidRPr="00557441" w:rsidRDefault="00284E84" w:rsidP="00557441">
      <w:pPr>
        <w:pStyle w:val="Heading3"/>
        <w:numPr>
          <w:ilvl w:val="0"/>
          <w:numId w:val="0"/>
        </w:numPr>
        <w:ind w:left="450"/>
      </w:pPr>
      <w:bookmarkStart w:id="79" w:name="_Toc235395004"/>
      <w:r>
        <w:lastRenderedPageBreak/>
        <w:t>3.8.3 Secondary Validation Metrics</w:t>
      </w:r>
      <w:bookmarkEnd w:id="79"/>
    </w:p>
    <w:p w14:paraId="47D24E08" w14:textId="15D5E22B" w:rsidR="00284E84" w:rsidRDefault="00284E84" w:rsidP="00557441">
      <w:pPr>
        <w:spacing w:line="480" w:lineRule="auto"/>
        <w:ind w:left="630"/>
      </w:pPr>
      <w:r>
        <w:rPr>
          <w:rFonts w:ascii="Times New Roman" w:eastAsia="Times New Roman" w:hAnsi="Times New Roman" w:cs="Times New Roman"/>
        </w:rPr>
        <w:t>Secondary metrics provide additional evidence of the framework’s operational characteristics. The alert-distribution-shift metric measures the change in the proportion of alerts across priority tiers between conditions, quantifying how far PII enrichment concentrates the high-priority tier around true positives (Pendleton et al., 2016). The PII-exposure-coverage rate confirms that the Asset Inventory Registry covers the assets implicated in the test scenarios. The promotion-precision metric evaluates whether alerts promoted to critical are significantly more likely to be true positives than alerts remaining at their base priority, confirming that the promotion logic isolates confirmed attacks targeting PII rather than uniformly escalating alerts. Finally, the early-detection-rate metric, central to H3, tests whether early-stage indicators (for example, a lateral-movement event early in the Scenario 5 timeline) receive a high-priority score before the bulk-exfiltration phase generates more obvious indicators (Strom et al., 2018; Sloan, 2025).</w:t>
      </w:r>
    </w:p>
    <w:p w14:paraId="6A0857BB" w14:textId="77777777" w:rsidR="00284E84" w:rsidRPr="00557441" w:rsidRDefault="00284E84" w:rsidP="00557441">
      <w:pPr>
        <w:pStyle w:val="Heading3"/>
        <w:numPr>
          <w:ilvl w:val="0"/>
          <w:numId w:val="0"/>
        </w:numPr>
        <w:ind w:left="450"/>
      </w:pPr>
      <w:bookmarkStart w:id="80" w:name="_Toc235395005"/>
      <w:r>
        <w:t>3.8.4 Statistical Analysis Approach</w:t>
      </w:r>
      <w:bookmarkEnd w:id="80"/>
    </w:p>
    <w:p w14:paraId="5D1A7E11" w14:textId="4952470A" w:rsidR="00284E84" w:rsidRDefault="00284E84" w:rsidP="00557441">
      <w:pPr>
        <w:spacing w:line="480" w:lineRule="auto"/>
        <w:ind w:left="630"/>
      </w:pPr>
      <w:r>
        <w:rPr>
          <w:rFonts w:ascii="Times New Roman" w:eastAsia="Times New Roman" w:hAnsi="Times New Roman" w:cs="Times New Roman"/>
        </w:rPr>
        <w:t xml:space="preserve">Quantitative analysis employs descriptive statistics for the primary metrics and inferential statistics for the secondary metrics where sample sizes permit (Agresti &amp; Franklin, 2018). A paired t-test compares simulated triage times between conditions using a within-subjects design that controls for evaluator-level variability, and Cohen’s d is reported as the effect size to assess practical as well as statistical significance (Cohen, 1988). The difference in true-positive rate at high priority is assessed with a two-proportion z-test, and the promotion-precision analysis uses a two-proportion z-test comparing the true-positive rate </w:t>
      </w:r>
      <w:r>
        <w:rPr>
          <w:rFonts w:ascii="Times New Roman" w:eastAsia="Times New Roman" w:hAnsi="Times New Roman" w:cs="Times New Roman"/>
        </w:rPr>
        <w:lastRenderedPageBreak/>
        <w:t>among alerts promoted to critical with that among alerts remaining at their base priority (Agresti &amp; Franklin, 2018).</w:t>
      </w:r>
    </w:p>
    <w:p w14:paraId="5C6349E9" w14:textId="37511F45" w:rsidR="00284E84" w:rsidRDefault="00D6427E" w:rsidP="00557441">
      <w:pPr>
        <w:spacing w:line="480" w:lineRule="auto"/>
        <w:ind w:left="630"/>
      </w:pPr>
      <w:proofErr w:type="gramStart"/>
      <w:r>
        <w:rPr>
          <w:rFonts w:ascii="Times New Roman" w:eastAsia="Times New Roman" w:hAnsi="Times New Roman" w:cs="Times New Roman"/>
        </w:rPr>
        <w:t>So</w:t>
      </w:r>
      <w:proofErr w:type="gramEnd"/>
      <w:r>
        <w:rPr>
          <w:rFonts w:ascii="Times New Roman" w:eastAsia="Times New Roman" w:hAnsi="Times New Roman" w:cs="Times New Roman"/>
        </w:rPr>
        <w:t xml:space="preserve"> it is recognized that the small number of distinct scenarios and the controlled nature of the synthetic environment limit the generalizability of statistical inferences (Peffers et al., 2007; Venable et al., 2016). Accordingly, the primary contribution of the analysis is not population-level generalization but proof-of-concept evidence that the framework produces measurable, directionally consistent improvements in SOC triage effectiveness across a diverse set of PII-targeting scenarios. </w:t>
      </w:r>
    </w:p>
    <w:p w14:paraId="68175386" w14:textId="77777777" w:rsidR="00284E84" w:rsidRDefault="00284E84" w:rsidP="00284E84">
      <w:pPr>
        <w:pStyle w:val="Heading2"/>
        <w:spacing w:before="200" w:after="60"/>
      </w:pPr>
      <w:bookmarkStart w:id="81" w:name="_Toc235395006"/>
      <w:r>
        <w:rPr>
          <w:rFonts w:eastAsia="Times New Roman" w:cs="Times New Roman"/>
          <w:szCs w:val="24"/>
        </w:rPr>
        <w:t>3.9 Ethical Considerations and Research Limitations</w:t>
      </w:r>
      <w:bookmarkEnd w:id="81"/>
    </w:p>
    <w:p w14:paraId="61EC1A63" w14:textId="12397EEE" w:rsidR="00284E84" w:rsidRDefault="00284E84" w:rsidP="00557441">
      <w:pPr>
        <w:spacing w:line="480" w:lineRule="auto"/>
        <w:ind w:left="360"/>
      </w:pPr>
      <w:r>
        <w:rPr>
          <w:rFonts w:ascii="Times New Roman" w:eastAsia="Times New Roman" w:hAnsi="Times New Roman" w:cs="Times New Roman"/>
        </w:rPr>
        <w:t xml:space="preserve">This research is conducted exclusively with synthetic data generated for the study. No real customer PII, production security logs, or actual financial-institution data is used at any stage, and the synthetic scenarios do not reference specific ongoing investigations, real threat actors, or breach incidents beyond the published case studies analyzed in Chapter 2. This design eliminates the ethical concerns associated with exposing or misusing sensitive personal data (Hevner et al., 2004). The attack techniques are derived from publicly available sources, the MITRE ATT&amp;CK knowledge base (Strom et al., 2018; MITRE Corporation, 2026), peer-reviewed literature, and documented breach post-mortems, and are presented at a level of abstraction appropriate to academic contribution; they do not constitute operational attack instructions. However, they do an accurate job of providing real-world attack accuracy for a SOC that provides confidence in testing and potential validation of the hypotheses. </w:t>
      </w:r>
    </w:p>
    <w:p w14:paraId="39BD3895" w14:textId="77777777" w:rsidR="00284E84" w:rsidRPr="007D2464" w:rsidRDefault="00284E84" w:rsidP="007D2464">
      <w:pPr>
        <w:pStyle w:val="Heading3"/>
        <w:numPr>
          <w:ilvl w:val="0"/>
          <w:numId w:val="0"/>
        </w:numPr>
        <w:ind w:left="540"/>
      </w:pPr>
      <w:bookmarkStart w:id="82" w:name="_Toc235395007"/>
      <w:r>
        <w:t>3.9.1 Research Limitations</w:t>
      </w:r>
      <w:bookmarkEnd w:id="82"/>
    </w:p>
    <w:p w14:paraId="2B308632" w14:textId="747C260B" w:rsidR="00284E84" w:rsidRDefault="00284E84" w:rsidP="007D2464">
      <w:pPr>
        <w:tabs>
          <w:tab w:val="left" w:pos="630"/>
        </w:tabs>
        <w:spacing w:line="480" w:lineRule="auto"/>
        <w:ind w:left="630" w:hanging="90"/>
        <w:rPr>
          <w:rFonts w:ascii="Times New Roman" w:eastAsia="Times New Roman" w:hAnsi="Times New Roman" w:cs="Times New Roman"/>
        </w:rPr>
      </w:pPr>
      <w:r>
        <w:rPr>
          <w:rFonts w:ascii="Times New Roman" w:eastAsia="Times New Roman" w:hAnsi="Times New Roman" w:cs="Times New Roman"/>
        </w:rPr>
        <w:t xml:space="preserve">Several limitations must be acknowledged. First, synthetic data, while necessary for ethical and practical reasons, cannot fully replicate the noise characteristics, temporal patterns, </w:t>
      </w:r>
      <w:r>
        <w:rPr>
          <w:rFonts w:ascii="Times New Roman" w:eastAsia="Times New Roman" w:hAnsi="Times New Roman" w:cs="Times New Roman"/>
        </w:rPr>
        <w:lastRenderedPageBreak/>
        <w:t>and operational context of production log streams (Sommer &amp; Paxson, 2010; Ring et al., 2019); future work should validate the framework against de-identified production data from consenting institutions. Second, the single-node ELK deployment does not replicate the scale or distributed architecture of enterprise SIEM platforms, so the computational efficiency of the scoring engine at enterprise volume remains to be validated (Pahl &amp; Jamshidi, 2016). Third, the five scenarios, though representative of major PII-targeting categories, cannot encompass the full diversity of adversary techniques, and the framework’s performance against novel techniques excluded by the ATT&amp;CK-derived design cannot be assessed here (Strom et al., 2018). Fourth, the simulated triage-time measurements rely on a limited pool of analyst evaluators and may not generalize across all experience levels and organizational contexts (Sundaramurthy et al., 2014). Fifth, the scoring and promotion model is calibrated for this specific environment and scenario set; organizations deploying it will need to recalibrate the base-tier thresholds and promotion criteria to their own asset landscape, regulatory requirements, and risk tolerance, with guidance provided in Chapter 5 (Hubbard &amp; Seiersen, 2023; Pendleton et al., 2016).</w:t>
      </w:r>
    </w:p>
    <w:p w14:paraId="5C0D8C0A" w14:textId="77777777" w:rsidR="001646E3" w:rsidRDefault="001646E3" w:rsidP="007D2464">
      <w:pPr>
        <w:tabs>
          <w:tab w:val="left" w:pos="630"/>
        </w:tabs>
        <w:spacing w:line="480" w:lineRule="auto"/>
        <w:ind w:left="630" w:hanging="90"/>
      </w:pPr>
    </w:p>
    <w:p w14:paraId="7F98EC60" w14:textId="77777777" w:rsidR="00284E84" w:rsidRDefault="00284E84" w:rsidP="00284E84">
      <w:pPr>
        <w:pStyle w:val="Heading2"/>
        <w:spacing w:before="200" w:after="60"/>
      </w:pPr>
      <w:bookmarkStart w:id="83" w:name="_Toc235395008"/>
      <w:r>
        <w:rPr>
          <w:rFonts w:eastAsia="Times New Roman" w:cs="Times New Roman"/>
          <w:szCs w:val="24"/>
        </w:rPr>
        <w:t>3.10 Chapter Summary</w:t>
      </w:r>
      <w:bookmarkEnd w:id="83"/>
    </w:p>
    <w:p w14:paraId="28B11244" w14:textId="59CC64E9" w:rsidR="00284E84" w:rsidRDefault="00284E84" w:rsidP="007D2464">
      <w:pPr>
        <w:spacing w:line="480" w:lineRule="auto"/>
        <w:ind w:left="540"/>
      </w:pPr>
      <w:r>
        <w:rPr>
          <w:rFonts w:ascii="Times New Roman" w:eastAsia="Times New Roman" w:hAnsi="Times New Roman" w:cs="Times New Roman"/>
        </w:rPr>
        <w:t xml:space="preserve">This chapter presented the methodology for designing, implementing, and validating the PII Context Framework. The research adopts a design science paradigm with a controlled, comparative evaluation strategy (Hevner et al., 2004; Peffers et al., 2007; Venable et al., 2016), investigating four research questions and three hypotheses by processing identical synthetic attack data under a baseline condition without PII context and an enriched condition with it. The experimental design holds the data, detection rules, evaluators, and </w:t>
      </w:r>
      <w:r>
        <w:rPr>
          <w:rFonts w:ascii="Times New Roman" w:eastAsia="Times New Roman" w:hAnsi="Times New Roman" w:cs="Times New Roman"/>
        </w:rPr>
        <w:lastRenderedPageBreak/>
        <w:t>interface constant across conditions so that measured differences are attributable to the framework alone. Two graphical models anchor the study: the end-to-end methodology pipeline (Figure 3.1) and the base-score and context-based promotion conceptual model (Figure 3.2).</w:t>
      </w:r>
    </w:p>
    <w:p w14:paraId="2C168A0E" w14:textId="77777777" w:rsidR="00284E84" w:rsidRDefault="00284E84" w:rsidP="007D2464">
      <w:pPr>
        <w:spacing w:line="480" w:lineRule="auto"/>
        <w:ind w:left="540"/>
      </w:pPr>
      <w:r>
        <w:rPr>
          <w:rFonts w:ascii="Times New Roman" w:eastAsia="Times New Roman" w:hAnsi="Times New Roman" w:cs="Times New Roman"/>
        </w:rPr>
        <w:t>The datasets comprise five synthetic scenarios spanning Remote Access Trojan, credential harvesting, insider threat, SQL injection, and ransomware double-extortion campaigns, with the RAT scenario implemented first as the proof of concept that validates the full pipeline. The techniques and tools, a containerized ELK stack normalized to ECS, Logstash enrichment, Kibana dashboards and alerting, and the four-component PII Context Framework, operationalize the integration of data sensitivity into the alert lifecycle that Chapter 2 identified as the missing link between data governance and security operations (McCallister et al., 2010; Pendleton et al., 2016). The testing procedures, anchored by four primary metrics and supported by secondary statistical analyses (Cohen, 1988; Agresti &amp; Franklin, 2018), are designed to generate evidence directly relevant to triage-speed improvement, alert-noise reduction, and early-detection accuracy. The results of this validation are reported and interpreted in Chapter 4, and Chapter 5 synthesizes them into implementation recommendations and directions for future research (Venable et al., 2016).</w:t>
      </w:r>
    </w:p>
    <w:p w14:paraId="77BAFC45" w14:textId="77777777" w:rsidR="001C0A17" w:rsidRDefault="001C0A17" w:rsidP="00EB274E">
      <w:pPr>
        <w:rPr>
          <w:rFonts w:ascii="Times New Roman" w:hAnsi="Times New Roman" w:cs="Times New Roman"/>
        </w:rPr>
      </w:pPr>
    </w:p>
    <w:p w14:paraId="5B6CE451" w14:textId="77777777" w:rsidR="0028451C" w:rsidRDefault="0028451C" w:rsidP="00EB274E">
      <w:pPr>
        <w:rPr>
          <w:rFonts w:ascii="Times New Roman" w:hAnsi="Times New Roman" w:cs="Times New Roman"/>
        </w:rPr>
      </w:pPr>
    </w:p>
    <w:p w14:paraId="7B7FDE00" w14:textId="77777777" w:rsidR="0028451C" w:rsidRDefault="0028451C" w:rsidP="00EB274E">
      <w:pPr>
        <w:rPr>
          <w:rFonts w:ascii="Times New Roman" w:hAnsi="Times New Roman" w:cs="Times New Roman"/>
        </w:rPr>
      </w:pPr>
    </w:p>
    <w:p w14:paraId="73749963" w14:textId="77777777" w:rsidR="0028451C" w:rsidRDefault="0028451C" w:rsidP="00EB274E">
      <w:pPr>
        <w:rPr>
          <w:rFonts w:ascii="Times New Roman" w:hAnsi="Times New Roman" w:cs="Times New Roman"/>
        </w:rPr>
      </w:pPr>
    </w:p>
    <w:p w14:paraId="5B2D60AD" w14:textId="77777777" w:rsidR="00EC174F" w:rsidRDefault="00EC174F" w:rsidP="00EB274E">
      <w:pPr>
        <w:rPr>
          <w:rFonts w:ascii="Times New Roman" w:hAnsi="Times New Roman" w:cs="Times New Roman"/>
        </w:rPr>
      </w:pPr>
    </w:p>
    <w:p w14:paraId="76E2B478" w14:textId="77777777" w:rsidR="00EC174F" w:rsidRDefault="00EC174F" w:rsidP="00EB274E">
      <w:pPr>
        <w:rPr>
          <w:rFonts w:ascii="Times New Roman" w:hAnsi="Times New Roman" w:cs="Times New Roman"/>
        </w:rPr>
      </w:pPr>
    </w:p>
    <w:p w14:paraId="723267D0" w14:textId="77777777" w:rsidR="00EC174F" w:rsidRDefault="00EC174F" w:rsidP="00EB274E">
      <w:pPr>
        <w:rPr>
          <w:rFonts w:ascii="Times New Roman" w:hAnsi="Times New Roman" w:cs="Times New Roman"/>
        </w:rPr>
      </w:pPr>
    </w:p>
    <w:p w14:paraId="12C57919" w14:textId="77777777" w:rsidR="00EC174F" w:rsidRDefault="00EC174F" w:rsidP="00EB274E">
      <w:pPr>
        <w:rPr>
          <w:rFonts w:ascii="Times New Roman" w:hAnsi="Times New Roman" w:cs="Times New Roman"/>
        </w:rPr>
      </w:pPr>
    </w:p>
    <w:p w14:paraId="3CC3622A" w14:textId="77777777" w:rsidR="00EC174F" w:rsidRDefault="00EC174F" w:rsidP="00EB274E">
      <w:pPr>
        <w:rPr>
          <w:rFonts w:ascii="Times New Roman" w:hAnsi="Times New Roman" w:cs="Times New Roman"/>
        </w:rPr>
      </w:pPr>
    </w:p>
    <w:p w14:paraId="2E99B3EF" w14:textId="77777777" w:rsidR="00EC174F" w:rsidRDefault="00EC174F" w:rsidP="00EB274E">
      <w:pPr>
        <w:rPr>
          <w:rFonts w:ascii="Times New Roman" w:hAnsi="Times New Roman" w:cs="Times New Roman"/>
        </w:rPr>
      </w:pPr>
    </w:p>
    <w:p w14:paraId="5998A706" w14:textId="77777777" w:rsidR="00EC174F" w:rsidRDefault="00EC174F" w:rsidP="00EB274E">
      <w:pPr>
        <w:rPr>
          <w:rFonts w:ascii="Times New Roman" w:hAnsi="Times New Roman" w:cs="Times New Roman"/>
        </w:rPr>
      </w:pPr>
    </w:p>
    <w:p w14:paraId="26166CAC" w14:textId="77777777" w:rsidR="00D05BD1" w:rsidRDefault="00D05BD1" w:rsidP="00EB274E">
      <w:pPr>
        <w:rPr>
          <w:rFonts w:ascii="Times New Roman" w:hAnsi="Times New Roman" w:cs="Times New Roman"/>
        </w:rPr>
      </w:pPr>
    </w:p>
    <w:p w14:paraId="504C6ACB" w14:textId="77777777" w:rsidR="00EC174F" w:rsidRDefault="00EC174F" w:rsidP="00EB274E">
      <w:pPr>
        <w:rPr>
          <w:rFonts w:ascii="Times New Roman" w:hAnsi="Times New Roman" w:cs="Times New Roman"/>
        </w:rPr>
      </w:pPr>
    </w:p>
    <w:p w14:paraId="1EA9D0E1" w14:textId="77777777" w:rsidR="00EC174F" w:rsidRDefault="00EC174F" w:rsidP="00EB274E">
      <w:pPr>
        <w:rPr>
          <w:rFonts w:ascii="Times New Roman" w:hAnsi="Times New Roman" w:cs="Times New Roman"/>
        </w:rPr>
      </w:pPr>
    </w:p>
    <w:p w14:paraId="73BF0720" w14:textId="77777777" w:rsidR="00EC174F" w:rsidRDefault="00EC174F" w:rsidP="00EB274E">
      <w:pPr>
        <w:rPr>
          <w:rFonts w:ascii="Times New Roman" w:hAnsi="Times New Roman" w:cs="Times New Roman"/>
        </w:rPr>
      </w:pPr>
    </w:p>
    <w:p w14:paraId="7BE8CBC9" w14:textId="77777777" w:rsidR="00284E84" w:rsidRDefault="00284E84" w:rsidP="00284E84">
      <w:pPr>
        <w:pStyle w:val="Heading1"/>
        <w:spacing w:before="240" w:after="120"/>
      </w:pPr>
      <w:bookmarkStart w:id="84" w:name="_Toc235395009"/>
      <w:r>
        <w:rPr>
          <w:rFonts w:ascii="Times New Roman" w:eastAsia="Times New Roman" w:hAnsi="Times New Roman" w:cs="Times New Roman"/>
          <w:sz w:val="28"/>
          <w:szCs w:val="28"/>
        </w:rPr>
        <w:t>References</w:t>
      </w:r>
      <w:bookmarkEnd w:id="84"/>
    </w:p>
    <w:p w14:paraId="4FAA9FB0" w14:textId="6FFC5F69" w:rsidR="00942B17" w:rsidRPr="00942B17" w:rsidRDefault="00284E84" w:rsidP="00942B17">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Agresti, A., &amp; Franklin, C. (2018). </w:t>
      </w:r>
      <w:r>
        <w:rPr>
          <w:rFonts w:ascii="Times New Roman" w:eastAsia="Times New Roman" w:hAnsi="Times New Roman" w:cs="Times New Roman"/>
          <w:i/>
          <w:iCs/>
        </w:rPr>
        <w:t>Statistics: The art and science of learning from data</w:t>
      </w:r>
      <w:r>
        <w:rPr>
          <w:rFonts w:ascii="Times New Roman" w:eastAsia="Times New Roman" w:hAnsi="Times New Roman" w:cs="Times New Roman"/>
        </w:rPr>
        <w:t xml:space="preserve"> (4th ed.). Pearson</w:t>
      </w:r>
      <w:hyperlink r:id="rId31" w:history="1">
        <w:r>
          <w:rPr>
            <w:rStyle w:val="Hyperlink"/>
            <w:rFonts w:ascii="Times New Roman" w:eastAsia="Times New Roman" w:hAnsi="Times New Roman" w:cs="Times New Roman"/>
          </w:rPr>
          <w:t>. https://wrlc-gwu.primo.exlibrisgroup.com/permalink/01WRLC_GWA/1pqr5/alma9911571454304101</w:t>
        </w:r>
      </w:hyperlink>
    </w:p>
    <w:p w14:paraId="7A4B41B1" w14:textId="77777777" w:rsidR="00284E84" w:rsidRDefault="00284E84" w:rsidP="00284E84">
      <w:pPr>
        <w:spacing w:line="480" w:lineRule="auto"/>
        <w:ind w:left="720" w:hanging="720"/>
      </w:pPr>
      <w:r>
        <w:rPr>
          <w:rFonts w:ascii="Times New Roman" w:eastAsia="Times New Roman" w:hAnsi="Times New Roman" w:cs="Times New Roman"/>
        </w:rPr>
        <w:t xml:space="preserve">Akinsola, F., Ogwueleka, F., &amp; Mbanaso, U. (2025). A comprehensive survey of insider threat landscape and detection indicators. </w:t>
      </w:r>
      <w:r>
        <w:rPr>
          <w:rFonts w:ascii="Times New Roman" w:eastAsia="Times New Roman" w:hAnsi="Times New Roman" w:cs="Times New Roman"/>
          <w:i/>
          <w:iCs/>
        </w:rPr>
        <w:t>Kwaghe International Journal of Engineering and Information Technology.</w:t>
      </w:r>
      <w:r>
        <w:rPr>
          <w:rFonts w:ascii="Times New Roman" w:eastAsia="Times New Roman" w:hAnsi="Times New Roman" w:cs="Times New Roman"/>
        </w:rPr>
        <w:t xml:space="preserve"> </w:t>
      </w:r>
      <w:hyperlink r:id="rId32" w:history="1">
        <w:r>
          <w:rPr>
            <w:rFonts w:ascii="Times New Roman" w:eastAsia="Times New Roman" w:hAnsi="Times New Roman" w:cs="Times New Roman"/>
            <w:color w:val="1155CC"/>
            <w:u w:val="single"/>
          </w:rPr>
          <w:t>https://www.researchgate.net/publication/396836137_A_Comprehensive_Survey_of_Insider_Threat_Landscape_and_Detection_Indicators</w:t>
        </w:r>
      </w:hyperlink>
    </w:p>
    <w:p w14:paraId="34242CB8" w14:textId="77777777" w:rsidR="00284E84" w:rsidRDefault="00284E84" w:rsidP="00284E84">
      <w:pPr>
        <w:spacing w:line="480" w:lineRule="auto"/>
        <w:ind w:left="720" w:hanging="720"/>
      </w:pPr>
      <w:r>
        <w:rPr>
          <w:rFonts w:ascii="Times New Roman" w:eastAsia="Times New Roman" w:hAnsi="Times New Roman" w:cs="Times New Roman"/>
        </w:rPr>
        <w:t xml:space="preserve">Akula, V. (2024). </w:t>
      </w:r>
      <w:r>
        <w:rPr>
          <w:rFonts w:ascii="Times New Roman" w:eastAsia="Times New Roman" w:hAnsi="Times New Roman" w:cs="Times New Roman"/>
          <w:i/>
          <w:iCs/>
        </w:rPr>
        <w:t>SIEM: The heartbeat of a modern SOC.</w:t>
      </w:r>
      <w:r>
        <w:rPr>
          <w:rFonts w:ascii="Times New Roman" w:eastAsia="Times New Roman" w:hAnsi="Times New Roman" w:cs="Times New Roman"/>
        </w:rPr>
        <w:t xml:space="preserve"> CloudifyOps. Medium. </w:t>
      </w:r>
      <w:hyperlink r:id="rId33" w:history="1">
        <w:r>
          <w:rPr>
            <w:rFonts w:ascii="Times New Roman" w:eastAsia="Times New Roman" w:hAnsi="Times New Roman" w:cs="Times New Roman"/>
            <w:color w:val="1155CC"/>
            <w:u w:val="single"/>
          </w:rPr>
          <w:t>https://medium.com/@CloudifyOps/siem-the-heartbeat-of-a-modern-soc-7ad73131bca8</w:t>
        </w:r>
      </w:hyperlink>
    </w:p>
    <w:p w14:paraId="6AD46DC7" w14:textId="77777777" w:rsidR="00284E84" w:rsidRDefault="00284E84" w:rsidP="00284E84">
      <w:pPr>
        <w:spacing w:line="480" w:lineRule="auto"/>
        <w:ind w:left="720" w:hanging="720"/>
      </w:pPr>
      <w:r>
        <w:rPr>
          <w:rFonts w:ascii="Times New Roman" w:eastAsia="Times New Roman" w:hAnsi="Times New Roman" w:cs="Times New Roman"/>
        </w:rPr>
        <w:t xml:space="preserve">AmpcusCyber. (2026). </w:t>
      </w:r>
      <w:r>
        <w:rPr>
          <w:rFonts w:ascii="Times New Roman" w:eastAsia="Times New Roman" w:hAnsi="Times New Roman" w:cs="Times New Roman"/>
          <w:i/>
          <w:iCs/>
        </w:rPr>
        <w:t>What is SIEM? Centralized visibility for modern threats.</w:t>
      </w:r>
      <w:r>
        <w:rPr>
          <w:rFonts w:ascii="Times New Roman" w:eastAsia="Times New Roman" w:hAnsi="Times New Roman" w:cs="Times New Roman"/>
        </w:rPr>
        <w:t xml:space="preserve"> </w:t>
      </w:r>
      <w:hyperlink r:id="rId34" w:history="1">
        <w:r>
          <w:rPr>
            <w:rFonts w:ascii="Times New Roman" w:eastAsia="Times New Roman" w:hAnsi="Times New Roman" w:cs="Times New Roman"/>
            <w:color w:val="1155CC"/>
            <w:u w:val="single"/>
          </w:rPr>
          <w:t>https://www.ampcuscyber.com/knowledge-hub/what-is-siem-centralized-visibility-for-modern-threats/</w:t>
        </w:r>
      </w:hyperlink>
    </w:p>
    <w:p w14:paraId="72844A73" w14:textId="7E2CC159" w:rsidR="00284E84" w:rsidRDefault="00284E84" w:rsidP="00284E84">
      <w:pPr>
        <w:spacing w:line="480" w:lineRule="auto"/>
        <w:ind w:left="720" w:hanging="720"/>
      </w:pPr>
      <w:r>
        <w:rPr>
          <w:rFonts w:ascii="Times New Roman" w:eastAsia="Times New Roman" w:hAnsi="Times New Roman" w:cs="Times New Roman"/>
        </w:rPr>
        <w:lastRenderedPageBreak/>
        <w:t xml:space="preserve">Anderson, R., Barton, C., Böhme, R., Clayton, R., van Eeten, M. J. G., Levi, M., Moore, T., &amp; Savage, S. (2013). Measuring the cost of cybercrime. In R. Böhme (Ed.), </w:t>
      </w:r>
      <w:r>
        <w:rPr>
          <w:rFonts w:ascii="Times New Roman" w:eastAsia="Times New Roman" w:hAnsi="Times New Roman" w:cs="Times New Roman"/>
          <w:i/>
          <w:iCs/>
        </w:rPr>
        <w:t>The economics of information security and privacy</w:t>
      </w:r>
      <w:r>
        <w:rPr>
          <w:rFonts w:ascii="Times New Roman" w:eastAsia="Times New Roman" w:hAnsi="Times New Roman" w:cs="Times New Roman"/>
        </w:rPr>
        <w:t xml:space="preserve"> (pp. 265–300). Springer. </w:t>
      </w:r>
      <w:hyperlink r:id="rId35" w:history="1">
        <w:r>
          <w:rPr>
            <w:rStyle w:val="Hyperlink"/>
            <w:rFonts w:ascii="Times New Roman" w:eastAsia="Times New Roman" w:hAnsi="Times New Roman" w:cs="Times New Roman"/>
          </w:rPr>
          <w:t>https://link.springer.com/chapter/10.1007/978-3-642-39498-0_12</w:t>
        </w:r>
      </w:hyperlink>
    </w:p>
    <w:p w14:paraId="582911FD" w14:textId="77777777" w:rsidR="00284E84" w:rsidRDefault="00284E84" w:rsidP="00284E84">
      <w:pPr>
        <w:spacing w:line="480" w:lineRule="auto"/>
        <w:ind w:left="720" w:hanging="720"/>
      </w:pPr>
      <w:r>
        <w:rPr>
          <w:rFonts w:ascii="Times New Roman" w:eastAsia="Times New Roman" w:hAnsi="Times New Roman" w:cs="Times New Roman"/>
        </w:rPr>
        <w:t xml:space="preserve">Applebaum, A., Miller, D., Strom, B., Korban, C., &amp; Wolf, R. (2016). Intelligent, automated red team emulation. In </w:t>
      </w:r>
      <w:r>
        <w:rPr>
          <w:rFonts w:ascii="Times New Roman" w:eastAsia="Times New Roman" w:hAnsi="Times New Roman" w:cs="Times New Roman"/>
          <w:i/>
          <w:iCs/>
        </w:rPr>
        <w:t>Proceedings of the 32nd Annual Conference on Computer Security Applications</w:t>
      </w:r>
      <w:r>
        <w:rPr>
          <w:rFonts w:ascii="Times New Roman" w:eastAsia="Times New Roman" w:hAnsi="Times New Roman" w:cs="Times New Roman"/>
        </w:rPr>
        <w:t xml:space="preserve"> (pp. 363–373). Association for Computing Machinery. </w:t>
      </w:r>
      <w:hyperlink r:id="rId36" w:history="1">
        <w:r>
          <w:rPr>
            <w:rFonts w:ascii="Times New Roman" w:eastAsia="Times New Roman" w:hAnsi="Times New Roman" w:cs="Times New Roman"/>
            <w:color w:val="1155CC"/>
            <w:u w:val="single"/>
          </w:rPr>
          <w:t>https://doi.org/10.1145/2991079.2991111</w:t>
        </w:r>
      </w:hyperlink>
    </w:p>
    <w:p w14:paraId="3AA40CA0" w14:textId="77777777" w:rsidR="00284E84" w:rsidRDefault="00284E84" w:rsidP="00284E84">
      <w:pPr>
        <w:spacing w:line="480" w:lineRule="auto"/>
        <w:ind w:left="720" w:hanging="720"/>
      </w:pPr>
      <w:r>
        <w:rPr>
          <w:rFonts w:ascii="Times New Roman" w:eastAsia="Times New Roman" w:hAnsi="Times New Roman" w:cs="Times New Roman"/>
        </w:rPr>
        <w:t xml:space="preserve">Ben-Ari, D. (2025). </w:t>
      </w:r>
      <w:r>
        <w:rPr>
          <w:rFonts w:ascii="Times New Roman" w:eastAsia="Times New Roman" w:hAnsi="Times New Roman" w:cs="Times New Roman"/>
          <w:i/>
          <w:iCs/>
        </w:rPr>
        <w:t>TransUnion data breach.</w:t>
      </w:r>
      <w:r>
        <w:rPr>
          <w:rFonts w:ascii="Times New Roman" w:eastAsia="Times New Roman" w:hAnsi="Times New Roman" w:cs="Times New Roman"/>
        </w:rPr>
        <w:t xml:space="preserve"> Panorays. </w:t>
      </w:r>
      <w:hyperlink r:id="rId37" w:history="1">
        <w:r>
          <w:rPr>
            <w:rFonts w:ascii="Times New Roman" w:eastAsia="Times New Roman" w:hAnsi="Times New Roman" w:cs="Times New Roman"/>
            <w:color w:val="1155CC"/>
            <w:u w:val="single"/>
          </w:rPr>
          <w:t>https://panorays.com/blog/transunion-data-breach/</w:t>
        </w:r>
      </w:hyperlink>
    </w:p>
    <w:p w14:paraId="42851750" w14:textId="77777777" w:rsidR="00284E84" w:rsidRDefault="00284E84" w:rsidP="00284E84">
      <w:pPr>
        <w:spacing w:line="480" w:lineRule="auto"/>
        <w:ind w:left="720" w:hanging="720"/>
      </w:pPr>
      <w:r>
        <w:rPr>
          <w:rFonts w:ascii="Times New Roman" w:eastAsia="Times New Roman" w:hAnsi="Times New Roman" w:cs="Times New Roman"/>
        </w:rPr>
        <w:t xml:space="preserve">Bhatia, R. (2025). The future of SIEM: How AI and ML are rewriting threat detection. </w:t>
      </w:r>
      <w:r>
        <w:rPr>
          <w:rFonts w:ascii="Times New Roman" w:eastAsia="Times New Roman" w:hAnsi="Times New Roman" w:cs="Times New Roman"/>
          <w:i/>
          <w:iCs/>
        </w:rPr>
        <w:t>Journal of Computer Science and Technology Studies.</w:t>
      </w:r>
      <w:r>
        <w:rPr>
          <w:rFonts w:ascii="Times New Roman" w:eastAsia="Times New Roman" w:hAnsi="Times New Roman" w:cs="Times New Roman"/>
        </w:rPr>
        <w:t xml:space="preserve"> </w:t>
      </w:r>
      <w:hyperlink r:id="rId38" w:history="1">
        <w:r>
          <w:rPr>
            <w:rFonts w:ascii="Times New Roman" w:eastAsia="Times New Roman" w:hAnsi="Times New Roman" w:cs="Times New Roman"/>
            <w:color w:val="1155CC"/>
            <w:u w:val="single"/>
          </w:rPr>
          <w:t>https://al-kindipublishers.org/index.php/jcsts/article/view/10288</w:t>
        </w:r>
      </w:hyperlink>
    </w:p>
    <w:p w14:paraId="06DC32F4" w14:textId="77777777" w:rsidR="00284E84" w:rsidRDefault="00284E84" w:rsidP="00284E84">
      <w:pPr>
        <w:spacing w:line="480" w:lineRule="auto"/>
        <w:ind w:left="720" w:hanging="720"/>
      </w:pPr>
      <w:r>
        <w:rPr>
          <w:rFonts w:ascii="Times New Roman" w:eastAsia="Times New Roman" w:hAnsi="Times New Roman" w:cs="Times New Roman"/>
        </w:rPr>
        <w:t xml:space="preserve">Bradley, T. (2026, March 18). </w:t>
      </w:r>
      <w:r>
        <w:rPr>
          <w:rFonts w:ascii="Times New Roman" w:eastAsia="Times New Roman" w:hAnsi="Times New Roman" w:cs="Times New Roman"/>
          <w:i/>
          <w:iCs/>
        </w:rPr>
        <w:t>Your SOC is investigating less than half its alerts every day.</w:t>
      </w:r>
      <w:r>
        <w:rPr>
          <w:rFonts w:ascii="Times New Roman" w:eastAsia="Times New Roman" w:hAnsi="Times New Roman" w:cs="Times New Roman"/>
        </w:rPr>
        <w:t xml:space="preserve"> Forbes. </w:t>
      </w:r>
      <w:hyperlink r:id="rId39" w:history="1">
        <w:r>
          <w:rPr>
            <w:rFonts w:ascii="Times New Roman" w:eastAsia="Times New Roman" w:hAnsi="Times New Roman" w:cs="Times New Roman"/>
            <w:color w:val="1155CC"/>
            <w:u w:val="single"/>
          </w:rPr>
          <w:t>https://www.forbes.com/sites/tonybradley/2026/03/18/your-soc-is-investigating-less-than-half-its-alerts-every-day/</w:t>
        </w:r>
      </w:hyperlink>
    </w:p>
    <w:p w14:paraId="489B7AC7" w14:textId="77777777" w:rsidR="00284E84" w:rsidRDefault="00284E84" w:rsidP="00284E84">
      <w:pPr>
        <w:spacing w:line="480" w:lineRule="auto"/>
        <w:ind w:left="720" w:hanging="720"/>
      </w:pPr>
      <w:r>
        <w:rPr>
          <w:rFonts w:ascii="Times New Roman" w:eastAsia="Times New Roman" w:hAnsi="Times New Roman" w:cs="Times New Roman"/>
        </w:rPr>
        <w:t xml:space="preserve">Brahmam, N. Y. (2023). </w:t>
      </w:r>
      <w:r>
        <w:rPr>
          <w:rFonts w:ascii="Times New Roman" w:eastAsia="Times New Roman" w:hAnsi="Times New Roman" w:cs="Times New Roman"/>
          <w:i/>
          <w:iCs/>
        </w:rPr>
        <w:t>Understanding the significance of Elastic Common Schema (ECS) in modern data management.</w:t>
      </w:r>
      <w:r>
        <w:rPr>
          <w:rFonts w:ascii="Times New Roman" w:eastAsia="Times New Roman" w:hAnsi="Times New Roman" w:cs="Times New Roman"/>
        </w:rPr>
        <w:t xml:space="preserve"> Medium. </w:t>
      </w:r>
      <w:hyperlink r:id="rId40" w:history="1">
        <w:r>
          <w:rPr>
            <w:rFonts w:ascii="Times New Roman" w:eastAsia="Times New Roman" w:hAnsi="Times New Roman" w:cs="Times New Roman"/>
            <w:color w:val="1155CC"/>
            <w:u w:val="single"/>
          </w:rPr>
          <w:t>https://medium.com/@nag9sri/understanding-the-significance-of-elastic-common-schema-ecs-in-modern-data-management-ad42165177fc</w:t>
        </w:r>
      </w:hyperlink>
    </w:p>
    <w:p w14:paraId="0FC210B8" w14:textId="5923A821" w:rsidR="00284E84" w:rsidRDefault="00284E84" w:rsidP="00284E84">
      <w:pPr>
        <w:spacing w:line="480" w:lineRule="auto"/>
        <w:ind w:left="720" w:hanging="720"/>
      </w:pPr>
      <w:r>
        <w:rPr>
          <w:rFonts w:ascii="Times New Roman" w:eastAsia="Times New Roman" w:hAnsi="Times New Roman" w:cs="Times New Roman"/>
        </w:rPr>
        <w:t xml:space="preserve">Campbell, K., Gordon, L. A., Loeb, M. P., &amp; Zhou, L. (2003). The economic cost of publicly announced information security breaches: Empirical evidence from the stock market. </w:t>
      </w:r>
      <w:r>
        <w:rPr>
          <w:rFonts w:ascii="Times New Roman" w:eastAsia="Times New Roman" w:hAnsi="Times New Roman" w:cs="Times New Roman"/>
          <w:i/>
          <w:iCs/>
        </w:rPr>
        <w:lastRenderedPageBreak/>
        <w:t>Journal of Computer Security, 11</w:t>
      </w:r>
      <w:r>
        <w:rPr>
          <w:rFonts w:ascii="Times New Roman" w:eastAsia="Times New Roman" w:hAnsi="Times New Roman" w:cs="Times New Roman"/>
        </w:rPr>
        <w:t xml:space="preserve">(3), 431–448. </w:t>
      </w:r>
      <w:hyperlink r:id="rId41" w:history="1">
        <w:r>
          <w:rPr>
            <w:rStyle w:val="Hyperlink"/>
            <w:rFonts w:ascii="Times New Roman" w:eastAsia="Times New Roman" w:hAnsi="Times New Roman" w:cs="Times New Roman"/>
          </w:rPr>
          <w:t>https://journals.sagepub.com/doi/abs/10.3233/JCS-2003-11308</w:t>
        </w:r>
      </w:hyperlink>
    </w:p>
    <w:p w14:paraId="23080FF4" w14:textId="77777777" w:rsidR="00284E84" w:rsidRDefault="00284E84" w:rsidP="00284E84">
      <w:pPr>
        <w:spacing w:line="480" w:lineRule="auto"/>
        <w:ind w:left="720" w:hanging="720"/>
      </w:pPr>
      <w:r>
        <w:rPr>
          <w:rFonts w:ascii="Times New Roman" w:eastAsia="Times New Roman" w:hAnsi="Times New Roman" w:cs="Times New Roman"/>
        </w:rPr>
        <w:t xml:space="preserve">The Canadian Press. (2021). </w:t>
      </w:r>
      <w:r>
        <w:rPr>
          <w:rFonts w:ascii="Times New Roman" w:eastAsia="Times New Roman" w:hAnsi="Times New Roman" w:cs="Times New Roman"/>
          <w:i/>
          <w:iCs/>
        </w:rPr>
        <w:t>Desjardins settles 2019 data breach class-action lawsuit for up to nearly $201M.</w:t>
      </w:r>
      <w:r>
        <w:rPr>
          <w:rFonts w:ascii="Times New Roman" w:eastAsia="Times New Roman" w:hAnsi="Times New Roman" w:cs="Times New Roman"/>
        </w:rPr>
        <w:t xml:space="preserve"> CBC News. </w:t>
      </w:r>
      <w:hyperlink r:id="rId42" w:history="1">
        <w:r>
          <w:rPr>
            <w:rFonts w:ascii="Times New Roman" w:eastAsia="Times New Roman" w:hAnsi="Times New Roman" w:cs="Times New Roman"/>
            <w:color w:val="1155CC"/>
            <w:u w:val="single"/>
          </w:rPr>
          <w:t>https://www.cbc.ca/news/canada/montreal/desjardins-data-breach-lawsuit-settlement-1.6288428</w:t>
        </w:r>
      </w:hyperlink>
    </w:p>
    <w:p w14:paraId="0758C475" w14:textId="77777777" w:rsidR="00857326"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Caporal, J. (2026, January 12). </w:t>
      </w:r>
      <w:r>
        <w:rPr>
          <w:rFonts w:ascii="Times New Roman" w:eastAsia="Times New Roman" w:hAnsi="Times New Roman" w:cs="Times New Roman"/>
          <w:i/>
          <w:iCs/>
        </w:rPr>
        <w:t>Identity theft and credit card fraud statistics for 2025.</w:t>
      </w:r>
      <w:r>
        <w:rPr>
          <w:rFonts w:ascii="Times New Roman" w:eastAsia="Times New Roman" w:hAnsi="Times New Roman" w:cs="Times New Roman"/>
        </w:rPr>
        <w:t xml:space="preserve"> The Motley Fool. </w:t>
      </w:r>
      <w:hyperlink r:id="rId43" w:history="1">
        <w:r w:rsidR="00857326">
          <w:rPr>
            <w:rFonts w:ascii="Times New Roman" w:eastAsia="Times New Roman" w:hAnsi="Times New Roman" w:cs="Times New Roman"/>
            <w:color w:val="1155CC"/>
            <w:u w:val="single"/>
          </w:rPr>
          <w:t>https://www.fool.com/money/research/identity-theft-credit-card-fraud-statistics/</w:t>
        </w:r>
      </w:hyperlink>
    </w:p>
    <w:p w14:paraId="7375748C" w14:textId="277D3BC4" w:rsidR="00284E84" w:rsidRDefault="00284E84" w:rsidP="00284E84">
      <w:pPr>
        <w:spacing w:line="480" w:lineRule="auto"/>
        <w:ind w:left="720" w:hanging="720"/>
      </w:pPr>
      <w:r>
        <w:rPr>
          <w:rFonts w:ascii="Times New Roman" w:eastAsia="Times New Roman" w:hAnsi="Times New Roman" w:cs="Times New Roman"/>
        </w:rPr>
        <w:t xml:space="preserve">Cavusoglu, H., Mishra, B., &amp; Raghunathan, S. (2004). The effect of internet security breach announcements on market value: Capital market reactions for breached firms and internet security developers. </w:t>
      </w:r>
      <w:r>
        <w:rPr>
          <w:rFonts w:ascii="Times New Roman" w:eastAsia="Times New Roman" w:hAnsi="Times New Roman" w:cs="Times New Roman"/>
          <w:i/>
          <w:iCs/>
        </w:rPr>
        <w:t>International Journal of Electronic Commerce, 9</w:t>
      </w:r>
      <w:r>
        <w:rPr>
          <w:rFonts w:ascii="Times New Roman" w:eastAsia="Times New Roman" w:hAnsi="Times New Roman" w:cs="Times New Roman"/>
        </w:rPr>
        <w:t xml:space="preserve">(1), 70–104. </w:t>
      </w:r>
      <w:hyperlink r:id="rId44" w:history="1">
        <w:r>
          <w:rPr>
            <w:rStyle w:val="Hyperlink"/>
            <w:rFonts w:ascii="Times New Roman" w:eastAsia="Times New Roman" w:hAnsi="Times New Roman" w:cs="Times New Roman"/>
          </w:rPr>
          <w:t>https://www.tandfonline.com/doi/abs/10.1080/10864415.2004.11044320</w:t>
        </w:r>
      </w:hyperlink>
    </w:p>
    <w:p w14:paraId="7C0519F7" w14:textId="77777777" w:rsidR="00857326"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Cingolani, A., &amp; Zamparini, M. (2019). </w:t>
      </w:r>
      <w:r>
        <w:rPr>
          <w:rFonts w:ascii="Times New Roman" w:eastAsia="Times New Roman" w:hAnsi="Times New Roman" w:cs="Times New Roman"/>
          <w:i/>
          <w:iCs/>
        </w:rPr>
        <w:t>Heartland data breach analysis</w:t>
      </w:r>
      <w:r>
        <w:rPr>
          <w:rFonts w:ascii="Times New Roman" w:eastAsia="Times New Roman" w:hAnsi="Times New Roman" w:cs="Times New Roman"/>
        </w:rPr>
        <w:t xml:space="preserve"> [Technical report]. Sapienza University of Rome. </w:t>
      </w:r>
      <w:hyperlink r:id="rId45" w:history="1">
        <w:r w:rsidR="00857326">
          <w:rPr>
            <w:rFonts w:ascii="Times New Roman" w:eastAsia="Times New Roman" w:hAnsi="Times New Roman" w:cs="Times New Roman"/>
            <w:color w:val="1155CC"/>
            <w:u w:val="single"/>
          </w:rPr>
          <w:t>https://www.researchgate.net/publication/346975125_Heartland_Data_Breach_Analysis</w:t>
        </w:r>
      </w:hyperlink>
    </w:p>
    <w:p w14:paraId="6AC2035A" w14:textId="77777777" w:rsidR="00857326"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Coblenz, M., Guo, W., Voozhian, K., &amp; Foster, J. S. (2023). A qualitative study of REST API design and specification practices. In </w:t>
      </w:r>
      <w:r>
        <w:rPr>
          <w:rFonts w:ascii="Times New Roman" w:eastAsia="Times New Roman" w:hAnsi="Times New Roman" w:cs="Times New Roman"/>
          <w:i/>
          <w:iCs/>
        </w:rPr>
        <w:t>2023 IEEE Symposium on Visual Languages and Human-Centric Computing (VL/HCC)</w:t>
      </w:r>
      <w:r>
        <w:rPr>
          <w:rFonts w:ascii="Times New Roman" w:eastAsia="Times New Roman" w:hAnsi="Times New Roman" w:cs="Times New Roman"/>
        </w:rPr>
        <w:t xml:space="preserve"> (pp. 148–156). IEEE. </w:t>
      </w:r>
      <w:hyperlink r:id="rId46" w:history="1">
        <w:r w:rsidR="00857326">
          <w:rPr>
            <w:rFonts w:ascii="Times New Roman" w:eastAsia="Times New Roman" w:hAnsi="Times New Roman" w:cs="Times New Roman"/>
            <w:color w:val="1155CC"/>
            <w:u w:val="single"/>
          </w:rPr>
          <w:t>https://cseweb.ucsd.edu/~mcoblenz/assets/pdf/vlhcc23.pdf</w:t>
        </w:r>
      </w:hyperlink>
    </w:p>
    <w:p w14:paraId="47038DB3" w14:textId="2C963061" w:rsidR="00320E56" w:rsidRPr="00320E56" w:rsidRDefault="00284E84" w:rsidP="00320E56">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Cohen, J. (1988). </w:t>
      </w:r>
      <w:r>
        <w:rPr>
          <w:rFonts w:ascii="Times New Roman" w:eastAsia="Times New Roman" w:hAnsi="Times New Roman" w:cs="Times New Roman"/>
          <w:i/>
          <w:iCs/>
        </w:rPr>
        <w:t>Statistical power analysis for the behavioral sciences</w:t>
      </w:r>
      <w:r>
        <w:rPr>
          <w:rFonts w:ascii="Times New Roman" w:eastAsia="Times New Roman" w:hAnsi="Times New Roman" w:cs="Times New Roman"/>
        </w:rPr>
        <w:t xml:space="preserve"> (7th ed.). Lawrence Erlbaum Associates</w:t>
      </w:r>
      <w:hyperlink r:id="rId47" w:history="1">
        <w:r>
          <w:rPr>
            <w:rStyle w:val="Hyperlink"/>
            <w:rFonts w:ascii="Times New Roman" w:eastAsia="Times New Roman" w:hAnsi="Times New Roman" w:cs="Times New Roman"/>
          </w:rPr>
          <w:t>. https://wrlc-</w:t>
        </w:r>
        <w:r>
          <w:rPr>
            <w:rStyle w:val="Hyperlink"/>
            <w:rFonts w:ascii="Times New Roman" w:eastAsia="Times New Roman" w:hAnsi="Times New Roman" w:cs="Times New Roman"/>
          </w:rPr>
          <w:lastRenderedPageBreak/>
          <w:t>gwu.primo.exlibrisgroup.com/permalink/01WRLC_GWA/1pqr5/alma9910693267604101</w:t>
        </w:r>
      </w:hyperlink>
    </w:p>
    <w:p w14:paraId="2ABF52E3" w14:textId="77777777" w:rsidR="00857326"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Common Vulnerabilities and Exposures Database. (2024). </w:t>
      </w:r>
      <w:r>
        <w:rPr>
          <w:rFonts w:ascii="Times New Roman" w:eastAsia="Times New Roman" w:hAnsi="Times New Roman" w:cs="Times New Roman"/>
          <w:i/>
          <w:iCs/>
        </w:rPr>
        <w:t>CVE-2017-5638.</w:t>
      </w:r>
      <w:r>
        <w:rPr>
          <w:rFonts w:ascii="Times New Roman" w:eastAsia="Times New Roman" w:hAnsi="Times New Roman" w:cs="Times New Roman"/>
        </w:rPr>
        <w:t xml:space="preserve"> CVE.org. </w:t>
      </w:r>
      <w:hyperlink r:id="rId48" w:history="1">
        <w:r w:rsidR="00857326">
          <w:rPr>
            <w:rFonts w:ascii="Times New Roman" w:eastAsia="Times New Roman" w:hAnsi="Times New Roman" w:cs="Times New Roman"/>
            <w:color w:val="1155CC"/>
            <w:u w:val="single"/>
          </w:rPr>
          <w:t>https://www.cve.org/CVERecord?id=CVE-2017-5638</w:t>
        </w:r>
      </w:hyperlink>
    </w:p>
    <w:p w14:paraId="08DB9FC4" w14:textId="77777777" w:rsidR="00284E84" w:rsidRDefault="00284E84" w:rsidP="00284E84">
      <w:pPr>
        <w:spacing w:line="480" w:lineRule="auto"/>
        <w:ind w:left="720" w:hanging="720"/>
      </w:pPr>
      <w:r>
        <w:rPr>
          <w:rFonts w:ascii="Times New Roman" w:eastAsia="Times New Roman" w:hAnsi="Times New Roman" w:cs="Times New Roman"/>
        </w:rPr>
        <w:t xml:space="preserve">Crowley, C. (2024). </w:t>
      </w:r>
      <w:r>
        <w:rPr>
          <w:rFonts w:ascii="Times New Roman" w:eastAsia="Times New Roman" w:hAnsi="Times New Roman" w:cs="Times New Roman"/>
          <w:i/>
          <w:iCs/>
        </w:rPr>
        <w:t>SANS 2024 SOC survey: Facing top challenges.</w:t>
      </w:r>
      <w:r>
        <w:rPr>
          <w:rFonts w:ascii="Times New Roman" w:eastAsia="Times New Roman" w:hAnsi="Times New Roman" w:cs="Times New Roman"/>
        </w:rPr>
        <w:t xml:space="preserve"> SANS Institute. </w:t>
      </w:r>
      <w:hyperlink r:id="rId49" w:history="1">
        <w:r>
          <w:rPr>
            <w:rFonts w:ascii="Times New Roman" w:eastAsia="Times New Roman" w:hAnsi="Times New Roman" w:cs="Times New Roman"/>
            <w:color w:val="1155CC"/>
            <w:u w:val="single"/>
          </w:rPr>
          <w:t>https://www.sans.org/white-papers/sans-2024-soc-survey-facing-top-challenges-security-operations</w:t>
        </w:r>
      </w:hyperlink>
    </w:p>
    <w:p w14:paraId="6C8CD8C0" w14:textId="77777777" w:rsidR="00284E84" w:rsidRDefault="00284E84" w:rsidP="00284E84">
      <w:pPr>
        <w:spacing w:line="480" w:lineRule="auto"/>
        <w:ind w:left="720" w:hanging="720"/>
      </w:pPr>
      <w:r>
        <w:rPr>
          <w:rFonts w:ascii="Times New Roman" w:eastAsia="Times New Roman" w:hAnsi="Times New Roman" w:cs="Times New Roman"/>
        </w:rPr>
        <w:t xml:space="preserve">Cybersecurity and Infrastructure Security Agency. (2017). </w:t>
      </w:r>
      <w:r>
        <w:rPr>
          <w:rFonts w:ascii="Times New Roman" w:eastAsia="Times New Roman" w:hAnsi="Times New Roman" w:cs="Times New Roman"/>
          <w:i/>
          <w:iCs/>
        </w:rPr>
        <w:t>Defining insider threats.</w:t>
      </w:r>
      <w:r>
        <w:rPr>
          <w:rFonts w:ascii="Times New Roman" w:eastAsia="Times New Roman" w:hAnsi="Times New Roman" w:cs="Times New Roman"/>
        </w:rPr>
        <w:t xml:space="preserve"> CISA. </w:t>
      </w:r>
      <w:hyperlink r:id="rId50" w:history="1">
        <w:r>
          <w:rPr>
            <w:rFonts w:ascii="Times New Roman" w:eastAsia="Times New Roman" w:hAnsi="Times New Roman" w:cs="Times New Roman"/>
            <w:color w:val="1155CC"/>
            <w:u w:val="single"/>
          </w:rPr>
          <w:t>https://www.cisa.gov/topics/physical-security/insider-threat-mitigation/defining-insider-threats</w:t>
        </w:r>
      </w:hyperlink>
    </w:p>
    <w:p w14:paraId="72642094" w14:textId="77777777" w:rsidR="00284E84" w:rsidRDefault="00284E84" w:rsidP="00284E84">
      <w:pPr>
        <w:spacing w:line="480" w:lineRule="auto"/>
        <w:ind w:left="720" w:hanging="720"/>
      </w:pPr>
      <w:r>
        <w:rPr>
          <w:rFonts w:ascii="Times New Roman" w:eastAsia="Times New Roman" w:hAnsi="Times New Roman" w:cs="Times New Roman"/>
        </w:rPr>
        <w:t xml:space="preserve">Dempsey, K., Chawla, N., Johnson, A., et al. (2011). </w:t>
      </w:r>
      <w:r>
        <w:rPr>
          <w:rFonts w:ascii="Times New Roman" w:eastAsia="Times New Roman" w:hAnsi="Times New Roman" w:cs="Times New Roman"/>
          <w:i/>
          <w:iCs/>
        </w:rPr>
        <w:t>Information security continuous monitoring (ISCM) for federal information systems and organizations</w:t>
      </w:r>
      <w:r>
        <w:rPr>
          <w:rFonts w:ascii="Times New Roman" w:eastAsia="Times New Roman" w:hAnsi="Times New Roman" w:cs="Times New Roman"/>
        </w:rPr>
        <w:t xml:space="preserve"> (NIST Special Publication 800-137). U.S. Department of Commerce. </w:t>
      </w:r>
      <w:hyperlink r:id="rId51" w:history="1">
        <w:r>
          <w:rPr>
            <w:rFonts w:ascii="Times New Roman" w:eastAsia="Times New Roman" w:hAnsi="Times New Roman" w:cs="Times New Roman"/>
            <w:color w:val="1155CC"/>
            <w:u w:val="single"/>
          </w:rPr>
          <w:t>https://nvlpubs.nist.gov/nistpubs/legacy/sp/nistspecialpublication800-137.pdf</w:t>
        </w:r>
      </w:hyperlink>
    </w:p>
    <w:p w14:paraId="0642BE16" w14:textId="77777777" w:rsidR="00284E84" w:rsidRDefault="00284E84" w:rsidP="00284E84">
      <w:pPr>
        <w:spacing w:line="480" w:lineRule="auto"/>
        <w:ind w:left="720" w:hanging="720"/>
      </w:pPr>
      <w:r>
        <w:rPr>
          <w:rFonts w:ascii="Times New Roman" w:eastAsia="Times New Roman" w:hAnsi="Times New Roman" w:cs="Times New Roman"/>
        </w:rPr>
        <w:t xml:space="preserve">Detken, K.-O., Rix, T., Kleiner, C., Hellmann, B., &amp; Renners, L. (2015). SIEM approach for a higher level of IT security in enterprise networks. In </w:t>
      </w:r>
      <w:r>
        <w:rPr>
          <w:rFonts w:ascii="Times New Roman" w:eastAsia="Times New Roman" w:hAnsi="Times New Roman" w:cs="Times New Roman"/>
          <w:i/>
          <w:iCs/>
        </w:rPr>
        <w:t>2015 IEEE 8th International Conference on Intelligent Data Acquisition and Advanced Computing Systems (IDAACS)</w:t>
      </w:r>
      <w:r>
        <w:rPr>
          <w:rFonts w:ascii="Times New Roman" w:eastAsia="Times New Roman" w:hAnsi="Times New Roman" w:cs="Times New Roman"/>
        </w:rPr>
        <w:t xml:space="preserve"> (pp. 322–327). IEEE. </w:t>
      </w:r>
      <w:hyperlink r:id="rId52" w:history="1">
        <w:r>
          <w:rPr>
            <w:rFonts w:ascii="Times New Roman" w:eastAsia="Times New Roman" w:hAnsi="Times New Roman" w:cs="Times New Roman"/>
            <w:color w:val="1155CC"/>
            <w:u w:val="single"/>
          </w:rPr>
          <w:t>https://doi.org/10.1109/IDAACS.2015.7340752</w:t>
        </w:r>
      </w:hyperlink>
    </w:p>
    <w:p w14:paraId="49831042" w14:textId="77777777" w:rsidR="00284E84" w:rsidRDefault="00284E84" w:rsidP="00284E84">
      <w:pPr>
        <w:spacing w:line="480" w:lineRule="auto"/>
        <w:ind w:left="720" w:hanging="720"/>
      </w:pPr>
      <w:r>
        <w:rPr>
          <w:rFonts w:ascii="Times New Roman" w:eastAsia="Times New Roman" w:hAnsi="Times New Roman" w:cs="Times New Roman"/>
        </w:rPr>
        <w:t xml:space="preserve">Dhanaraj, A. (2023). </w:t>
      </w:r>
      <w:r>
        <w:rPr>
          <w:rFonts w:ascii="Times New Roman" w:eastAsia="Times New Roman" w:hAnsi="Times New Roman" w:cs="Times New Roman"/>
          <w:i/>
          <w:iCs/>
        </w:rPr>
        <w:t>Putting zero trust architecture into financial institutions.</w:t>
      </w:r>
      <w:r>
        <w:rPr>
          <w:rFonts w:ascii="Times New Roman" w:eastAsia="Times New Roman" w:hAnsi="Times New Roman" w:cs="Times New Roman"/>
        </w:rPr>
        <w:t xml:space="preserve"> Cloud Security Alliance. </w:t>
      </w:r>
      <w:hyperlink r:id="rId53" w:history="1">
        <w:r>
          <w:rPr>
            <w:rFonts w:ascii="Times New Roman" w:eastAsia="Times New Roman" w:hAnsi="Times New Roman" w:cs="Times New Roman"/>
            <w:color w:val="1155CC"/>
            <w:u w:val="single"/>
          </w:rPr>
          <w:t>https://cloudsecurityalliance.org/blog/2023/09/27/putting-zero-trust-architecture-into-financial-institutions</w:t>
        </w:r>
      </w:hyperlink>
    </w:p>
    <w:p w14:paraId="44138BA5"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Dropzone AI. (2025). </w:t>
      </w:r>
      <w:r>
        <w:rPr>
          <w:rFonts w:ascii="Times New Roman" w:eastAsia="Times New Roman" w:hAnsi="Times New Roman" w:cs="Times New Roman"/>
          <w:i/>
          <w:iCs/>
        </w:rPr>
        <w:t>Alert triage in 2025: The complete guide to 90% faster investigations.</w:t>
      </w:r>
      <w:r>
        <w:rPr>
          <w:rFonts w:ascii="Times New Roman" w:eastAsia="Times New Roman" w:hAnsi="Times New Roman" w:cs="Times New Roman"/>
        </w:rPr>
        <w:t xml:space="preserve"> </w:t>
      </w:r>
      <w:hyperlink r:id="rId54" w:history="1">
        <w:r>
          <w:rPr>
            <w:rFonts w:ascii="Times New Roman" w:eastAsia="Times New Roman" w:hAnsi="Times New Roman" w:cs="Times New Roman"/>
            <w:color w:val="1155CC"/>
            <w:u w:val="single"/>
          </w:rPr>
          <w:t>https://www.dropzone.ai/glossary/alert-triage-in-2025-the-complete-guide-to-90-faster-investigations</w:t>
        </w:r>
      </w:hyperlink>
    </w:p>
    <w:p w14:paraId="3CE10059" w14:textId="77777777" w:rsidR="00284E84" w:rsidRDefault="00284E84" w:rsidP="00284E84">
      <w:pPr>
        <w:spacing w:line="480" w:lineRule="auto"/>
        <w:ind w:left="720" w:hanging="720"/>
      </w:pPr>
      <w:r>
        <w:rPr>
          <w:rFonts w:ascii="Times New Roman" w:eastAsia="Times New Roman" w:hAnsi="Times New Roman" w:cs="Times New Roman"/>
        </w:rPr>
        <w:t xml:space="preserve">Elastic N.V. (2026a). </w:t>
      </w:r>
      <w:r>
        <w:rPr>
          <w:rFonts w:ascii="Times New Roman" w:eastAsia="Times New Roman" w:hAnsi="Times New Roman" w:cs="Times New Roman"/>
          <w:i/>
          <w:iCs/>
        </w:rPr>
        <w:t>Elasticsearch guide [8.x].</w:t>
      </w:r>
      <w:r>
        <w:rPr>
          <w:rFonts w:ascii="Times New Roman" w:eastAsia="Times New Roman" w:hAnsi="Times New Roman" w:cs="Times New Roman"/>
        </w:rPr>
        <w:t xml:space="preserve"> </w:t>
      </w:r>
      <w:hyperlink r:id="rId55" w:history="1">
        <w:r>
          <w:rPr>
            <w:rFonts w:ascii="Times New Roman" w:eastAsia="Times New Roman" w:hAnsi="Times New Roman" w:cs="Times New Roman"/>
            <w:color w:val="1155CC"/>
            <w:u w:val="single"/>
          </w:rPr>
          <w:t>https://www.elastic.co/guide/en/elasticsearch/reference/current/index.html</w:t>
        </w:r>
      </w:hyperlink>
    </w:p>
    <w:p w14:paraId="1ED73425" w14:textId="77777777" w:rsidR="00284E84" w:rsidRDefault="00284E84" w:rsidP="00284E84">
      <w:pPr>
        <w:spacing w:line="480" w:lineRule="auto"/>
        <w:ind w:left="720" w:hanging="720"/>
      </w:pPr>
      <w:r>
        <w:rPr>
          <w:rFonts w:ascii="Times New Roman" w:eastAsia="Times New Roman" w:hAnsi="Times New Roman" w:cs="Times New Roman"/>
        </w:rPr>
        <w:t xml:space="preserve">Elastic N.V. (2026b). </w:t>
      </w:r>
      <w:r>
        <w:rPr>
          <w:rFonts w:ascii="Times New Roman" w:eastAsia="Times New Roman" w:hAnsi="Times New Roman" w:cs="Times New Roman"/>
          <w:i/>
          <w:iCs/>
        </w:rPr>
        <w:t>Logstash reference [8.x]: Filter plugins — translate.</w:t>
      </w:r>
      <w:r>
        <w:rPr>
          <w:rFonts w:ascii="Times New Roman" w:eastAsia="Times New Roman" w:hAnsi="Times New Roman" w:cs="Times New Roman"/>
        </w:rPr>
        <w:t xml:space="preserve"> </w:t>
      </w:r>
      <w:hyperlink r:id="rId56" w:history="1">
        <w:r>
          <w:rPr>
            <w:rFonts w:ascii="Times New Roman" w:eastAsia="Times New Roman" w:hAnsi="Times New Roman" w:cs="Times New Roman"/>
            <w:color w:val="1155CC"/>
            <w:u w:val="single"/>
          </w:rPr>
          <w:t>https://www.elastic.co/guide/en/logstash/current/plugins-filters-translate.html</w:t>
        </w:r>
      </w:hyperlink>
    </w:p>
    <w:p w14:paraId="40F832CD" w14:textId="77777777" w:rsidR="00284E84" w:rsidRDefault="00284E84" w:rsidP="00284E84">
      <w:pPr>
        <w:spacing w:line="480" w:lineRule="auto"/>
        <w:ind w:left="720" w:hanging="720"/>
      </w:pPr>
      <w:r>
        <w:rPr>
          <w:rFonts w:ascii="Times New Roman" w:eastAsia="Times New Roman" w:hAnsi="Times New Roman" w:cs="Times New Roman"/>
        </w:rPr>
        <w:t xml:space="preserve">Elastic N.V. (2026c). </w:t>
      </w:r>
      <w:r>
        <w:rPr>
          <w:rFonts w:ascii="Times New Roman" w:eastAsia="Times New Roman" w:hAnsi="Times New Roman" w:cs="Times New Roman"/>
          <w:i/>
          <w:iCs/>
        </w:rPr>
        <w:t>Kibana guide [8.x]: Alerting.</w:t>
      </w:r>
      <w:r>
        <w:rPr>
          <w:rFonts w:ascii="Times New Roman" w:eastAsia="Times New Roman" w:hAnsi="Times New Roman" w:cs="Times New Roman"/>
        </w:rPr>
        <w:t xml:space="preserve"> </w:t>
      </w:r>
      <w:hyperlink r:id="rId57" w:history="1">
        <w:r>
          <w:rPr>
            <w:rFonts w:ascii="Times New Roman" w:eastAsia="Times New Roman" w:hAnsi="Times New Roman" w:cs="Times New Roman"/>
            <w:color w:val="1155CC"/>
            <w:u w:val="single"/>
          </w:rPr>
          <w:t>https://www.elastic.co/guide/en/kibana/current/alerting-getting-started.html</w:t>
        </w:r>
      </w:hyperlink>
    </w:p>
    <w:p w14:paraId="0CC1C7A1" w14:textId="77777777" w:rsidR="00284E84" w:rsidRDefault="00284E84" w:rsidP="00284E84">
      <w:pPr>
        <w:spacing w:line="480" w:lineRule="auto"/>
        <w:ind w:left="720" w:hanging="720"/>
      </w:pPr>
      <w:r>
        <w:rPr>
          <w:rFonts w:ascii="Times New Roman" w:eastAsia="Times New Roman" w:hAnsi="Times New Roman" w:cs="Times New Roman"/>
        </w:rPr>
        <w:t xml:space="preserve">Elastic N.V. (2026d). </w:t>
      </w:r>
      <w:r>
        <w:rPr>
          <w:rFonts w:ascii="Times New Roman" w:eastAsia="Times New Roman" w:hAnsi="Times New Roman" w:cs="Times New Roman"/>
          <w:i/>
          <w:iCs/>
        </w:rPr>
        <w:t>Elastic Common Schema (ECS) reference.</w:t>
      </w:r>
      <w:r>
        <w:rPr>
          <w:rFonts w:ascii="Times New Roman" w:eastAsia="Times New Roman" w:hAnsi="Times New Roman" w:cs="Times New Roman"/>
        </w:rPr>
        <w:t xml:space="preserve"> </w:t>
      </w:r>
      <w:hyperlink r:id="rId58" w:history="1">
        <w:r>
          <w:rPr>
            <w:rFonts w:ascii="Times New Roman" w:eastAsia="Times New Roman" w:hAnsi="Times New Roman" w:cs="Times New Roman"/>
            <w:color w:val="1155CC"/>
            <w:u w:val="single"/>
          </w:rPr>
          <w:t>https://www.elastic.co/docs/reference/ecs/ecs-using-ecs</w:t>
        </w:r>
      </w:hyperlink>
    </w:p>
    <w:p w14:paraId="01142736" w14:textId="77777777" w:rsidR="00857326"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El-Metwaly, A. E. S., Abdelfattah, M. A., Maher, N. M., Hamed, M., Tayel, E. M., Al-Rifai, M. A., &amp; Takieldeen, A. E. (2024). Remote access trojan (RAT) attack: A stealthy cyber threat posing severe security risks. In </w:t>
      </w:r>
      <w:r>
        <w:rPr>
          <w:rFonts w:ascii="Times New Roman" w:eastAsia="Times New Roman" w:hAnsi="Times New Roman" w:cs="Times New Roman"/>
          <w:i/>
          <w:iCs/>
        </w:rPr>
        <w:t>2024 International Telecommunications Conference (ITC-Egypt)</w:t>
      </w:r>
      <w:r>
        <w:rPr>
          <w:rFonts w:ascii="Times New Roman" w:eastAsia="Times New Roman" w:hAnsi="Times New Roman" w:cs="Times New Roman"/>
        </w:rPr>
        <w:t xml:space="preserve"> (pp. 1–5). IEEE. </w:t>
      </w:r>
      <w:hyperlink r:id="rId59" w:history="1">
        <w:r w:rsidR="00857326">
          <w:rPr>
            <w:rFonts w:ascii="Times New Roman" w:eastAsia="Times New Roman" w:hAnsi="Times New Roman" w:cs="Times New Roman"/>
            <w:color w:val="1155CC"/>
            <w:u w:val="single"/>
          </w:rPr>
          <w:t>https://ieeexplore.ieee.org/document/10620482</w:t>
        </w:r>
      </w:hyperlink>
    </w:p>
    <w:p w14:paraId="7D30ED2C" w14:textId="25534898" w:rsidR="00284E84" w:rsidRDefault="00284E84" w:rsidP="00284E84">
      <w:pPr>
        <w:spacing w:line="480" w:lineRule="auto"/>
        <w:ind w:left="720" w:hanging="720"/>
      </w:pPr>
      <w:r>
        <w:rPr>
          <w:rFonts w:ascii="Times New Roman" w:eastAsia="Times New Roman" w:hAnsi="Times New Roman" w:cs="Times New Roman"/>
        </w:rPr>
        <w:t xml:space="preserve">ENISA. (2025, February). </w:t>
      </w:r>
      <w:r>
        <w:rPr>
          <w:rFonts w:ascii="Times New Roman" w:eastAsia="Times New Roman" w:hAnsi="Times New Roman" w:cs="Times New Roman"/>
          <w:i/>
          <w:iCs/>
        </w:rPr>
        <w:t>ENISA threat landscape: Finance sector.</w:t>
      </w:r>
      <w:r>
        <w:rPr>
          <w:rFonts w:ascii="Times New Roman" w:eastAsia="Times New Roman" w:hAnsi="Times New Roman" w:cs="Times New Roman"/>
        </w:rPr>
        <w:t xml:space="preserve"> European Union Agency for Cybersecurity. </w:t>
      </w:r>
      <w:hyperlink r:id="rId60" w:history="1">
        <w:r>
          <w:rPr>
            <w:rStyle w:val="Hyperlink"/>
            <w:rFonts w:ascii="Times New Roman" w:eastAsia="Times New Roman" w:hAnsi="Times New Roman" w:cs="Times New Roman"/>
          </w:rPr>
          <w:t>https://www.enisa.europa.eu/sites/default/files/2025-02/Finance%20TL%202024_Final.pdf</w:t>
        </w:r>
      </w:hyperlink>
    </w:p>
    <w:p w14:paraId="5907B7C8" w14:textId="77777777" w:rsidR="00284E84" w:rsidRDefault="00284E84" w:rsidP="00284E84">
      <w:pPr>
        <w:spacing w:line="480" w:lineRule="auto"/>
        <w:ind w:left="720" w:hanging="720"/>
      </w:pPr>
      <w:r>
        <w:rPr>
          <w:rFonts w:ascii="Times New Roman" w:eastAsia="Times New Roman" w:hAnsi="Times New Roman" w:cs="Times New Roman"/>
        </w:rPr>
        <w:t xml:space="preserve">Ennis, D. (2023). </w:t>
      </w:r>
      <w:r>
        <w:rPr>
          <w:rFonts w:ascii="Times New Roman" w:eastAsia="Times New Roman" w:hAnsi="Times New Roman" w:cs="Times New Roman"/>
          <w:i/>
          <w:iCs/>
        </w:rPr>
        <w:t>Fed ends Capital One breach-related enforcement action.</w:t>
      </w:r>
      <w:r>
        <w:rPr>
          <w:rFonts w:ascii="Times New Roman" w:eastAsia="Times New Roman" w:hAnsi="Times New Roman" w:cs="Times New Roman"/>
        </w:rPr>
        <w:t xml:space="preserve"> Cybersecurity Dive. </w:t>
      </w:r>
      <w:hyperlink r:id="rId61" w:history="1">
        <w:r>
          <w:rPr>
            <w:rFonts w:ascii="Times New Roman" w:eastAsia="Times New Roman" w:hAnsi="Times New Roman" w:cs="Times New Roman"/>
            <w:color w:val="1155CC"/>
            <w:u w:val="single"/>
          </w:rPr>
          <w:t>https://www.cybersecuritydive.com/news/fed-ends-capital-one-breach-action/686970/</w:t>
        </w:r>
      </w:hyperlink>
    </w:p>
    <w:p w14:paraId="18225058"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Federal Bureau of Investigation. (2025). </w:t>
      </w:r>
      <w:r>
        <w:rPr>
          <w:rFonts w:ascii="Times New Roman" w:eastAsia="Times New Roman" w:hAnsi="Times New Roman" w:cs="Times New Roman"/>
          <w:i/>
          <w:iCs/>
        </w:rPr>
        <w:t>Account takeover fraud via impersonation of financial institution support</w:t>
      </w:r>
      <w:r>
        <w:rPr>
          <w:rFonts w:ascii="Times New Roman" w:eastAsia="Times New Roman" w:hAnsi="Times New Roman" w:cs="Times New Roman"/>
        </w:rPr>
        <w:t xml:space="preserve"> (Public Service Announcement No. I-112525-PSA). </w:t>
      </w:r>
      <w:hyperlink r:id="rId62" w:history="1">
        <w:r>
          <w:rPr>
            <w:rFonts w:ascii="Times New Roman" w:eastAsia="Times New Roman" w:hAnsi="Times New Roman" w:cs="Times New Roman"/>
            <w:color w:val="1155CC"/>
            <w:u w:val="single"/>
          </w:rPr>
          <w:t>https://www.ic3.gov/PSA/2025/PSA251125</w:t>
        </w:r>
      </w:hyperlink>
    </w:p>
    <w:p w14:paraId="77710DE4" w14:textId="77777777" w:rsidR="00284E84" w:rsidRDefault="00284E84" w:rsidP="00284E84">
      <w:pPr>
        <w:spacing w:line="480" w:lineRule="auto"/>
        <w:ind w:left="720" w:hanging="720"/>
      </w:pPr>
      <w:r>
        <w:rPr>
          <w:rFonts w:ascii="Times New Roman" w:eastAsia="Times New Roman" w:hAnsi="Times New Roman" w:cs="Times New Roman"/>
        </w:rPr>
        <w:t xml:space="preserve">Federal Trade Commission. (n.d.). </w:t>
      </w:r>
      <w:r>
        <w:rPr>
          <w:rFonts w:ascii="Times New Roman" w:eastAsia="Times New Roman" w:hAnsi="Times New Roman" w:cs="Times New Roman"/>
          <w:i/>
          <w:iCs/>
        </w:rPr>
        <w:t>Gramm-Leach-Bliley Act.</w:t>
      </w:r>
      <w:r>
        <w:rPr>
          <w:rFonts w:ascii="Times New Roman" w:eastAsia="Times New Roman" w:hAnsi="Times New Roman" w:cs="Times New Roman"/>
        </w:rPr>
        <w:t xml:space="preserve"> Retrieved June 20, 2026. </w:t>
      </w:r>
      <w:hyperlink r:id="rId63" w:history="1">
        <w:r>
          <w:rPr>
            <w:rFonts w:ascii="Times New Roman" w:eastAsia="Times New Roman" w:hAnsi="Times New Roman" w:cs="Times New Roman"/>
            <w:color w:val="1155CC"/>
            <w:u w:val="single"/>
          </w:rPr>
          <w:t>https://www.ftc.gov/business-guidance/privacy-security/gramm-leach-bliley-act</w:t>
        </w:r>
      </w:hyperlink>
    </w:p>
    <w:p w14:paraId="472EE06F" w14:textId="77777777" w:rsidR="00284E84" w:rsidRDefault="00284E84" w:rsidP="00284E84">
      <w:pPr>
        <w:spacing w:line="480" w:lineRule="auto"/>
        <w:ind w:left="720" w:hanging="720"/>
      </w:pPr>
      <w:r>
        <w:rPr>
          <w:rFonts w:ascii="Times New Roman" w:eastAsia="Times New Roman" w:hAnsi="Times New Roman" w:cs="Times New Roman"/>
        </w:rPr>
        <w:t xml:space="preserve">Fernandez, F. (2025). </w:t>
      </w:r>
      <w:r>
        <w:rPr>
          <w:rFonts w:ascii="Times New Roman" w:eastAsia="Times New Roman" w:hAnsi="Times New Roman" w:cs="Times New Roman"/>
          <w:i/>
          <w:iCs/>
        </w:rPr>
        <w:t>Top 10 ways to achieve remote code execution (RCE) on web applications.</w:t>
      </w:r>
      <w:r>
        <w:rPr>
          <w:rFonts w:ascii="Times New Roman" w:eastAsia="Times New Roman" w:hAnsi="Times New Roman" w:cs="Times New Roman"/>
        </w:rPr>
        <w:t xml:space="preserve"> Medium. </w:t>
      </w:r>
      <w:hyperlink r:id="rId64" w:history="1">
        <w:r>
          <w:rPr>
            <w:rFonts w:ascii="Times New Roman" w:eastAsia="Times New Roman" w:hAnsi="Times New Roman" w:cs="Times New Roman"/>
            <w:color w:val="1155CC"/>
            <w:u w:val="single"/>
          </w:rPr>
          <w:t>https://fdzdev.medium.com/top-10-ways-to-achieve-remote-code-execution-rce-on-web-applications-d923246b916b</w:t>
        </w:r>
      </w:hyperlink>
    </w:p>
    <w:p w14:paraId="6C64DEDC" w14:textId="77777777" w:rsidR="00284E84" w:rsidRDefault="00284E84" w:rsidP="00284E84">
      <w:pPr>
        <w:spacing w:line="480" w:lineRule="auto"/>
        <w:ind w:left="720" w:hanging="720"/>
      </w:pPr>
      <w:r>
        <w:rPr>
          <w:rFonts w:ascii="Times New Roman" w:eastAsia="Times New Roman" w:hAnsi="Times New Roman" w:cs="Times New Roman"/>
        </w:rPr>
        <w:t xml:space="preserve">Forrester Consulting. (2025, June). </w:t>
      </w:r>
      <w:r>
        <w:rPr>
          <w:rFonts w:ascii="Times New Roman" w:eastAsia="Times New Roman" w:hAnsi="Times New Roman" w:cs="Times New Roman"/>
          <w:i/>
          <w:iCs/>
        </w:rPr>
        <w:t>The Total Economic Impact of Microsoft Defender and Sentinel.</w:t>
      </w:r>
      <w:r>
        <w:rPr>
          <w:rFonts w:ascii="Times New Roman" w:eastAsia="Times New Roman" w:hAnsi="Times New Roman" w:cs="Times New Roman"/>
        </w:rPr>
        <w:t xml:space="preserve"> </w:t>
      </w:r>
      <w:hyperlink r:id="rId65" w:history="1">
        <w:r>
          <w:rPr>
            <w:rFonts w:ascii="Times New Roman" w:eastAsia="Times New Roman" w:hAnsi="Times New Roman" w:cs="Times New Roman"/>
            <w:color w:val="1155CC"/>
            <w:u w:val="single"/>
          </w:rPr>
          <w:t>https://tei.forrester.com/go/microsoft/defender/docs/TEI_of_MSFT_Defender_and_Sentinel_SIEM_PDF_vA.pdf</w:t>
        </w:r>
      </w:hyperlink>
    </w:p>
    <w:p w14:paraId="74C68445" w14:textId="77777777" w:rsidR="00284E84" w:rsidRDefault="00284E84" w:rsidP="00284E84">
      <w:pPr>
        <w:spacing w:line="480" w:lineRule="auto"/>
        <w:ind w:left="720" w:hanging="720"/>
      </w:pPr>
      <w:r>
        <w:rPr>
          <w:rFonts w:ascii="Times New Roman" w:eastAsia="Times New Roman" w:hAnsi="Times New Roman" w:cs="Times New Roman"/>
        </w:rPr>
        <w:t xml:space="preserve">Fortinet. (2025). </w:t>
      </w:r>
      <w:r>
        <w:rPr>
          <w:rFonts w:ascii="Times New Roman" w:eastAsia="Times New Roman" w:hAnsi="Times New Roman" w:cs="Times New Roman"/>
          <w:i/>
          <w:iCs/>
        </w:rPr>
        <w:t>2025 global threat landscape report.</w:t>
      </w:r>
      <w:r>
        <w:rPr>
          <w:rFonts w:ascii="Times New Roman" w:eastAsia="Times New Roman" w:hAnsi="Times New Roman" w:cs="Times New Roman"/>
        </w:rPr>
        <w:t xml:space="preserve"> Fortinet, Inc. </w:t>
      </w:r>
      <w:hyperlink r:id="rId66" w:history="1">
        <w:r>
          <w:rPr>
            <w:rFonts w:ascii="Times New Roman" w:eastAsia="Times New Roman" w:hAnsi="Times New Roman" w:cs="Times New Roman"/>
            <w:color w:val="1155CC"/>
            <w:u w:val="single"/>
          </w:rPr>
          <w:t>https://www.fortinet.com/resources/reports/threat-landscape-report</w:t>
        </w:r>
      </w:hyperlink>
    </w:p>
    <w:p w14:paraId="7ECD5010" w14:textId="77777777" w:rsidR="00284E84" w:rsidRDefault="00284E84" w:rsidP="00284E84">
      <w:pPr>
        <w:spacing w:line="480" w:lineRule="auto"/>
        <w:ind w:left="720" w:hanging="720"/>
      </w:pPr>
      <w:r>
        <w:rPr>
          <w:rFonts w:ascii="Times New Roman" w:eastAsia="Times New Roman" w:hAnsi="Times New Roman" w:cs="Times New Roman"/>
        </w:rPr>
        <w:t xml:space="preserve">Gartner. (2022). </w:t>
      </w:r>
      <w:r>
        <w:rPr>
          <w:rFonts w:ascii="Times New Roman" w:eastAsia="Times New Roman" w:hAnsi="Times New Roman" w:cs="Times New Roman"/>
          <w:i/>
          <w:iCs/>
        </w:rPr>
        <w:t>Hype cycle for data security, 2022.</w:t>
      </w:r>
      <w:r>
        <w:rPr>
          <w:rFonts w:ascii="Times New Roman" w:eastAsia="Times New Roman" w:hAnsi="Times New Roman" w:cs="Times New Roman"/>
        </w:rPr>
        <w:t xml:space="preserve"> Gartner, Inc.</w:t>
      </w:r>
    </w:p>
    <w:p w14:paraId="25855F8A" w14:textId="77777777" w:rsidR="00284E84" w:rsidRDefault="00284E84" w:rsidP="00284E84">
      <w:pPr>
        <w:spacing w:line="480" w:lineRule="auto"/>
        <w:ind w:left="720" w:hanging="720"/>
      </w:pPr>
      <w:r>
        <w:rPr>
          <w:rFonts w:ascii="Times New Roman" w:eastAsia="Times New Roman" w:hAnsi="Times New Roman" w:cs="Times New Roman"/>
        </w:rPr>
        <w:t xml:space="preserve">Greitzer, F. L., &amp; Ferryman, T. A. (2013). Methods and metrics for evaluating analytic insider threat tools. In </w:t>
      </w:r>
      <w:r>
        <w:rPr>
          <w:rFonts w:ascii="Times New Roman" w:eastAsia="Times New Roman" w:hAnsi="Times New Roman" w:cs="Times New Roman"/>
          <w:i/>
          <w:iCs/>
        </w:rPr>
        <w:t>2013 IEEE Security and Privacy Workshops</w:t>
      </w:r>
      <w:r>
        <w:rPr>
          <w:rFonts w:ascii="Times New Roman" w:eastAsia="Times New Roman" w:hAnsi="Times New Roman" w:cs="Times New Roman"/>
        </w:rPr>
        <w:t xml:space="preserve"> (pp. 90–97). IEEE. </w:t>
      </w:r>
      <w:hyperlink r:id="rId67" w:history="1">
        <w:r>
          <w:rPr>
            <w:rFonts w:ascii="Times New Roman" w:eastAsia="Times New Roman" w:hAnsi="Times New Roman" w:cs="Times New Roman"/>
            <w:color w:val="1155CC"/>
            <w:u w:val="single"/>
          </w:rPr>
          <w:t>https://doi.org/10.1109/SPW.2013.34</w:t>
        </w:r>
      </w:hyperlink>
    </w:p>
    <w:p w14:paraId="08AEF000" w14:textId="77777777" w:rsidR="00284E84" w:rsidRDefault="00284E84" w:rsidP="00284E84">
      <w:pPr>
        <w:spacing w:line="480" w:lineRule="auto"/>
        <w:ind w:left="720" w:hanging="720"/>
      </w:pPr>
      <w:r>
        <w:rPr>
          <w:rFonts w:ascii="Times New Roman" w:eastAsia="Times New Roman" w:hAnsi="Times New Roman" w:cs="Times New Roman"/>
        </w:rPr>
        <w:t xml:space="preserve">Henry, K. (2025). </w:t>
      </w:r>
      <w:r>
        <w:rPr>
          <w:rFonts w:ascii="Times New Roman" w:eastAsia="Times New Roman" w:hAnsi="Times New Roman" w:cs="Times New Roman"/>
          <w:i/>
          <w:iCs/>
        </w:rPr>
        <w:t>Real-world PII examples: Everyday scenarios to help you understand personally identifiable information.</w:t>
      </w:r>
      <w:r>
        <w:rPr>
          <w:rFonts w:ascii="Times New Roman" w:eastAsia="Times New Roman" w:hAnsi="Times New Roman" w:cs="Times New Roman"/>
        </w:rPr>
        <w:t xml:space="preserve"> Accountable, Inc. </w:t>
      </w:r>
      <w:hyperlink r:id="rId68" w:history="1">
        <w:r>
          <w:rPr>
            <w:rFonts w:ascii="Times New Roman" w:eastAsia="Times New Roman" w:hAnsi="Times New Roman" w:cs="Times New Roman"/>
            <w:color w:val="1155CC"/>
            <w:u w:val="single"/>
          </w:rPr>
          <w:t>https://www.accountablehq.com/post/real-world-pii-examples-everyday-scenarios-to-help-you-understand-personally-identifiable-information</w:t>
        </w:r>
      </w:hyperlink>
    </w:p>
    <w:p w14:paraId="3A39F2B0" w14:textId="77777777" w:rsidR="00284E84" w:rsidRDefault="00284E84" w:rsidP="00284E84">
      <w:pPr>
        <w:spacing w:line="480" w:lineRule="auto"/>
        <w:ind w:left="720" w:hanging="720"/>
      </w:pPr>
      <w:r>
        <w:rPr>
          <w:rFonts w:ascii="Times New Roman" w:eastAsia="Times New Roman" w:hAnsi="Times New Roman" w:cs="Times New Roman"/>
        </w:rPr>
        <w:t xml:space="preserve">Hevner, A. R., March, S. T., Park, J., &amp; Ram, S. (2004). Design science in information systems research. </w:t>
      </w:r>
      <w:r>
        <w:rPr>
          <w:rFonts w:ascii="Times New Roman" w:eastAsia="Times New Roman" w:hAnsi="Times New Roman" w:cs="Times New Roman"/>
          <w:i/>
          <w:iCs/>
        </w:rPr>
        <w:t>MIS Quarterly, 28</w:t>
      </w:r>
      <w:r>
        <w:rPr>
          <w:rFonts w:ascii="Times New Roman" w:eastAsia="Times New Roman" w:hAnsi="Times New Roman" w:cs="Times New Roman"/>
        </w:rPr>
        <w:t xml:space="preserve">(1), 75–105. </w:t>
      </w:r>
      <w:hyperlink r:id="rId69" w:history="1">
        <w:r>
          <w:rPr>
            <w:rFonts w:ascii="Times New Roman" w:eastAsia="Times New Roman" w:hAnsi="Times New Roman" w:cs="Times New Roman"/>
            <w:color w:val="1155CC"/>
            <w:u w:val="single"/>
          </w:rPr>
          <w:t>https://doi.org/10.2307/25148625</w:t>
        </w:r>
      </w:hyperlink>
    </w:p>
    <w:p w14:paraId="5C2016BD" w14:textId="19102432" w:rsidR="00284E84" w:rsidRDefault="00284E84" w:rsidP="00284E84">
      <w:pPr>
        <w:spacing w:line="480" w:lineRule="auto"/>
        <w:ind w:left="720" w:hanging="720"/>
      </w:pPr>
      <w:r>
        <w:rPr>
          <w:rFonts w:ascii="Times New Roman" w:eastAsia="Times New Roman" w:hAnsi="Times New Roman" w:cs="Times New Roman"/>
        </w:rPr>
        <w:t xml:space="preserve">Holt, T. J., &amp; Lampke, E. (2010). Exploring stolen data markets online: Products and market forces. </w:t>
      </w:r>
      <w:r>
        <w:rPr>
          <w:rFonts w:ascii="Times New Roman" w:eastAsia="Times New Roman" w:hAnsi="Times New Roman" w:cs="Times New Roman"/>
          <w:i/>
          <w:iCs/>
        </w:rPr>
        <w:t>Criminal Justice Studies, 23</w:t>
      </w:r>
      <w:r>
        <w:rPr>
          <w:rFonts w:ascii="Times New Roman" w:eastAsia="Times New Roman" w:hAnsi="Times New Roman" w:cs="Times New Roman"/>
        </w:rPr>
        <w:t>(1), 33–50.</w:t>
      </w:r>
      <w:r>
        <w:t xml:space="preserve"> </w:t>
      </w:r>
      <w:hyperlink r:id="rId70" w:history="1">
        <w:r>
          <w:rPr>
            <w:rStyle w:val="Hyperlink"/>
            <w:rFonts w:ascii="Times New Roman" w:eastAsia="Times New Roman" w:hAnsi="Times New Roman" w:cs="Times New Roman"/>
          </w:rPr>
          <w:t>https://www.researchgate.net/publication/249027953_Exploring_stolen_data_markets_online_Products_and_market_forces</w:t>
        </w:r>
      </w:hyperlink>
    </w:p>
    <w:p w14:paraId="56153177" w14:textId="77777777" w:rsidR="00284E84" w:rsidRDefault="00284E84" w:rsidP="00284E84">
      <w:pPr>
        <w:spacing w:line="480" w:lineRule="auto"/>
        <w:ind w:left="720" w:hanging="720"/>
      </w:pPr>
      <w:r>
        <w:rPr>
          <w:rFonts w:ascii="Times New Roman" w:eastAsia="Times New Roman" w:hAnsi="Times New Roman" w:cs="Times New Roman"/>
        </w:rPr>
        <w:t xml:space="preserve">Hubbard, D. W., &amp; Seiersen, R. (2023). </w:t>
      </w:r>
      <w:r>
        <w:rPr>
          <w:rFonts w:ascii="Times New Roman" w:eastAsia="Times New Roman" w:hAnsi="Times New Roman" w:cs="Times New Roman"/>
          <w:i/>
          <w:iCs/>
        </w:rPr>
        <w:t>How to measure anything in cybersecurity risk</w:t>
      </w:r>
      <w:r>
        <w:rPr>
          <w:rFonts w:ascii="Times New Roman" w:eastAsia="Times New Roman" w:hAnsi="Times New Roman" w:cs="Times New Roman"/>
        </w:rPr>
        <w:t xml:space="preserve"> (2nd ed.). John Wiley &amp; Sons. </w:t>
      </w:r>
      <w:hyperlink r:id="rId71" w:history="1">
        <w:r>
          <w:rPr>
            <w:rFonts w:ascii="Times New Roman" w:eastAsia="Times New Roman" w:hAnsi="Times New Roman" w:cs="Times New Roman"/>
            <w:color w:val="1155CC"/>
            <w:u w:val="single"/>
          </w:rPr>
          <w:t>https://doi.org/10.1002/9781119892335</w:t>
        </w:r>
      </w:hyperlink>
    </w:p>
    <w:p w14:paraId="06179626" w14:textId="77777777" w:rsidR="00284E84" w:rsidRDefault="00284E84" w:rsidP="00284E84">
      <w:pPr>
        <w:spacing w:line="480" w:lineRule="auto"/>
        <w:ind w:left="720" w:hanging="720"/>
      </w:pPr>
      <w:r>
        <w:rPr>
          <w:rFonts w:ascii="Times New Roman" w:eastAsia="Times New Roman" w:hAnsi="Times New Roman" w:cs="Times New Roman"/>
        </w:rPr>
        <w:t xml:space="preserve">Hutchings, A., &amp; Holt, T. J. (2015). A crime script analysis of the online stolen data market. </w:t>
      </w:r>
      <w:r>
        <w:rPr>
          <w:rFonts w:ascii="Times New Roman" w:eastAsia="Times New Roman" w:hAnsi="Times New Roman" w:cs="Times New Roman"/>
          <w:i/>
          <w:iCs/>
        </w:rPr>
        <w:t>The British Journal of Criminology, 55</w:t>
      </w:r>
      <w:r>
        <w:rPr>
          <w:rFonts w:ascii="Times New Roman" w:eastAsia="Times New Roman" w:hAnsi="Times New Roman" w:cs="Times New Roman"/>
        </w:rPr>
        <w:t xml:space="preserve">(3), 596–614. </w:t>
      </w:r>
      <w:hyperlink r:id="rId72" w:history="1">
        <w:r>
          <w:rPr>
            <w:rFonts w:ascii="Times New Roman" w:eastAsia="Times New Roman" w:hAnsi="Times New Roman" w:cs="Times New Roman"/>
            <w:color w:val="1155CC"/>
            <w:u w:val="single"/>
          </w:rPr>
          <w:t>https://doi.org/10.1093/bjc/azu106</w:t>
        </w:r>
      </w:hyperlink>
    </w:p>
    <w:p w14:paraId="51E7E334" w14:textId="77777777" w:rsidR="00284E84" w:rsidRDefault="00284E84" w:rsidP="00284E84">
      <w:pPr>
        <w:spacing w:line="480" w:lineRule="auto"/>
        <w:ind w:left="720" w:hanging="720"/>
      </w:pPr>
      <w:r>
        <w:rPr>
          <w:rFonts w:ascii="Times New Roman" w:eastAsia="Times New Roman" w:hAnsi="Times New Roman" w:cs="Times New Roman"/>
        </w:rPr>
        <w:t xml:space="preserve">IBM Security &amp; Ponemon Institute. (2025). </w:t>
      </w:r>
      <w:r>
        <w:rPr>
          <w:rFonts w:ascii="Times New Roman" w:eastAsia="Times New Roman" w:hAnsi="Times New Roman" w:cs="Times New Roman"/>
          <w:i/>
          <w:iCs/>
        </w:rPr>
        <w:t>Cost of a data breach report 2025.</w:t>
      </w:r>
      <w:r>
        <w:rPr>
          <w:rFonts w:ascii="Times New Roman" w:eastAsia="Times New Roman" w:hAnsi="Times New Roman" w:cs="Times New Roman"/>
        </w:rPr>
        <w:t xml:space="preserve"> IBM. </w:t>
      </w:r>
      <w:hyperlink r:id="rId73" w:history="1">
        <w:r>
          <w:rPr>
            <w:rFonts w:ascii="Times New Roman" w:eastAsia="Times New Roman" w:hAnsi="Times New Roman" w:cs="Times New Roman"/>
            <w:color w:val="1155CC"/>
            <w:u w:val="single"/>
          </w:rPr>
          <w:t>https://www.ibm.com/reports/data-breach</w:t>
        </w:r>
      </w:hyperlink>
    </w:p>
    <w:p w14:paraId="480432F5" w14:textId="77777777" w:rsidR="00284E84" w:rsidRDefault="00284E84" w:rsidP="00284E84">
      <w:pPr>
        <w:spacing w:line="480" w:lineRule="auto"/>
        <w:ind w:left="720" w:hanging="720"/>
      </w:pPr>
      <w:r>
        <w:rPr>
          <w:rFonts w:ascii="Times New Roman" w:eastAsia="Times New Roman" w:hAnsi="Times New Roman" w:cs="Times New Roman"/>
        </w:rPr>
        <w:t xml:space="preserve">InstaTunnel Engineering. (2025). </w:t>
      </w:r>
      <w:r>
        <w:rPr>
          <w:rFonts w:ascii="Times New Roman" w:eastAsia="Times New Roman" w:hAnsi="Times New Roman" w:cs="Times New Roman"/>
          <w:i/>
          <w:iCs/>
        </w:rPr>
        <w:t>Security misconfiguration: The 90% problem that never goes away.</w:t>
      </w:r>
      <w:r>
        <w:rPr>
          <w:rFonts w:ascii="Times New Roman" w:eastAsia="Times New Roman" w:hAnsi="Times New Roman" w:cs="Times New Roman"/>
        </w:rPr>
        <w:t xml:space="preserve"> Medium. </w:t>
      </w:r>
      <w:hyperlink r:id="rId74" w:history="1">
        <w:r>
          <w:rPr>
            <w:rFonts w:ascii="Times New Roman" w:eastAsia="Times New Roman" w:hAnsi="Times New Roman" w:cs="Times New Roman"/>
            <w:color w:val="1155CC"/>
            <w:u w:val="single"/>
          </w:rPr>
          <w:t>https://medium.com/@instatunnel/security-misconfiguration-the-90-problem-that-never-goes-away-087643f01a41</w:t>
        </w:r>
      </w:hyperlink>
    </w:p>
    <w:p w14:paraId="6423BE83" w14:textId="77777777" w:rsidR="00284E84" w:rsidRDefault="00284E84" w:rsidP="00284E84">
      <w:pPr>
        <w:spacing w:line="480" w:lineRule="auto"/>
        <w:ind w:left="720" w:hanging="720"/>
      </w:pPr>
      <w:r>
        <w:rPr>
          <w:rFonts w:ascii="Times New Roman" w:eastAsia="Times New Roman" w:hAnsi="Times New Roman" w:cs="Times New Roman"/>
        </w:rPr>
        <w:t xml:space="preserve">Institute of Data. (2024). </w:t>
      </w:r>
      <w:r>
        <w:rPr>
          <w:rFonts w:ascii="Times New Roman" w:eastAsia="Times New Roman" w:hAnsi="Times New Roman" w:cs="Times New Roman"/>
          <w:i/>
          <w:iCs/>
        </w:rPr>
        <w:t>Techniques and tools for web scraping to harvest data.</w:t>
      </w:r>
      <w:r>
        <w:rPr>
          <w:rFonts w:ascii="Times New Roman" w:eastAsia="Times New Roman" w:hAnsi="Times New Roman" w:cs="Times New Roman"/>
        </w:rPr>
        <w:t xml:space="preserve"> </w:t>
      </w:r>
      <w:hyperlink r:id="rId75" w:history="1">
        <w:r>
          <w:rPr>
            <w:rFonts w:ascii="Times New Roman" w:eastAsia="Times New Roman" w:hAnsi="Times New Roman" w:cs="Times New Roman"/>
            <w:color w:val="1155CC"/>
            <w:u w:val="single"/>
          </w:rPr>
          <w:t>https://www.institutedata.com/us/blog/techniques-and-tools-for-web-scraping-to-harvest-data/</w:t>
        </w:r>
      </w:hyperlink>
    </w:p>
    <w:p w14:paraId="4A509BCE"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Jangampet, V. D., Desetty, A. G., et al. (2024). The impact of Security Orchestration, Automation, and Response (SOAR) on Security Operations Center (SOC) efficiency: A comprehensive analysis. </w:t>
      </w:r>
      <w:r>
        <w:rPr>
          <w:rFonts w:ascii="Times New Roman" w:eastAsia="Times New Roman" w:hAnsi="Times New Roman" w:cs="Times New Roman"/>
          <w:i/>
          <w:iCs/>
        </w:rPr>
        <w:t>Turkish Journal of Computer and Mathematics Education (TURCOMAT).</w:t>
      </w:r>
      <w:r>
        <w:rPr>
          <w:rFonts w:ascii="Times New Roman" w:eastAsia="Times New Roman" w:hAnsi="Times New Roman" w:cs="Times New Roman"/>
        </w:rPr>
        <w:t xml:space="preserve"> </w:t>
      </w:r>
      <w:hyperlink r:id="rId76" w:history="1">
        <w:r>
          <w:rPr>
            <w:rFonts w:ascii="Times New Roman" w:eastAsia="Times New Roman" w:hAnsi="Times New Roman" w:cs="Times New Roman"/>
            <w:color w:val="1155CC"/>
            <w:u w:val="single"/>
          </w:rPr>
          <w:t>https://www.researchgate.net/publication/376811058_The_Impact_of_Security_Orchestration_Automation_and_Response_SOAR_on_Security_Operations_Center_SOC_Efficiency_A_Comprehensive_Analysis</w:t>
        </w:r>
      </w:hyperlink>
    </w:p>
    <w:p w14:paraId="1175FD1D" w14:textId="77777777" w:rsidR="00284E84" w:rsidRDefault="00284E84" w:rsidP="00284E84">
      <w:pPr>
        <w:spacing w:line="480" w:lineRule="auto"/>
        <w:ind w:left="720" w:hanging="720"/>
      </w:pPr>
      <w:r>
        <w:rPr>
          <w:rFonts w:ascii="Times New Roman" w:eastAsia="Times New Roman" w:hAnsi="Times New Roman" w:cs="Times New Roman"/>
        </w:rPr>
        <w:t xml:space="preserve">Jeng, A. (2015). </w:t>
      </w:r>
      <w:r>
        <w:rPr>
          <w:rFonts w:ascii="Times New Roman" w:eastAsia="Times New Roman" w:hAnsi="Times New Roman" w:cs="Times New Roman"/>
          <w:i/>
          <w:iCs/>
        </w:rPr>
        <w:t>Minimizing damage from J.P. Morgan’s data breach.</w:t>
      </w:r>
      <w:r>
        <w:rPr>
          <w:rFonts w:ascii="Times New Roman" w:eastAsia="Times New Roman" w:hAnsi="Times New Roman" w:cs="Times New Roman"/>
        </w:rPr>
        <w:t xml:space="preserve"> Global Information Assurance Certification (GIAC). </w:t>
      </w:r>
      <w:hyperlink r:id="rId77" w:history="1">
        <w:r>
          <w:rPr>
            <w:rFonts w:ascii="Times New Roman" w:eastAsia="Times New Roman" w:hAnsi="Times New Roman" w:cs="Times New Roman"/>
            <w:color w:val="1155CC"/>
            <w:u w:val="single"/>
          </w:rPr>
          <w:t>https://www.giac.org/paper/gsec/36190/minimizing-damage-jp-morgans-data-breach/143120</w:t>
        </w:r>
      </w:hyperlink>
    </w:p>
    <w:p w14:paraId="767BFBC0" w14:textId="77777777" w:rsidR="00284E84" w:rsidRDefault="00284E84" w:rsidP="00284E84">
      <w:pPr>
        <w:spacing w:line="480" w:lineRule="auto"/>
        <w:ind w:left="720" w:hanging="720"/>
      </w:pPr>
      <w:r>
        <w:rPr>
          <w:rFonts w:ascii="Times New Roman" w:eastAsia="Times New Roman" w:hAnsi="Times New Roman" w:cs="Times New Roman"/>
        </w:rPr>
        <w:t xml:space="preserve">Kirin, I. (2017). </w:t>
      </w:r>
      <w:r>
        <w:rPr>
          <w:rFonts w:ascii="Times New Roman" w:eastAsia="Times New Roman" w:hAnsi="Times New Roman" w:cs="Times New Roman"/>
          <w:i/>
          <w:iCs/>
        </w:rPr>
        <w:t>Shadow IT: Data protection and cloud security.</w:t>
      </w:r>
      <w:r>
        <w:rPr>
          <w:rFonts w:ascii="Times New Roman" w:eastAsia="Times New Roman" w:hAnsi="Times New Roman" w:cs="Times New Roman"/>
        </w:rPr>
        <w:t xml:space="preserve"> Zagreb School of Economics and Management. </w:t>
      </w:r>
      <w:hyperlink r:id="rId78" w:history="1">
        <w:r>
          <w:rPr>
            <w:rFonts w:ascii="Times New Roman" w:eastAsia="Times New Roman" w:hAnsi="Times New Roman" w:cs="Times New Roman"/>
            <w:color w:val="1155CC"/>
            <w:u w:val="single"/>
          </w:rPr>
          <w:t>https://papers.ssrn.com/sol3/papers.cfm?abstract_id=3020880</w:t>
        </w:r>
      </w:hyperlink>
    </w:p>
    <w:p w14:paraId="0D75FA20" w14:textId="77777777" w:rsidR="00857326"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Klepper, D. (2025, October 22). </w:t>
      </w:r>
      <w:r>
        <w:rPr>
          <w:rFonts w:ascii="Times New Roman" w:eastAsia="Times New Roman" w:hAnsi="Times New Roman" w:cs="Times New Roman"/>
          <w:i/>
          <w:iCs/>
        </w:rPr>
        <w:t>North Korea has stolen billions in cryptocurrency and tech firm salaries, report says.</w:t>
      </w:r>
      <w:r>
        <w:rPr>
          <w:rFonts w:ascii="Times New Roman" w:eastAsia="Times New Roman" w:hAnsi="Times New Roman" w:cs="Times New Roman"/>
        </w:rPr>
        <w:t xml:space="preserve"> Associated Press. </w:t>
      </w:r>
      <w:hyperlink r:id="rId79" w:history="1">
        <w:r w:rsidR="00857326">
          <w:rPr>
            <w:rFonts w:ascii="Times New Roman" w:eastAsia="Times New Roman" w:hAnsi="Times New Roman" w:cs="Times New Roman"/>
            <w:color w:val="1155CC"/>
            <w:u w:val="single"/>
          </w:rPr>
          <w:t>https://apnews.com/article/north-korea-cyber-nuclear-russia-un-sanctions-28b6681541a62d809c52e0f2625febc9</w:t>
        </w:r>
      </w:hyperlink>
    </w:p>
    <w:p w14:paraId="02095D65" w14:textId="77777777" w:rsidR="00284E84" w:rsidRDefault="00284E84" w:rsidP="00284E84">
      <w:pPr>
        <w:spacing w:line="480" w:lineRule="auto"/>
        <w:ind w:left="720" w:hanging="720"/>
      </w:pPr>
      <w:r>
        <w:rPr>
          <w:rFonts w:ascii="Times New Roman" w:eastAsia="Times New Roman" w:hAnsi="Times New Roman" w:cs="Times New Roman"/>
        </w:rPr>
        <w:t xml:space="preserve">Komal, A., &amp; Madan, V. (2023). Cloud migration and security: A comprehensive analysis. </w:t>
      </w:r>
      <w:r>
        <w:rPr>
          <w:rFonts w:ascii="Times New Roman" w:eastAsia="Times New Roman" w:hAnsi="Times New Roman" w:cs="Times New Roman"/>
          <w:i/>
          <w:iCs/>
        </w:rPr>
        <w:t>International Journal of Cloud Computing, 4</w:t>
      </w:r>
      <w:r>
        <w:rPr>
          <w:rFonts w:ascii="Times New Roman" w:eastAsia="Times New Roman" w:hAnsi="Times New Roman" w:cs="Times New Roman"/>
        </w:rPr>
        <w:t xml:space="preserve">(1). </w:t>
      </w:r>
      <w:hyperlink r:id="rId80" w:history="1">
        <w:r>
          <w:rPr>
            <w:rFonts w:ascii="Times New Roman" w:eastAsia="Times New Roman" w:hAnsi="Times New Roman" w:cs="Times New Roman"/>
            <w:color w:val="1155CC"/>
            <w:u w:val="single"/>
          </w:rPr>
          <w:t>https://www.researchgate.net/publication/386573360_Cloud_Migration_and_Security_A_Comprehensive_Analysis</w:t>
        </w:r>
      </w:hyperlink>
    </w:p>
    <w:p w14:paraId="3C508EE9" w14:textId="77777777" w:rsidR="00284E84" w:rsidRDefault="00284E84" w:rsidP="00284E84">
      <w:pPr>
        <w:spacing w:line="480" w:lineRule="auto"/>
        <w:ind w:left="720" w:hanging="720"/>
      </w:pPr>
      <w:r>
        <w:rPr>
          <w:rFonts w:ascii="Times New Roman" w:eastAsia="Times New Roman" w:hAnsi="Times New Roman" w:cs="Times New Roman"/>
        </w:rPr>
        <w:t xml:space="preserve">Krebs, B. (2019). </w:t>
      </w:r>
      <w:r>
        <w:rPr>
          <w:rFonts w:ascii="Times New Roman" w:eastAsia="Times New Roman" w:hAnsi="Times New Roman" w:cs="Times New Roman"/>
          <w:i/>
          <w:iCs/>
        </w:rPr>
        <w:t>First American Financial Corp. leaked hundreds of millions of title insurance records.</w:t>
      </w:r>
      <w:r>
        <w:rPr>
          <w:rFonts w:ascii="Times New Roman" w:eastAsia="Times New Roman" w:hAnsi="Times New Roman" w:cs="Times New Roman"/>
        </w:rPr>
        <w:t xml:space="preserve"> Krebs on Security. </w:t>
      </w:r>
      <w:hyperlink r:id="rId81" w:history="1">
        <w:r>
          <w:rPr>
            <w:rFonts w:ascii="Times New Roman" w:eastAsia="Times New Roman" w:hAnsi="Times New Roman" w:cs="Times New Roman"/>
            <w:color w:val="1155CC"/>
            <w:u w:val="single"/>
          </w:rPr>
          <w:t>https://krebsonsecurity.com/2019/05/first-american-financial-corp-leaked-hundreds-of-millions-of-title-insurance-records/</w:t>
        </w:r>
      </w:hyperlink>
    </w:p>
    <w:p w14:paraId="7987425B"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Lab1. (2025). </w:t>
      </w:r>
      <w:r>
        <w:rPr>
          <w:rFonts w:ascii="Times New Roman" w:eastAsia="Times New Roman" w:hAnsi="Times New Roman" w:cs="Times New Roman"/>
          <w:i/>
          <w:iCs/>
        </w:rPr>
        <w:t>Anatomy of a breach report.</w:t>
      </w:r>
      <w:r>
        <w:rPr>
          <w:rFonts w:ascii="Times New Roman" w:eastAsia="Times New Roman" w:hAnsi="Times New Roman" w:cs="Times New Roman"/>
        </w:rPr>
        <w:t xml:space="preserve"> Lab 1, Inc. </w:t>
      </w:r>
      <w:hyperlink r:id="rId82" w:history="1">
        <w:r>
          <w:rPr>
            <w:rFonts w:ascii="Times New Roman" w:eastAsia="Times New Roman" w:hAnsi="Times New Roman" w:cs="Times New Roman"/>
            <w:color w:val="1155CC"/>
            <w:u w:val="single"/>
          </w:rPr>
          <w:t>https://lab-1.com/anatomy</w:t>
        </w:r>
      </w:hyperlink>
    </w:p>
    <w:p w14:paraId="5509995D" w14:textId="77777777" w:rsidR="00284E84" w:rsidRDefault="00284E84" w:rsidP="00284E84">
      <w:pPr>
        <w:spacing w:line="480" w:lineRule="auto"/>
        <w:ind w:left="720" w:hanging="720"/>
      </w:pPr>
      <w:r>
        <w:rPr>
          <w:rFonts w:ascii="Times New Roman" w:eastAsia="Times New Roman" w:hAnsi="Times New Roman" w:cs="Times New Roman"/>
        </w:rPr>
        <w:t xml:space="preserve">Mandiant. (2025). </w:t>
      </w:r>
      <w:r>
        <w:rPr>
          <w:rFonts w:ascii="Times New Roman" w:eastAsia="Times New Roman" w:hAnsi="Times New Roman" w:cs="Times New Roman"/>
          <w:i/>
          <w:iCs/>
        </w:rPr>
        <w:t>M-Trends 2025 report.</w:t>
      </w:r>
      <w:r>
        <w:rPr>
          <w:rFonts w:ascii="Times New Roman" w:eastAsia="Times New Roman" w:hAnsi="Times New Roman" w:cs="Times New Roman"/>
        </w:rPr>
        <w:t xml:space="preserve"> Mandiant, Google Cloud. </w:t>
      </w:r>
      <w:hyperlink r:id="rId83" w:history="1">
        <w:r>
          <w:rPr>
            <w:rFonts w:ascii="Times New Roman" w:eastAsia="Times New Roman" w:hAnsi="Times New Roman" w:cs="Times New Roman"/>
            <w:color w:val="1155CC"/>
            <w:u w:val="single"/>
          </w:rPr>
          <w:t>https://services.google.com/fh/files/misc/m-trends-2025-en.pdf</w:t>
        </w:r>
      </w:hyperlink>
    </w:p>
    <w:p w14:paraId="6C4D6BCF" w14:textId="77777777" w:rsidR="00284E84" w:rsidRDefault="00284E84" w:rsidP="00284E84">
      <w:pPr>
        <w:spacing w:line="480" w:lineRule="auto"/>
        <w:ind w:left="720" w:hanging="720"/>
      </w:pPr>
      <w:r>
        <w:rPr>
          <w:rFonts w:ascii="Times New Roman" w:eastAsia="Times New Roman" w:hAnsi="Times New Roman" w:cs="Times New Roman"/>
        </w:rPr>
        <w:t xml:space="preserve">McCallister, E., Grance, T., &amp; Scarfone, K. (2010). </w:t>
      </w:r>
      <w:r>
        <w:rPr>
          <w:rFonts w:ascii="Times New Roman" w:eastAsia="Times New Roman" w:hAnsi="Times New Roman" w:cs="Times New Roman"/>
          <w:i/>
          <w:iCs/>
        </w:rPr>
        <w:t>Guide to protecting the confidentiality of personally identifiable information (PII)</w:t>
      </w:r>
      <w:r>
        <w:rPr>
          <w:rFonts w:ascii="Times New Roman" w:eastAsia="Times New Roman" w:hAnsi="Times New Roman" w:cs="Times New Roman"/>
        </w:rPr>
        <w:t xml:space="preserve"> (NIST Special Publication 800-122). National Institute of Standards and Technology. </w:t>
      </w:r>
      <w:hyperlink r:id="rId84" w:history="1">
        <w:r>
          <w:rPr>
            <w:rFonts w:ascii="Times New Roman" w:eastAsia="Times New Roman" w:hAnsi="Times New Roman" w:cs="Times New Roman"/>
            <w:color w:val="1155CC"/>
            <w:u w:val="single"/>
          </w:rPr>
          <w:t>https://doi.org/10.6028/NIST.SP.800-122</w:t>
        </w:r>
      </w:hyperlink>
    </w:p>
    <w:p w14:paraId="712DDB08" w14:textId="77777777" w:rsidR="00284E84" w:rsidRDefault="00284E84" w:rsidP="00284E84">
      <w:pPr>
        <w:spacing w:line="480" w:lineRule="auto"/>
        <w:ind w:left="720" w:hanging="720"/>
      </w:pPr>
      <w:r>
        <w:rPr>
          <w:rFonts w:ascii="Times New Roman" w:eastAsia="Times New Roman" w:hAnsi="Times New Roman" w:cs="Times New Roman"/>
        </w:rPr>
        <w:t xml:space="preserve">McDonald, G. (2025). </w:t>
      </w:r>
      <w:r>
        <w:rPr>
          <w:rFonts w:ascii="Times New Roman" w:eastAsia="Times New Roman" w:hAnsi="Times New Roman" w:cs="Times New Roman"/>
          <w:i/>
          <w:iCs/>
        </w:rPr>
        <w:t>Security operations center roles and responsibilities.</w:t>
      </w:r>
      <w:r>
        <w:rPr>
          <w:rFonts w:ascii="Times New Roman" w:eastAsia="Times New Roman" w:hAnsi="Times New Roman" w:cs="Times New Roman"/>
        </w:rPr>
        <w:t xml:space="preserve"> Trellix, Inc. </w:t>
      </w:r>
      <w:hyperlink r:id="rId85" w:history="1">
        <w:r>
          <w:rPr>
            <w:rFonts w:ascii="Times New Roman" w:eastAsia="Times New Roman" w:hAnsi="Times New Roman" w:cs="Times New Roman"/>
            <w:color w:val="1155CC"/>
            <w:u w:val="single"/>
          </w:rPr>
          <w:t>https://www.trellix.com/security-awareness/operations/what-is-soc/</w:t>
        </w:r>
      </w:hyperlink>
    </w:p>
    <w:p w14:paraId="0738C569" w14:textId="77777777" w:rsidR="00284E84" w:rsidRDefault="00284E84" w:rsidP="00284E84">
      <w:pPr>
        <w:spacing w:line="480" w:lineRule="auto"/>
        <w:ind w:left="720" w:hanging="720"/>
      </w:pPr>
      <w:r>
        <w:rPr>
          <w:rFonts w:ascii="Times New Roman" w:eastAsia="Times New Roman" w:hAnsi="Times New Roman" w:cs="Times New Roman"/>
        </w:rPr>
        <w:t xml:space="preserve">McGlasson, L. (2010). </w:t>
      </w:r>
      <w:r>
        <w:rPr>
          <w:rFonts w:ascii="Times New Roman" w:eastAsia="Times New Roman" w:hAnsi="Times New Roman" w:cs="Times New Roman"/>
          <w:i/>
          <w:iCs/>
        </w:rPr>
        <w:t>Heartland, Discover settle for $5 million.</w:t>
      </w:r>
      <w:r>
        <w:rPr>
          <w:rFonts w:ascii="Times New Roman" w:eastAsia="Times New Roman" w:hAnsi="Times New Roman" w:cs="Times New Roman"/>
        </w:rPr>
        <w:t xml:space="preserve"> Bank Info Security. </w:t>
      </w:r>
      <w:hyperlink r:id="rId86" w:history="1">
        <w:r>
          <w:rPr>
            <w:rFonts w:ascii="Times New Roman" w:eastAsia="Times New Roman" w:hAnsi="Times New Roman" w:cs="Times New Roman"/>
            <w:color w:val="1155CC"/>
            <w:u w:val="single"/>
          </w:rPr>
          <w:t>https://www.bankinfosecurity.com/heartland-discover-settle-for-5-million-a-2598</w:t>
        </w:r>
      </w:hyperlink>
    </w:p>
    <w:p w14:paraId="27F9F83B" w14:textId="77777777" w:rsidR="00284E84" w:rsidRDefault="00284E84" w:rsidP="00284E84">
      <w:pPr>
        <w:spacing w:line="480" w:lineRule="auto"/>
        <w:ind w:left="720" w:hanging="720"/>
      </w:pPr>
      <w:r>
        <w:rPr>
          <w:rFonts w:ascii="Times New Roman" w:eastAsia="Times New Roman" w:hAnsi="Times New Roman" w:cs="Times New Roman"/>
        </w:rPr>
        <w:t xml:space="preserve">McIntosh, T., Susnjak, T., Liu, T., Xu, D., Watters, P., Liu, D., Hao, Y., Ng, A., &amp; Halgamuge, M. (2024). Ransomware reloaded: Re-examining its trend, research and mitigation in the era of data exfiltration. </w:t>
      </w:r>
      <w:r>
        <w:rPr>
          <w:rFonts w:ascii="Times New Roman" w:eastAsia="Times New Roman" w:hAnsi="Times New Roman" w:cs="Times New Roman"/>
          <w:i/>
          <w:iCs/>
        </w:rPr>
        <w:t>ACM Computing Surveys, 57</w:t>
      </w:r>
      <w:r>
        <w:rPr>
          <w:rFonts w:ascii="Times New Roman" w:eastAsia="Times New Roman" w:hAnsi="Times New Roman" w:cs="Times New Roman"/>
        </w:rPr>
        <w:t xml:space="preserve">(1), Article 18. </w:t>
      </w:r>
      <w:hyperlink r:id="rId87" w:history="1">
        <w:r>
          <w:rPr>
            <w:rFonts w:ascii="Times New Roman" w:eastAsia="Times New Roman" w:hAnsi="Times New Roman" w:cs="Times New Roman"/>
            <w:color w:val="1155CC"/>
            <w:u w:val="single"/>
          </w:rPr>
          <w:t>https://doi.org/10.1145/3691340</w:t>
        </w:r>
      </w:hyperlink>
    </w:p>
    <w:p w14:paraId="3BB4B3EB" w14:textId="77777777" w:rsidR="00284E84" w:rsidRDefault="00284E84" w:rsidP="00284E84">
      <w:pPr>
        <w:spacing w:line="480" w:lineRule="auto"/>
        <w:ind w:left="720" w:hanging="720"/>
      </w:pPr>
      <w:r>
        <w:rPr>
          <w:rFonts w:ascii="Times New Roman" w:eastAsia="Times New Roman" w:hAnsi="Times New Roman" w:cs="Times New Roman"/>
        </w:rPr>
        <w:t xml:space="preserve">Merkel, D. (2014). Docker: Lightweight Linux containers for consistent development and deployment. </w:t>
      </w:r>
      <w:r>
        <w:rPr>
          <w:rFonts w:ascii="Times New Roman" w:eastAsia="Times New Roman" w:hAnsi="Times New Roman" w:cs="Times New Roman"/>
          <w:i/>
          <w:iCs/>
        </w:rPr>
        <w:t>Linux Journal, 2014</w:t>
      </w:r>
      <w:r>
        <w:rPr>
          <w:rFonts w:ascii="Times New Roman" w:eastAsia="Times New Roman" w:hAnsi="Times New Roman" w:cs="Times New Roman"/>
        </w:rPr>
        <w:t xml:space="preserve">(239), Article 2. </w:t>
      </w:r>
      <w:hyperlink r:id="rId88" w:history="1">
        <w:r>
          <w:rPr>
            <w:rFonts w:ascii="Times New Roman" w:eastAsia="Times New Roman" w:hAnsi="Times New Roman" w:cs="Times New Roman"/>
            <w:color w:val="1155CC"/>
            <w:u w:val="single"/>
          </w:rPr>
          <w:t>https://dl.acm.org/doi/10.5555/2600239.2600241</w:t>
        </w:r>
      </w:hyperlink>
    </w:p>
    <w:p w14:paraId="1E6718F6" w14:textId="77777777" w:rsidR="00284E84" w:rsidRDefault="00284E84" w:rsidP="00284E84">
      <w:pPr>
        <w:spacing w:line="480" w:lineRule="auto"/>
        <w:ind w:left="720" w:hanging="720"/>
      </w:pPr>
      <w:r>
        <w:rPr>
          <w:rFonts w:ascii="Times New Roman" w:eastAsia="Times New Roman" w:hAnsi="Times New Roman" w:cs="Times New Roman"/>
        </w:rPr>
        <w:t xml:space="preserve">Meurs, T., Junger, M., Tews, E., &amp; Abhishta, A. (2022). Ransomware: How attacker’s effort, victim characteristics and context influence ransom requested, payment and financial loss. In </w:t>
      </w:r>
      <w:r>
        <w:rPr>
          <w:rFonts w:ascii="Times New Roman" w:eastAsia="Times New Roman" w:hAnsi="Times New Roman" w:cs="Times New Roman"/>
          <w:i/>
          <w:iCs/>
        </w:rPr>
        <w:t>17th APWG Symposium on Electronic Crime Research (eCrime 2022)</w:t>
      </w:r>
      <w:r>
        <w:rPr>
          <w:rFonts w:ascii="Times New Roman" w:eastAsia="Times New Roman" w:hAnsi="Times New Roman" w:cs="Times New Roman"/>
        </w:rPr>
        <w:t xml:space="preserve"> (pp. 1–13). IEEE. </w:t>
      </w:r>
      <w:hyperlink r:id="rId89" w:history="1">
        <w:r>
          <w:rPr>
            <w:rFonts w:ascii="Times New Roman" w:eastAsia="Times New Roman" w:hAnsi="Times New Roman" w:cs="Times New Roman"/>
            <w:color w:val="1155CC"/>
            <w:u w:val="single"/>
          </w:rPr>
          <w:t>https://doi.org/10.1109/eCrime57793.2022.10142138</w:t>
        </w:r>
      </w:hyperlink>
    </w:p>
    <w:p w14:paraId="74355FFE"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Microsoft Corporation. (n.d.). </w:t>
      </w:r>
      <w:r>
        <w:rPr>
          <w:rFonts w:ascii="Times New Roman" w:eastAsia="Times New Roman" w:hAnsi="Times New Roman" w:cs="Times New Roman"/>
          <w:i/>
          <w:iCs/>
        </w:rPr>
        <w:t>What is a SOC?</w:t>
      </w:r>
      <w:r>
        <w:rPr>
          <w:rFonts w:ascii="Times New Roman" w:eastAsia="Times New Roman" w:hAnsi="Times New Roman" w:cs="Times New Roman"/>
        </w:rPr>
        <w:t xml:space="preserve"> Microsoft Security. Retrieved June 20, 2026. </w:t>
      </w:r>
      <w:hyperlink r:id="rId90" w:history="1">
        <w:r>
          <w:rPr>
            <w:rFonts w:ascii="Times New Roman" w:eastAsia="Times New Roman" w:hAnsi="Times New Roman" w:cs="Times New Roman"/>
            <w:color w:val="1155CC"/>
            <w:u w:val="single"/>
          </w:rPr>
          <w:t>https://www.microsoft.com/en-us/security/business/security-101/what-is-a-security-operations-center-soc</w:t>
        </w:r>
      </w:hyperlink>
    </w:p>
    <w:p w14:paraId="3EB0902E" w14:textId="77777777" w:rsidR="00857326"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Miloslavskaya, N. G. (2018). Analysis of SIEM systems and their usage in security operations and security intelligence centers. In A. V. Samsonovich &amp; V. V. Klimov (Eds.), </w:t>
      </w:r>
      <w:r>
        <w:rPr>
          <w:rFonts w:ascii="Times New Roman" w:eastAsia="Times New Roman" w:hAnsi="Times New Roman" w:cs="Times New Roman"/>
          <w:i/>
          <w:iCs/>
        </w:rPr>
        <w:t>Biologically inspired cognitive architectures (BICA) for young scientists</w:t>
      </w:r>
      <w:r>
        <w:rPr>
          <w:rFonts w:ascii="Times New Roman" w:eastAsia="Times New Roman" w:hAnsi="Times New Roman" w:cs="Times New Roman"/>
        </w:rPr>
        <w:t xml:space="preserve"> (Advances in Intelligent Systems and Computing, Vol. 636, pp. 282–288). Springer. </w:t>
      </w:r>
      <w:hyperlink r:id="rId91" w:history="1">
        <w:r w:rsidR="00857326">
          <w:rPr>
            <w:rFonts w:ascii="Times New Roman" w:eastAsia="Times New Roman" w:hAnsi="Times New Roman" w:cs="Times New Roman"/>
            <w:color w:val="1155CC"/>
            <w:u w:val="single"/>
          </w:rPr>
          <w:t>https://www.researchgate.net/publication/318708872_Analysis_of_SIEM_Systems_and_Their_Usage_in_Security_Operations_and_Security_Intelligence_Centers</w:t>
        </w:r>
      </w:hyperlink>
    </w:p>
    <w:p w14:paraId="169806C3" w14:textId="77777777" w:rsidR="00284E84" w:rsidRDefault="00284E84" w:rsidP="00284E84">
      <w:pPr>
        <w:spacing w:line="480" w:lineRule="auto"/>
        <w:ind w:left="720" w:hanging="720"/>
      </w:pPr>
      <w:r>
        <w:rPr>
          <w:rFonts w:ascii="Times New Roman" w:eastAsia="Times New Roman" w:hAnsi="Times New Roman" w:cs="Times New Roman"/>
        </w:rPr>
        <w:t xml:space="preserve">Mishra, D. (2026). </w:t>
      </w:r>
      <w:r>
        <w:rPr>
          <w:rFonts w:ascii="Times New Roman" w:eastAsia="Times New Roman" w:hAnsi="Times New Roman" w:cs="Times New Roman"/>
          <w:i/>
          <w:iCs/>
        </w:rPr>
        <w:t>SQL injection bypassing WAF.</w:t>
      </w:r>
      <w:r>
        <w:rPr>
          <w:rFonts w:ascii="Times New Roman" w:eastAsia="Times New Roman" w:hAnsi="Times New Roman" w:cs="Times New Roman"/>
        </w:rPr>
        <w:t xml:space="preserve"> OWASP Foundation. </w:t>
      </w:r>
      <w:hyperlink r:id="rId92" w:history="1">
        <w:r>
          <w:rPr>
            <w:rFonts w:ascii="Times New Roman" w:eastAsia="Times New Roman" w:hAnsi="Times New Roman" w:cs="Times New Roman"/>
            <w:color w:val="1155CC"/>
            <w:u w:val="single"/>
          </w:rPr>
          <w:t>https://owasp.org/www-community/attacks/SQL_Injection_Bypassing_WAF</w:t>
        </w:r>
      </w:hyperlink>
    </w:p>
    <w:p w14:paraId="61481658" w14:textId="77777777" w:rsidR="00284E84" w:rsidRDefault="00284E84" w:rsidP="00284E84">
      <w:pPr>
        <w:spacing w:line="480" w:lineRule="auto"/>
        <w:ind w:left="720" w:hanging="720"/>
      </w:pPr>
      <w:r>
        <w:rPr>
          <w:rFonts w:ascii="Times New Roman" w:eastAsia="Times New Roman" w:hAnsi="Times New Roman" w:cs="Times New Roman"/>
        </w:rPr>
        <w:t xml:space="preserve">MITRE Corporation. (2026). </w:t>
      </w:r>
      <w:r>
        <w:rPr>
          <w:rFonts w:ascii="Times New Roman" w:eastAsia="Times New Roman" w:hAnsi="Times New Roman" w:cs="Times New Roman"/>
          <w:i/>
          <w:iCs/>
        </w:rPr>
        <w:t>MITRE ATT&amp;CK.</w:t>
      </w:r>
      <w:r>
        <w:rPr>
          <w:rFonts w:ascii="Times New Roman" w:eastAsia="Times New Roman" w:hAnsi="Times New Roman" w:cs="Times New Roman"/>
        </w:rPr>
        <w:t xml:space="preserve"> </w:t>
      </w:r>
      <w:hyperlink r:id="rId93" w:history="1">
        <w:r>
          <w:rPr>
            <w:rFonts w:ascii="Times New Roman" w:eastAsia="Times New Roman" w:hAnsi="Times New Roman" w:cs="Times New Roman"/>
            <w:color w:val="1155CC"/>
            <w:u w:val="single"/>
          </w:rPr>
          <w:t>https://attack.mitre.org/</w:t>
        </w:r>
      </w:hyperlink>
    </w:p>
    <w:p w14:paraId="258E0DF4" w14:textId="77777777" w:rsidR="00284E84" w:rsidRDefault="00284E84" w:rsidP="00284E84">
      <w:pPr>
        <w:spacing w:line="480" w:lineRule="auto"/>
        <w:ind w:left="720" w:hanging="720"/>
      </w:pPr>
      <w:r>
        <w:rPr>
          <w:rFonts w:ascii="Times New Roman" w:eastAsia="Times New Roman" w:hAnsi="Times New Roman" w:cs="Times New Roman"/>
        </w:rPr>
        <w:t xml:space="preserve">Morgan, S. (2025). </w:t>
      </w:r>
      <w:r>
        <w:rPr>
          <w:rFonts w:ascii="Times New Roman" w:eastAsia="Times New Roman" w:hAnsi="Times New Roman" w:cs="Times New Roman"/>
          <w:i/>
          <w:iCs/>
        </w:rPr>
        <w:t>The world will store 200 zettabytes of data by 2025.</w:t>
      </w:r>
      <w:r>
        <w:rPr>
          <w:rFonts w:ascii="Times New Roman" w:eastAsia="Times New Roman" w:hAnsi="Times New Roman" w:cs="Times New Roman"/>
        </w:rPr>
        <w:t xml:space="preserve"> Cybercrime Magazine. </w:t>
      </w:r>
      <w:hyperlink r:id="rId94" w:history="1">
        <w:r>
          <w:rPr>
            <w:rFonts w:ascii="Times New Roman" w:eastAsia="Times New Roman" w:hAnsi="Times New Roman" w:cs="Times New Roman"/>
            <w:color w:val="1155CC"/>
            <w:u w:val="single"/>
          </w:rPr>
          <w:t>https://cybersecurityventures.com/the-world-will-store-200-zettabytes-of-data-by-2025/</w:t>
        </w:r>
      </w:hyperlink>
    </w:p>
    <w:p w14:paraId="55BA1744" w14:textId="77777777" w:rsidR="00284E84" w:rsidRDefault="00284E84" w:rsidP="00284E84">
      <w:pPr>
        <w:spacing w:line="480" w:lineRule="auto"/>
        <w:ind w:left="720" w:hanging="720"/>
      </w:pPr>
      <w:r>
        <w:rPr>
          <w:rFonts w:ascii="Times New Roman" w:eastAsia="Times New Roman" w:hAnsi="Times New Roman" w:cs="Times New Roman"/>
        </w:rPr>
        <w:t xml:space="preserve">Nagaraj, K. (2023). </w:t>
      </w:r>
      <w:r>
        <w:rPr>
          <w:rFonts w:ascii="Times New Roman" w:eastAsia="Times New Roman" w:hAnsi="Times New Roman" w:cs="Times New Roman"/>
          <w:i/>
          <w:iCs/>
        </w:rPr>
        <w:t>User and Entity Behavior Analytics (UEBA): Enhancing cybersecurity through advanced insights.</w:t>
      </w:r>
      <w:r>
        <w:rPr>
          <w:rFonts w:ascii="Times New Roman" w:eastAsia="Times New Roman" w:hAnsi="Times New Roman" w:cs="Times New Roman"/>
        </w:rPr>
        <w:t xml:space="preserve"> Medium. </w:t>
      </w:r>
      <w:hyperlink r:id="rId95" w:history="1">
        <w:r>
          <w:rPr>
            <w:rFonts w:ascii="Times New Roman" w:eastAsia="Times New Roman" w:hAnsi="Times New Roman" w:cs="Times New Roman"/>
            <w:color w:val="1155CC"/>
            <w:u w:val="single"/>
          </w:rPr>
          <w:t>https://medium.com/infosecmatrix/user-and-entity-behavior-analytics-ueba-enhancing-cybersecurity-through-advanced-insights-70c0ccd03f35</w:t>
        </w:r>
      </w:hyperlink>
    </w:p>
    <w:p w14:paraId="5F1B6C6F" w14:textId="77777777" w:rsidR="00284E84" w:rsidRDefault="00284E84" w:rsidP="00284E84">
      <w:pPr>
        <w:spacing w:line="480" w:lineRule="auto"/>
        <w:ind w:left="720" w:hanging="720"/>
      </w:pPr>
      <w:r>
        <w:rPr>
          <w:rFonts w:ascii="Times New Roman" w:eastAsia="Times New Roman" w:hAnsi="Times New Roman" w:cs="Times New Roman"/>
        </w:rPr>
        <w:t xml:space="preserve">National Institute of Standards and Technology. (2012). </w:t>
      </w:r>
      <w:r>
        <w:rPr>
          <w:rFonts w:ascii="Times New Roman" w:eastAsia="Times New Roman" w:hAnsi="Times New Roman" w:cs="Times New Roman"/>
          <w:i/>
          <w:iCs/>
        </w:rPr>
        <w:t>Guide for conducting risk assessments</w:t>
      </w:r>
      <w:r>
        <w:rPr>
          <w:rFonts w:ascii="Times New Roman" w:eastAsia="Times New Roman" w:hAnsi="Times New Roman" w:cs="Times New Roman"/>
        </w:rPr>
        <w:t xml:space="preserve"> (NIST Special Publication 800-30, Rev. 1). U.S. Department of Commerce. </w:t>
      </w:r>
      <w:hyperlink r:id="rId96" w:history="1">
        <w:r>
          <w:rPr>
            <w:rFonts w:ascii="Times New Roman" w:eastAsia="Times New Roman" w:hAnsi="Times New Roman" w:cs="Times New Roman"/>
            <w:color w:val="1155CC"/>
            <w:u w:val="single"/>
          </w:rPr>
          <w:t>https://doi.org/10.6028/NIST.SP.800-30r1</w:t>
        </w:r>
      </w:hyperlink>
    </w:p>
    <w:p w14:paraId="3A1BCB45"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National Institute of Standards and Technology. (2026). </w:t>
      </w:r>
      <w:r>
        <w:rPr>
          <w:rFonts w:ascii="Times New Roman" w:eastAsia="Times New Roman" w:hAnsi="Times New Roman" w:cs="Times New Roman"/>
          <w:i/>
          <w:iCs/>
        </w:rPr>
        <w:t>National Vulnerability Database.</w:t>
      </w:r>
      <w:r>
        <w:rPr>
          <w:rFonts w:ascii="Times New Roman" w:eastAsia="Times New Roman" w:hAnsi="Times New Roman" w:cs="Times New Roman"/>
        </w:rPr>
        <w:t xml:space="preserve"> </w:t>
      </w:r>
      <w:hyperlink r:id="rId97" w:history="1">
        <w:r>
          <w:rPr>
            <w:rFonts w:ascii="Times New Roman" w:eastAsia="Times New Roman" w:hAnsi="Times New Roman" w:cs="Times New Roman"/>
            <w:color w:val="1155CC"/>
            <w:u w:val="single"/>
          </w:rPr>
          <w:t>https://nvd.nist.gov/general/nvd-dashboard</w:t>
        </w:r>
      </w:hyperlink>
    </w:p>
    <w:p w14:paraId="5751F3F3" w14:textId="77777777" w:rsidR="00857326"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Ndichu, S., Ban, T., Takahashi, T., &amp; Inoue, D. (2023). AI-assisted security alert data analysis with imbalanced learning methods. </w:t>
      </w:r>
      <w:r>
        <w:rPr>
          <w:rFonts w:ascii="Times New Roman" w:eastAsia="Times New Roman" w:hAnsi="Times New Roman" w:cs="Times New Roman"/>
          <w:i/>
          <w:iCs/>
        </w:rPr>
        <w:t>Applied Sciences, 13</w:t>
      </w:r>
      <w:r>
        <w:rPr>
          <w:rFonts w:ascii="Times New Roman" w:eastAsia="Times New Roman" w:hAnsi="Times New Roman" w:cs="Times New Roman"/>
        </w:rPr>
        <w:t xml:space="preserve">(3), Article 1977. </w:t>
      </w:r>
      <w:hyperlink r:id="rId98" w:history="1">
        <w:r w:rsidR="00857326">
          <w:rPr>
            <w:rFonts w:ascii="Times New Roman" w:eastAsia="Times New Roman" w:hAnsi="Times New Roman" w:cs="Times New Roman"/>
            <w:color w:val="1155CC"/>
            <w:u w:val="single"/>
          </w:rPr>
          <w:t>https://doi.org/10.3390/app13031977</w:t>
        </w:r>
      </w:hyperlink>
    </w:p>
    <w:p w14:paraId="7E08A1F7" w14:textId="77777777" w:rsidR="00284E84" w:rsidRDefault="00284E84" w:rsidP="00284E84">
      <w:pPr>
        <w:spacing w:line="480" w:lineRule="auto"/>
        <w:ind w:left="720" w:hanging="720"/>
      </w:pPr>
      <w:r>
        <w:rPr>
          <w:rFonts w:ascii="Times New Roman" w:eastAsia="Times New Roman" w:hAnsi="Times New Roman" w:cs="Times New Roman"/>
        </w:rPr>
        <w:t xml:space="preserve">Office of the Comptroller of the Currency. (2014, January 7). </w:t>
      </w:r>
      <w:r>
        <w:rPr>
          <w:rFonts w:ascii="Times New Roman" w:eastAsia="Times New Roman" w:hAnsi="Times New Roman" w:cs="Times New Roman"/>
          <w:i/>
          <w:iCs/>
        </w:rPr>
        <w:t>OCC assesses a $350 million civil money penalty against JPMorgan Chase for Bank Secrecy Act violations</w:t>
      </w:r>
      <w:r>
        <w:rPr>
          <w:rFonts w:ascii="Times New Roman" w:eastAsia="Times New Roman" w:hAnsi="Times New Roman" w:cs="Times New Roman"/>
        </w:rPr>
        <w:t xml:space="preserve"> (News Release No. NR 2014-1). </w:t>
      </w:r>
      <w:hyperlink r:id="rId99" w:history="1">
        <w:r>
          <w:rPr>
            <w:rFonts w:ascii="Times New Roman" w:eastAsia="Times New Roman" w:hAnsi="Times New Roman" w:cs="Times New Roman"/>
            <w:color w:val="1155CC"/>
            <w:u w:val="single"/>
          </w:rPr>
          <w:t>https://www.occ.treas.gov/news-issuances/news-releases/2014/nr-occ-2014-1.html</w:t>
        </w:r>
      </w:hyperlink>
    </w:p>
    <w:p w14:paraId="2C3A8821" w14:textId="77777777" w:rsidR="00284E84" w:rsidRDefault="00284E84" w:rsidP="00284E84">
      <w:pPr>
        <w:spacing w:line="480" w:lineRule="auto"/>
        <w:ind w:left="720" w:hanging="720"/>
      </w:pPr>
      <w:r>
        <w:rPr>
          <w:rFonts w:ascii="Times New Roman" w:eastAsia="Times New Roman" w:hAnsi="Times New Roman" w:cs="Times New Roman"/>
        </w:rPr>
        <w:t xml:space="preserve">Office of the Privacy Commissioner of Canada. (2020). </w:t>
      </w:r>
      <w:r>
        <w:rPr>
          <w:rFonts w:ascii="Times New Roman" w:eastAsia="Times New Roman" w:hAnsi="Times New Roman" w:cs="Times New Roman"/>
          <w:i/>
          <w:iCs/>
        </w:rPr>
        <w:t>Investigation into Desjardins’ compliance with PIPEDA following a breach of personal information between 2017 and 2019.</w:t>
      </w:r>
      <w:r>
        <w:rPr>
          <w:rFonts w:ascii="Times New Roman" w:eastAsia="Times New Roman" w:hAnsi="Times New Roman" w:cs="Times New Roman"/>
        </w:rPr>
        <w:t xml:space="preserve"> </w:t>
      </w:r>
      <w:hyperlink r:id="rId100" w:history="1">
        <w:r>
          <w:rPr>
            <w:rFonts w:ascii="Times New Roman" w:eastAsia="Times New Roman" w:hAnsi="Times New Roman" w:cs="Times New Roman"/>
            <w:color w:val="1155CC"/>
            <w:u w:val="single"/>
          </w:rPr>
          <w:t>https://www.priv.gc.ca/en/opc-actions-and-decisions/investigations/investigations-into-businesses/2020/pipeda-2020-005/</w:t>
        </w:r>
      </w:hyperlink>
    </w:p>
    <w:p w14:paraId="5C851627" w14:textId="77777777" w:rsidR="00284E84" w:rsidRDefault="00284E84" w:rsidP="00284E84">
      <w:pPr>
        <w:spacing w:line="480" w:lineRule="auto"/>
        <w:ind w:left="720" w:hanging="720"/>
      </w:pPr>
      <w:r>
        <w:rPr>
          <w:rFonts w:ascii="Times New Roman" w:eastAsia="Times New Roman" w:hAnsi="Times New Roman" w:cs="Times New Roman"/>
        </w:rPr>
        <w:t xml:space="preserve">Okolie, S. A., Amadi, C. A., Odii, et al. (2025). </w:t>
      </w:r>
      <w:r>
        <w:rPr>
          <w:rFonts w:ascii="Times New Roman" w:eastAsia="Times New Roman" w:hAnsi="Times New Roman" w:cs="Times New Roman"/>
          <w:i/>
          <w:iCs/>
        </w:rPr>
        <w:t>Anomaly detection in heterogeneous cybersecurity data.</w:t>
      </w:r>
      <w:r>
        <w:rPr>
          <w:rFonts w:ascii="Times New Roman" w:eastAsia="Times New Roman" w:hAnsi="Times New Roman" w:cs="Times New Roman"/>
        </w:rPr>
        <w:t xml:space="preserve"> ScienceDirect. </w:t>
      </w:r>
      <w:hyperlink r:id="rId101" w:history="1">
        <w:r>
          <w:rPr>
            <w:rFonts w:ascii="Times New Roman" w:eastAsia="Times New Roman" w:hAnsi="Times New Roman" w:cs="Times New Roman"/>
            <w:color w:val="1155CC"/>
            <w:u w:val="single"/>
          </w:rPr>
          <w:t>https://www.sciencedirect.com/science/article/pii/S2773186325002142</w:t>
        </w:r>
      </w:hyperlink>
    </w:p>
    <w:p w14:paraId="78AFD0E6" w14:textId="77777777" w:rsidR="00284E84" w:rsidRDefault="00284E84" w:rsidP="00284E84">
      <w:pPr>
        <w:spacing w:line="480" w:lineRule="auto"/>
        <w:ind w:left="720" w:hanging="720"/>
      </w:pPr>
      <w:r>
        <w:rPr>
          <w:rFonts w:ascii="Times New Roman" w:eastAsia="Times New Roman" w:hAnsi="Times New Roman" w:cs="Times New Roman"/>
        </w:rPr>
        <w:t xml:space="preserve">Osholake, S., Umealajekwu, C., Edohen, et al. (2024). Human-AI collaborative security operations: Optimizing SOC analyst cognitive load through augmented intelligence frameworks. </w:t>
      </w:r>
      <w:r>
        <w:rPr>
          <w:rFonts w:ascii="Times New Roman" w:eastAsia="Times New Roman" w:hAnsi="Times New Roman" w:cs="Times New Roman"/>
          <w:i/>
          <w:iCs/>
        </w:rPr>
        <w:t>IRE Journals, 8</w:t>
      </w:r>
      <w:r>
        <w:rPr>
          <w:rFonts w:ascii="Times New Roman" w:eastAsia="Times New Roman" w:hAnsi="Times New Roman" w:cs="Times New Roman"/>
        </w:rPr>
        <w:t xml:space="preserve">(6). </w:t>
      </w:r>
      <w:hyperlink r:id="rId102" w:history="1">
        <w:r>
          <w:rPr>
            <w:rFonts w:ascii="Times New Roman" w:eastAsia="Times New Roman" w:hAnsi="Times New Roman" w:cs="Times New Roman"/>
            <w:color w:val="1155CC"/>
            <w:u w:val="single"/>
          </w:rPr>
          <w:t>https://www.researchgate.net/publication/394123580_Human-AI_Collaborative_Security_Operations_Optimizing_SOC_Analyst_Cognitive_Load_Through_Augmented_Intelligence_Frameworks</w:t>
        </w:r>
      </w:hyperlink>
    </w:p>
    <w:p w14:paraId="0BEDF5A1"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OWASP. (2023). </w:t>
      </w:r>
      <w:r>
        <w:rPr>
          <w:rFonts w:ascii="Times New Roman" w:eastAsia="Times New Roman" w:hAnsi="Times New Roman" w:cs="Times New Roman"/>
          <w:i/>
          <w:iCs/>
        </w:rPr>
        <w:t>API1:2023 Broken object level authorization.</w:t>
      </w:r>
      <w:r>
        <w:rPr>
          <w:rFonts w:ascii="Times New Roman" w:eastAsia="Times New Roman" w:hAnsi="Times New Roman" w:cs="Times New Roman"/>
        </w:rPr>
        <w:t xml:space="preserve"> Open Worldwide Application Security Project. </w:t>
      </w:r>
      <w:hyperlink r:id="rId103" w:history="1">
        <w:r>
          <w:rPr>
            <w:rFonts w:ascii="Times New Roman" w:eastAsia="Times New Roman" w:hAnsi="Times New Roman" w:cs="Times New Roman"/>
            <w:color w:val="1155CC"/>
            <w:u w:val="single"/>
          </w:rPr>
          <w:t>https://owasp.org/API-Security/editions/2023/en/0xa1-broken-object-level-authorization/</w:t>
        </w:r>
      </w:hyperlink>
    </w:p>
    <w:p w14:paraId="42F4CE85" w14:textId="77777777" w:rsidR="00284E84" w:rsidRDefault="00284E84" w:rsidP="00284E84">
      <w:pPr>
        <w:spacing w:line="480" w:lineRule="auto"/>
        <w:ind w:left="720" w:hanging="720"/>
      </w:pPr>
      <w:r>
        <w:rPr>
          <w:rFonts w:ascii="Times New Roman" w:eastAsia="Times New Roman" w:hAnsi="Times New Roman" w:cs="Times New Roman"/>
        </w:rPr>
        <w:t xml:space="preserve">Pahl, C., &amp; Jamshidi, P. (2016). Microservices: A systematic mapping study. In </w:t>
      </w:r>
      <w:r>
        <w:rPr>
          <w:rFonts w:ascii="Times New Roman" w:eastAsia="Times New Roman" w:hAnsi="Times New Roman" w:cs="Times New Roman"/>
          <w:i/>
          <w:iCs/>
        </w:rPr>
        <w:t>Proceedings of the 6th International Conference on Cloud Computing and Services Science (CLOSER 2016)</w:t>
      </w:r>
      <w:r>
        <w:rPr>
          <w:rFonts w:ascii="Times New Roman" w:eastAsia="Times New Roman" w:hAnsi="Times New Roman" w:cs="Times New Roman"/>
        </w:rPr>
        <w:t xml:space="preserve"> (pp. 137–146). SciTePress. </w:t>
      </w:r>
      <w:hyperlink r:id="rId104" w:history="1">
        <w:r>
          <w:rPr>
            <w:rFonts w:ascii="Times New Roman" w:eastAsia="Times New Roman" w:hAnsi="Times New Roman" w:cs="Times New Roman"/>
            <w:color w:val="1155CC"/>
            <w:u w:val="single"/>
          </w:rPr>
          <w:t>https://doi.org/10.5220/0005785501370146</w:t>
        </w:r>
      </w:hyperlink>
    </w:p>
    <w:p w14:paraId="44A3A486" w14:textId="77777777" w:rsidR="00284E84" w:rsidRDefault="00284E84" w:rsidP="00284E84">
      <w:pPr>
        <w:spacing w:line="480" w:lineRule="auto"/>
        <w:ind w:left="720" w:hanging="720"/>
      </w:pPr>
      <w:r>
        <w:rPr>
          <w:rFonts w:ascii="Times New Roman" w:eastAsia="Times New Roman" w:hAnsi="Times New Roman" w:cs="Times New Roman"/>
        </w:rPr>
        <w:t xml:space="preserve">Payment Card Industry Security Standards Council. (2022). </w:t>
      </w:r>
      <w:r>
        <w:rPr>
          <w:rFonts w:ascii="Times New Roman" w:eastAsia="Times New Roman" w:hAnsi="Times New Roman" w:cs="Times New Roman"/>
          <w:i/>
          <w:iCs/>
        </w:rPr>
        <w:t>Payment Card Industry Data Security Standard (PCI DSS): Requirements and testing procedures, version 4.0.</w:t>
      </w:r>
      <w:r>
        <w:rPr>
          <w:rFonts w:ascii="Times New Roman" w:eastAsia="Times New Roman" w:hAnsi="Times New Roman" w:cs="Times New Roman"/>
        </w:rPr>
        <w:t xml:space="preserve"> PCI Security Standards Council. </w:t>
      </w:r>
      <w:hyperlink r:id="rId105" w:history="1">
        <w:r>
          <w:rPr>
            <w:rFonts w:ascii="Times New Roman" w:eastAsia="Times New Roman" w:hAnsi="Times New Roman" w:cs="Times New Roman"/>
            <w:color w:val="1155CC"/>
            <w:u w:val="single"/>
          </w:rPr>
          <w:t>https://www.pcisecuritystandards.org/</w:t>
        </w:r>
      </w:hyperlink>
    </w:p>
    <w:p w14:paraId="54EB8B36" w14:textId="77777777" w:rsidR="00284E84" w:rsidRDefault="00284E84" w:rsidP="00284E84">
      <w:pPr>
        <w:spacing w:line="480" w:lineRule="auto"/>
        <w:ind w:left="720" w:hanging="720"/>
      </w:pPr>
      <w:r>
        <w:rPr>
          <w:rFonts w:ascii="Times New Roman" w:eastAsia="Times New Roman" w:hAnsi="Times New Roman" w:cs="Times New Roman"/>
        </w:rPr>
        <w:t xml:space="preserve">Peffers, K., Tuunanen, T., Rothenberger, M. A., &amp; Chatterjee, S. (2007). A design science research methodology for information systems research. </w:t>
      </w:r>
      <w:r>
        <w:rPr>
          <w:rFonts w:ascii="Times New Roman" w:eastAsia="Times New Roman" w:hAnsi="Times New Roman" w:cs="Times New Roman"/>
          <w:i/>
          <w:iCs/>
        </w:rPr>
        <w:t>Journal of Management Information Systems, 24</w:t>
      </w:r>
      <w:r>
        <w:rPr>
          <w:rFonts w:ascii="Times New Roman" w:eastAsia="Times New Roman" w:hAnsi="Times New Roman" w:cs="Times New Roman"/>
        </w:rPr>
        <w:t xml:space="preserve">(3), 45–77. </w:t>
      </w:r>
      <w:hyperlink r:id="rId106" w:history="1">
        <w:r>
          <w:rPr>
            <w:rFonts w:ascii="Times New Roman" w:eastAsia="Times New Roman" w:hAnsi="Times New Roman" w:cs="Times New Roman"/>
            <w:color w:val="1155CC"/>
            <w:u w:val="single"/>
          </w:rPr>
          <w:t>https://doi.org/10.2753/MIS0742-1222240302</w:t>
        </w:r>
      </w:hyperlink>
    </w:p>
    <w:p w14:paraId="6B486AFC" w14:textId="77777777" w:rsidR="00284E84" w:rsidRDefault="00284E84" w:rsidP="00284E84">
      <w:pPr>
        <w:spacing w:line="480" w:lineRule="auto"/>
        <w:ind w:left="720" w:hanging="720"/>
      </w:pPr>
      <w:r>
        <w:rPr>
          <w:rFonts w:ascii="Times New Roman" w:eastAsia="Times New Roman" w:hAnsi="Times New Roman" w:cs="Times New Roman"/>
        </w:rPr>
        <w:t xml:space="preserve">Pendleton, M., Garcia-Lebron, R., Cho, J.-H., &amp; Xu, S. (2016). A survey on systems security metrics. </w:t>
      </w:r>
      <w:r>
        <w:rPr>
          <w:rFonts w:ascii="Times New Roman" w:eastAsia="Times New Roman" w:hAnsi="Times New Roman" w:cs="Times New Roman"/>
          <w:i/>
          <w:iCs/>
        </w:rPr>
        <w:t>ACM Computing Surveys, 49</w:t>
      </w:r>
      <w:r>
        <w:rPr>
          <w:rFonts w:ascii="Times New Roman" w:eastAsia="Times New Roman" w:hAnsi="Times New Roman" w:cs="Times New Roman"/>
        </w:rPr>
        <w:t xml:space="preserve">(4), Article 62, 1–35. </w:t>
      </w:r>
      <w:hyperlink r:id="rId107" w:history="1">
        <w:r>
          <w:rPr>
            <w:rFonts w:ascii="Times New Roman" w:eastAsia="Times New Roman" w:hAnsi="Times New Roman" w:cs="Times New Roman"/>
            <w:color w:val="1155CC"/>
            <w:u w:val="single"/>
          </w:rPr>
          <w:t>https://doi.org/10.1145/3005714</w:t>
        </w:r>
      </w:hyperlink>
    </w:p>
    <w:p w14:paraId="543D339E" w14:textId="77777777" w:rsidR="00284E84" w:rsidRDefault="00284E84" w:rsidP="00284E84">
      <w:pPr>
        <w:spacing w:line="480" w:lineRule="auto"/>
        <w:ind w:left="720" w:hanging="720"/>
      </w:pPr>
      <w:r>
        <w:rPr>
          <w:rFonts w:ascii="Times New Roman" w:eastAsia="Times New Roman" w:hAnsi="Times New Roman" w:cs="Times New Roman"/>
        </w:rPr>
        <w:t xml:space="preserve">Raghu. (2020). </w:t>
      </w:r>
      <w:r>
        <w:rPr>
          <w:rFonts w:ascii="Times New Roman" w:eastAsia="Times New Roman" w:hAnsi="Times New Roman" w:cs="Times New Roman"/>
          <w:i/>
          <w:iCs/>
        </w:rPr>
        <w:t>The JPMorgan Chase data breach (2014): When compromised credentials led to the largest bank hack in history.</w:t>
      </w:r>
      <w:r>
        <w:rPr>
          <w:rFonts w:ascii="Times New Roman" w:eastAsia="Times New Roman" w:hAnsi="Times New Roman" w:cs="Times New Roman"/>
        </w:rPr>
        <w:t xml:space="preserve"> A Security Guru. </w:t>
      </w:r>
      <w:hyperlink r:id="rId108" w:history="1">
        <w:r>
          <w:rPr>
            <w:rFonts w:ascii="Times New Roman" w:eastAsia="Times New Roman" w:hAnsi="Times New Roman" w:cs="Times New Roman"/>
            <w:color w:val="1155CC"/>
            <w:u w:val="single"/>
          </w:rPr>
          <w:t>https://asecurityguru.com/the-jpmorgan-chase-data-breach-2014-when-compromised-credentials-led-to-the-largest-bank-hack-in-history/</w:t>
        </w:r>
      </w:hyperlink>
    </w:p>
    <w:p w14:paraId="4AF207CB" w14:textId="77777777" w:rsidR="00284E84" w:rsidRDefault="00284E84" w:rsidP="00284E84">
      <w:pPr>
        <w:spacing w:line="480" w:lineRule="auto"/>
        <w:ind w:left="720" w:hanging="720"/>
      </w:pPr>
      <w:r>
        <w:rPr>
          <w:rFonts w:ascii="Times New Roman" w:eastAsia="Times New Roman" w:hAnsi="Times New Roman" w:cs="Times New Roman"/>
        </w:rPr>
        <w:t xml:space="preserve">Ring, M., Wunderlich, S., Scheuring, D., Landes, D., &amp; Hotho, A. (2019). A survey of network-based intrusion detection data sets. </w:t>
      </w:r>
      <w:r>
        <w:rPr>
          <w:rFonts w:ascii="Times New Roman" w:eastAsia="Times New Roman" w:hAnsi="Times New Roman" w:cs="Times New Roman"/>
          <w:i/>
          <w:iCs/>
        </w:rPr>
        <w:t>Computers &amp; Security, 86</w:t>
      </w:r>
      <w:r>
        <w:rPr>
          <w:rFonts w:ascii="Times New Roman" w:eastAsia="Times New Roman" w:hAnsi="Times New Roman" w:cs="Times New Roman"/>
        </w:rPr>
        <w:t xml:space="preserve">, 147–167. </w:t>
      </w:r>
      <w:hyperlink r:id="rId109" w:history="1">
        <w:r>
          <w:rPr>
            <w:rFonts w:ascii="Times New Roman" w:eastAsia="Times New Roman" w:hAnsi="Times New Roman" w:cs="Times New Roman"/>
            <w:color w:val="1155CC"/>
            <w:u w:val="single"/>
          </w:rPr>
          <w:t>https://doi.org/10.1016/j.cose.2019.06.005</w:t>
        </w:r>
      </w:hyperlink>
    </w:p>
    <w:p w14:paraId="4221D6F4"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Rodriguez, R. (2025). </w:t>
      </w:r>
      <w:r>
        <w:rPr>
          <w:rFonts w:ascii="Times New Roman" w:eastAsia="Times New Roman" w:hAnsi="Times New Roman" w:cs="Times New Roman"/>
          <w:i/>
          <w:iCs/>
        </w:rPr>
        <w:t>Shedding light on shadow data: Why visibility is the key to data security.</w:t>
      </w:r>
      <w:r>
        <w:rPr>
          <w:rFonts w:ascii="Times New Roman" w:eastAsia="Times New Roman" w:hAnsi="Times New Roman" w:cs="Times New Roman"/>
        </w:rPr>
        <w:t xml:space="preserve"> CDW. </w:t>
      </w:r>
      <w:hyperlink r:id="rId110" w:history="1">
        <w:r>
          <w:rPr>
            <w:rFonts w:ascii="Times New Roman" w:eastAsia="Times New Roman" w:hAnsi="Times New Roman" w:cs="Times New Roman"/>
            <w:color w:val="1155CC"/>
            <w:u w:val="single"/>
          </w:rPr>
          <w:t>https://www.cdw.com/content/cdw/en/articles/datacenter/shedding-light-on-shadow-data.html</w:t>
        </w:r>
      </w:hyperlink>
    </w:p>
    <w:p w14:paraId="2740312C" w14:textId="77777777" w:rsidR="00284E84" w:rsidRDefault="00284E84" w:rsidP="00284E84">
      <w:pPr>
        <w:spacing w:line="480" w:lineRule="auto"/>
        <w:ind w:left="720" w:hanging="720"/>
      </w:pPr>
      <w:r>
        <w:rPr>
          <w:rFonts w:ascii="Times New Roman" w:eastAsia="Times New Roman" w:hAnsi="Times New Roman" w:cs="Times New Roman"/>
        </w:rPr>
        <w:t xml:space="preserve">Sharafaldin, I., Habibi Lashkari, A., &amp; Ghorbani, A. A. (2018). Toward generating a new intrusion detection dataset and intrusion traffic characterization. In </w:t>
      </w:r>
      <w:r>
        <w:rPr>
          <w:rFonts w:ascii="Times New Roman" w:eastAsia="Times New Roman" w:hAnsi="Times New Roman" w:cs="Times New Roman"/>
          <w:i/>
          <w:iCs/>
        </w:rPr>
        <w:t>Proceedings of the 4th International Conference on Information Systems Security and Privacy (ICISSP 2018)</w:t>
      </w:r>
      <w:r>
        <w:rPr>
          <w:rFonts w:ascii="Times New Roman" w:eastAsia="Times New Roman" w:hAnsi="Times New Roman" w:cs="Times New Roman"/>
        </w:rPr>
        <w:t xml:space="preserve"> (pp. 108–116). SciTePress. </w:t>
      </w:r>
      <w:hyperlink r:id="rId111" w:history="1">
        <w:r>
          <w:rPr>
            <w:rFonts w:ascii="Times New Roman" w:eastAsia="Times New Roman" w:hAnsi="Times New Roman" w:cs="Times New Roman"/>
            <w:color w:val="1155CC"/>
            <w:u w:val="single"/>
          </w:rPr>
          <w:t>https://doi.org/10.5220/0006639801080116</w:t>
        </w:r>
      </w:hyperlink>
    </w:p>
    <w:p w14:paraId="64AB395A" w14:textId="77777777" w:rsidR="00284E84" w:rsidRDefault="00284E84" w:rsidP="00284E84">
      <w:pPr>
        <w:spacing w:line="480" w:lineRule="auto"/>
        <w:ind w:left="720" w:hanging="720"/>
      </w:pPr>
      <w:r>
        <w:rPr>
          <w:rFonts w:ascii="Times New Roman" w:eastAsia="Times New Roman" w:hAnsi="Times New Roman" w:cs="Times New Roman"/>
        </w:rPr>
        <w:t xml:space="preserve">Skelton, S. K. (2021). </w:t>
      </w:r>
      <w:r>
        <w:rPr>
          <w:rFonts w:ascii="Times New Roman" w:eastAsia="Times New Roman" w:hAnsi="Times New Roman" w:cs="Times New Roman"/>
          <w:i/>
          <w:iCs/>
        </w:rPr>
        <w:t xml:space="preserve">Cloud misconfiguration </w:t>
      </w:r>
      <w:proofErr w:type="gramStart"/>
      <w:r>
        <w:rPr>
          <w:rFonts w:ascii="Times New Roman" w:eastAsia="Times New Roman" w:hAnsi="Times New Roman" w:cs="Times New Roman"/>
          <w:i/>
          <w:iCs/>
        </w:rPr>
        <w:t>a growing</w:t>
      </w:r>
      <w:proofErr w:type="gramEnd"/>
      <w:r>
        <w:rPr>
          <w:rFonts w:ascii="Times New Roman" w:eastAsia="Times New Roman" w:hAnsi="Times New Roman" w:cs="Times New Roman"/>
          <w:i/>
          <w:iCs/>
        </w:rPr>
        <w:t xml:space="preserve"> cause of security incidents.</w:t>
      </w:r>
      <w:r>
        <w:rPr>
          <w:rFonts w:ascii="Times New Roman" w:eastAsia="Times New Roman" w:hAnsi="Times New Roman" w:cs="Times New Roman"/>
        </w:rPr>
        <w:t xml:space="preserve"> ComputerWeekly.com. </w:t>
      </w:r>
      <w:hyperlink r:id="rId112" w:history="1">
        <w:r>
          <w:rPr>
            <w:rFonts w:ascii="Times New Roman" w:eastAsia="Times New Roman" w:hAnsi="Times New Roman" w:cs="Times New Roman"/>
            <w:color w:val="1155CC"/>
            <w:u w:val="single"/>
          </w:rPr>
          <w:t>https://www.computerweekly.com/news/252504909/Cloud-misconfiguration-a-growing-cause-of-security-incidents</w:t>
        </w:r>
      </w:hyperlink>
    </w:p>
    <w:p w14:paraId="17C41FC5" w14:textId="77777777" w:rsidR="00284E84" w:rsidRDefault="00284E84" w:rsidP="00284E84">
      <w:pPr>
        <w:spacing w:line="480" w:lineRule="auto"/>
        <w:ind w:left="720" w:hanging="720"/>
      </w:pPr>
      <w:r>
        <w:rPr>
          <w:rFonts w:ascii="Times New Roman" w:eastAsia="Times New Roman" w:hAnsi="Times New Roman" w:cs="Times New Roman"/>
        </w:rPr>
        <w:t xml:space="preserve">Sloan, E. (2025). </w:t>
      </w:r>
      <w:r>
        <w:rPr>
          <w:rFonts w:ascii="Times New Roman" w:eastAsia="Times New Roman" w:hAnsi="Times New Roman" w:cs="Times New Roman"/>
          <w:i/>
          <w:iCs/>
        </w:rPr>
        <w:t>What is the definition of attack dwell time?</w:t>
      </w:r>
      <w:r>
        <w:rPr>
          <w:rFonts w:ascii="Times New Roman" w:eastAsia="Times New Roman" w:hAnsi="Times New Roman" w:cs="Times New Roman"/>
        </w:rPr>
        <w:t xml:space="preserve"> Packetlabs. </w:t>
      </w:r>
      <w:hyperlink r:id="rId113" w:history="1">
        <w:r>
          <w:rPr>
            <w:rFonts w:ascii="Times New Roman" w:eastAsia="Times New Roman" w:hAnsi="Times New Roman" w:cs="Times New Roman"/>
            <w:color w:val="1155CC"/>
            <w:u w:val="single"/>
          </w:rPr>
          <w:t>https://www.packetlabs.net/posts/what-is-attack-dwell-time/</w:t>
        </w:r>
      </w:hyperlink>
    </w:p>
    <w:p w14:paraId="5A037586" w14:textId="77777777" w:rsidR="00284E84" w:rsidRDefault="00284E84" w:rsidP="00284E84">
      <w:pPr>
        <w:spacing w:line="480" w:lineRule="auto"/>
        <w:ind w:left="720" w:hanging="720"/>
      </w:pPr>
      <w:r>
        <w:rPr>
          <w:rFonts w:ascii="Times New Roman" w:eastAsia="Times New Roman" w:hAnsi="Times New Roman" w:cs="Times New Roman"/>
        </w:rPr>
        <w:t xml:space="preserve">Sommer, R., &amp; Paxson, V. (2010). Outside the closed world: On using machine learning for network intrusion detection. In </w:t>
      </w:r>
      <w:r>
        <w:rPr>
          <w:rFonts w:ascii="Times New Roman" w:eastAsia="Times New Roman" w:hAnsi="Times New Roman" w:cs="Times New Roman"/>
          <w:i/>
          <w:iCs/>
        </w:rPr>
        <w:t>Proceedings of the 2010 IEEE Symposium on Security and Privacy</w:t>
      </w:r>
      <w:r>
        <w:rPr>
          <w:rFonts w:ascii="Times New Roman" w:eastAsia="Times New Roman" w:hAnsi="Times New Roman" w:cs="Times New Roman"/>
        </w:rPr>
        <w:t xml:space="preserve"> (pp. 305–316). IEEE. </w:t>
      </w:r>
      <w:hyperlink r:id="rId114" w:history="1">
        <w:r>
          <w:rPr>
            <w:rFonts w:ascii="Times New Roman" w:eastAsia="Times New Roman" w:hAnsi="Times New Roman" w:cs="Times New Roman"/>
            <w:color w:val="1155CC"/>
            <w:u w:val="single"/>
          </w:rPr>
          <w:t>https://doi.org/10.1109/SP.2010.25</w:t>
        </w:r>
      </w:hyperlink>
    </w:p>
    <w:p w14:paraId="51C06EEB" w14:textId="77777777" w:rsidR="00284E84" w:rsidRDefault="00284E84" w:rsidP="00284E84">
      <w:pPr>
        <w:spacing w:line="480" w:lineRule="auto"/>
        <w:ind w:left="720" w:hanging="720"/>
      </w:pPr>
      <w:r>
        <w:rPr>
          <w:rFonts w:ascii="Times New Roman" w:eastAsia="Times New Roman" w:hAnsi="Times New Roman" w:cs="Times New Roman"/>
        </w:rPr>
        <w:t xml:space="preserve">Strange, A. (2024). </w:t>
      </w:r>
      <w:r>
        <w:rPr>
          <w:rFonts w:ascii="Times New Roman" w:eastAsia="Times New Roman" w:hAnsi="Times New Roman" w:cs="Times New Roman"/>
          <w:i/>
          <w:iCs/>
        </w:rPr>
        <w:t>Market landscape: Data security posture management (DSPM).</w:t>
      </w:r>
      <w:r>
        <w:rPr>
          <w:rFonts w:ascii="Times New Roman" w:eastAsia="Times New Roman" w:hAnsi="Times New Roman" w:cs="Times New Roman"/>
        </w:rPr>
        <w:t xml:space="preserve"> Omdia Research, Informa TechTarget. </w:t>
      </w:r>
      <w:hyperlink r:id="rId115" w:history="1">
        <w:r>
          <w:rPr>
            <w:rFonts w:ascii="Times New Roman" w:eastAsia="Times New Roman" w:hAnsi="Times New Roman" w:cs="Times New Roman"/>
            <w:color w:val="1155CC"/>
            <w:u w:val="single"/>
          </w:rPr>
          <w:t>https://omdia.tech.informa.com/om120455/market-landscape-data-security-posture-management-dspm</w:t>
        </w:r>
      </w:hyperlink>
    </w:p>
    <w:p w14:paraId="5E6C1405" w14:textId="77777777" w:rsidR="00284E84" w:rsidRDefault="00284E84" w:rsidP="00284E84">
      <w:pPr>
        <w:spacing w:line="480" w:lineRule="auto"/>
        <w:ind w:left="720" w:hanging="720"/>
      </w:pPr>
      <w:r>
        <w:rPr>
          <w:rFonts w:ascii="Times New Roman" w:eastAsia="Times New Roman" w:hAnsi="Times New Roman" w:cs="Times New Roman"/>
        </w:rPr>
        <w:t xml:space="preserve">Strom, B. E., Applebaum, A., Miller, D. P., Nickels, K. C., Pennington, A. G., &amp; Thomas, C. B. (2018). </w:t>
      </w:r>
      <w:r>
        <w:rPr>
          <w:rFonts w:ascii="Times New Roman" w:eastAsia="Times New Roman" w:hAnsi="Times New Roman" w:cs="Times New Roman"/>
          <w:i/>
          <w:iCs/>
        </w:rPr>
        <w:t>MITRE ATT&amp;CK: Design and philosophy</w:t>
      </w:r>
      <w:r>
        <w:rPr>
          <w:rFonts w:ascii="Times New Roman" w:eastAsia="Times New Roman" w:hAnsi="Times New Roman" w:cs="Times New Roman"/>
        </w:rPr>
        <w:t xml:space="preserve"> (Technical report, revised March 2020). The MITRE Corporation. </w:t>
      </w:r>
      <w:hyperlink r:id="rId116" w:history="1">
        <w:r>
          <w:rPr>
            <w:rFonts w:ascii="Times New Roman" w:eastAsia="Times New Roman" w:hAnsi="Times New Roman" w:cs="Times New Roman"/>
            <w:color w:val="1155CC"/>
            <w:u w:val="single"/>
          </w:rPr>
          <w:t>https://attack.mitre.org/docs/ATTACK_Design_and_Philosophy_March_2020.pdf</w:t>
        </w:r>
      </w:hyperlink>
    </w:p>
    <w:p w14:paraId="7348FE2C"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Sundaramurthy, S. C., McHugh, J., Ou, X. S., Rajagopalan, S. R., &amp; Wesch, M. (2014). An anthropological approach to studying CSIRTs. </w:t>
      </w:r>
      <w:r>
        <w:rPr>
          <w:rFonts w:ascii="Times New Roman" w:eastAsia="Times New Roman" w:hAnsi="Times New Roman" w:cs="Times New Roman"/>
          <w:i/>
          <w:iCs/>
        </w:rPr>
        <w:t>IEEE Security &amp; Privacy, 12</w:t>
      </w:r>
      <w:r>
        <w:rPr>
          <w:rFonts w:ascii="Times New Roman" w:eastAsia="Times New Roman" w:hAnsi="Times New Roman" w:cs="Times New Roman"/>
        </w:rPr>
        <w:t xml:space="preserve">(5), 52–60. </w:t>
      </w:r>
      <w:hyperlink r:id="rId117" w:history="1">
        <w:r>
          <w:rPr>
            <w:rFonts w:ascii="Times New Roman" w:eastAsia="Times New Roman" w:hAnsi="Times New Roman" w:cs="Times New Roman"/>
            <w:color w:val="1155CC"/>
            <w:u w:val="single"/>
          </w:rPr>
          <w:t>https://doi.org/10.1109/MSP.2014.84</w:t>
        </w:r>
      </w:hyperlink>
    </w:p>
    <w:p w14:paraId="524BCF93" w14:textId="77777777" w:rsidR="00284E84" w:rsidRDefault="00284E84" w:rsidP="00284E84">
      <w:pPr>
        <w:spacing w:line="480" w:lineRule="auto"/>
        <w:ind w:left="720" w:hanging="720"/>
      </w:pPr>
      <w:r>
        <w:rPr>
          <w:rFonts w:ascii="Times New Roman" w:eastAsia="Times New Roman" w:hAnsi="Times New Roman" w:cs="Times New Roman"/>
        </w:rPr>
        <w:t xml:space="preserve">Swanzy, P. N., Abukari, A. M., &amp; Ansong, E. D. (2024). Data security framework for protecting data in transit and data at rest in the cloud. </w:t>
      </w:r>
      <w:r>
        <w:rPr>
          <w:rFonts w:ascii="Times New Roman" w:eastAsia="Times New Roman" w:hAnsi="Times New Roman" w:cs="Times New Roman"/>
          <w:i/>
          <w:iCs/>
        </w:rPr>
        <w:t>Current Journal of Applied Science and Technology, 43</w:t>
      </w:r>
      <w:r>
        <w:rPr>
          <w:rFonts w:ascii="Times New Roman" w:eastAsia="Times New Roman" w:hAnsi="Times New Roman" w:cs="Times New Roman"/>
        </w:rPr>
        <w:t xml:space="preserve">(6), 61–77. </w:t>
      </w:r>
      <w:hyperlink r:id="rId118" w:history="1">
        <w:r>
          <w:rPr>
            <w:rFonts w:ascii="Times New Roman" w:eastAsia="Times New Roman" w:hAnsi="Times New Roman" w:cs="Times New Roman"/>
            <w:color w:val="1155CC"/>
            <w:u w:val="single"/>
          </w:rPr>
          <w:t>https://journalcjast.com/index.php/CJAST/article/view/4387</w:t>
        </w:r>
      </w:hyperlink>
    </w:p>
    <w:p w14:paraId="41672254" w14:textId="77777777" w:rsidR="00857326"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Tariq, S., Chhetri, M. B., Nepal, S., &amp; Paris, C. (2025). Alert fatigue in security operations centres: Research challenges and opportunities. </w:t>
      </w:r>
      <w:r>
        <w:rPr>
          <w:rFonts w:ascii="Times New Roman" w:eastAsia="Times New Roman" w:hAnsi="Times New Roman" w:cs="Times New Roman"/>
          <w:i/>
          <w:iCs/>
        </w:rPr>
        <w:t>ACM Computing Surveys, 57</w:t>
      </w:r>
      <w:r>
        <w:rPr>
          <w:rFonts w:ascii="Times New Roman" w:eastAsia="Times New Roman" w:hAnsi="Times New Roman" w:cs="Times New Roman"/>
        </w:rPr>
        <w:t xml:space="preserve">(9), Article 224. </w:t>
      </w:r>
      <w:hyperlink r:id="rId119" w:history="1">
        <w:r w:rsidR="00857326">
          <w:rPr>
            <w:rFonts w:ascii="Times New Roman" w:eastAsia="Times New Roman" w:hAnsi="Times New Roman" w:cs="Times New Roman"/>
            <w:color w:val="1155CC"/>
            <w:u w:val="single"/>
          </w:rPr>
          <w:t>https://doi.org/10.1145/3723158</w:t>
        </w:r>
      </w:hyperlink>
    </w:p>
    <w:p w14:paraId="2C9CC7E2" w14:textId="77777777" w:rsidR="00284E84" w:rsidRDefault="00284E84" w:rsidP="00284E84">
      <w:pPr>
        <w:spacing w:line="480" w:lineRule="auto"/>
        <w:ind w:left="720" w:hanging="720"/>
      </w:pPr>
      <w:r>
        <w:rPr>
          <w:rFonts w:ascii="Times New Roman" w:eastAsia="Times New Roman" w:hAnsi="Times New Roman" w:cs="Times New Roman"/>
        </w:rPr>
        <w:t xml:space="preserve">Thiyagarajan, G., Bist, V., &amp; Prabugdarshi, N. (2025). </w:t>
      </w:r>
      <w:r>
        <w:rPr>
          <w:rFonts w:ascii="Times New Roman" w:eastAsia="Times New Roman" w:hAnsi="Times New Roman" w:cs="Times New Roman"/>
          <w:i/>
          <w:iCs/>
        </w:rPr>
        <w:t>The hidden dangers of outdated software: A cybersecurity perspective.</w:t>
      </w:r>
      <w:r>
        <w:rPr>
          <w:rFonts w:ascii="Times New Roman" w:eastAsia="Times New Roman" w:hAnsi="Times New Roman" w:cs="Times New Roman"/>
        </w:rPr>
        <w:t xml:space="preserve"> International Journal of Scientific Research in Computer Science Engineering and Information Technology. arXiv. </w:t>
      </w:r>
      <w:hyperlink r:id="rId120" w:history="1">
        <w:r>
          <w:rPr>
            <w:rFonts w:ascii="Times New Roman" w:eastAsia="Times New Roman" w:hAnsi="Times New Roman" w:cs="Times New Roman"/>
            <w:color w:val="1155CC"/>
            <w:u w:val="single"/>
          </w:rPr>
          <w:t>https://arxiv.org/abs/2505.13922</w:t>
        </w:r>
      </w:hyperlink>
    </w:p>
    <w:p w14:paraId="15ACFB00" w14:textId="77777777" w:rsidR="00284E84" w:rsidRDefault="00284E84" w:rsidP="00284E84">
      <w:pPr>
        <w:spacing w:line="480" w:lineRule="auto"/>
        <w:ind w:left="720" w:hanging="720"/>
      </w:pPr>
      <w:r>
        <w:rPr>
          <w:rFonts w:ascii="Times New Roman" w:eastAsia="Times New Roman" w:hAnsi="Times New Roman" w:cs="Times New Roman"/>
        </w:rPr>
        <w:t xml:space="preserve">Tran, T., Do, B. G., et al. (2024). </w:t>
      </w:r>
      <w:r>
        <w:rPr>
          <w:rFonts w:ascii="Times New Roman" w:eastAsia="Times New Roman" w:hAnsi="Times New Roman" w:cs="Times New Roman"/>
          <w:i/>
          <w:iCs/>
        </w:rPr>
        <w:t xml:space="preserve">The impacts of </w:t>
      </w:r>
      <w:proofErr w:type="gramStart"/>
      <w:r>
        <w:rPr>
          <w:rFonts w:ascii="Times New Roman" w:eastAsia="Times New Roman" w:hAnsi="Times New Roman" w:cs="Times New Roman"/>
          <w:i/>
          <w:iCs/>
        </w:rPr>
        <w:t>layoffs announcement</w:t>
      </w:r>
      <w:proofErr w:type="gramEnd"/>
      <w:r>
        <w:rPr>
          <w:rFonts w:ascii="Times New Roman" w:eastAsia="Times New Roman" w:hAnsi="Times New Roman" w:cs="Times New Roman"/>
          <w:i/>
          <w:iCs/>
        </w:rPr>
        <w:t xml:space="preserve"> on cybersecurity breaches.</w:t>
      </w:r>
      <w:r>
        <w:rPr>
          <w:rFonts w:ascii="Times New Roman" w:eastAsia="Times New Roman" w:hAnsi="Times New Roman" w:cs="Times New Roman"/>
        </w:rPr>
        <w:t xml:space="preserve"> Binghamton University; Vietnam National University. </w:t>
      </w:r>
      <w:hyperlink r:id="rId121" w:history="1">
        <w:r>
          <w:rPr>
            <w:rFonts w:ascii="Times New Roman" w:eastAsia="Times New Roman" w:hAnsi="Times New Roman" w:cs="Times New Roman"/>
            <w:color w:val="1155CC"/>
            <w:u w:val="single"/>
          </w:rPr>
          <w:t>https://aisel.aisnet.org/cgi/viewcontent.cgi?article=1165&amp;context=pacis2024</w:t>
        </w:r>
      </w:hyperlink>
    </w:p>
    <w:p w14:paraId="2825F6EF" w14:textId="77777777" w:rsidR="00284E84" w:rsidRDefault="00284E84" w:rsidP="00284E84">
      <w:pPr>
        <w:spacing w:line="480" w:lineRule="auto"/>
        <w:ind w:left="720" w:hanging="720"/>
      </w:pPr>
      <w:r>
        <w:rPr>
          <w:rFonts w:ascii="Times New Roman" w:eastAsia="Times New Roman" w:hAnsi="Times New Roman" w:cs="Times New Roman"/>
        </w:rPr>
        <w:t xml:space="preserve">Turnbull, J. (2020). </w:t>
      </w:r>
      <w:r>
        <w:rPr>
          <w:rFonts w:ascii="Times New Roman" w:eastAsia="Times New Roman" w:hAnsi="Times New Roman" w:cs="Times New Roman"/>
          <w:i/>
          <w:iCs/>
        </w:rPr>
        <w:t>The Logstash book</w:t>
      </w:r>
      <w:r>
        <w:rPr>
          <w:rFonts w:ascii="Times New Roman" w:eastAsia="Times New Roman" w:hAnsi="Times New Roman" w:cs="Times New Roman"/>
        </w:rPr>
        <w:t xml:space="preserve"> (2nd ed.). James Turnbull.</w:t>
      </w:r>
    </w:p>
    <w:p w14:paraId="537EF0AF" w14:textId="77777777" w:rsidR="00284E84" w:rsidRDefault="00284E84" w:rsidP="00284E84">
      <w:pPr>
        <w:spacing w:line="480" w:lineRule="auto"/>
        <w:ind w:left="720" w:hanging="720"/>
      </w:pPr>
      <w:r>
        <w:rPr>
          <w:rFonts w:ascii="Times New Roman" w:eastAsia="Times New Roman" w:hAnsi="Times New Roman" w:cs="Times New Roman"/>
        </w:rPr>
        <w:t xml:space="preserve">U.S. Federal Trade Commission. (2024). </w:t>
      </w:r>
      <w:r>
        <w:rPr>
          <w:rFonts w:ascii="Times New Roman" w:eastAsia="Times New Roman" w:hAnsi="Times New Roman" w:cs="Times New Roman"/>
          <w:i/>
          <w:iCs/>
        </w:rPr>
        <w:t>FTC Equifax data breach settlement.</w:t>
      </w:r>
      <w:r>
        <w:rPr>
          <w:rFonts w:ascii="Times New Roman" w:eastAsia="Times New Roman" w:hAnsi="Times New Roman" w:cs="Times New Roman"/>
        </w:rPr>
        <w:t xml:space="preserve"> </w:t>
      </w:r>
      <w:hyperlink r:id="rId122" w:history="1">
        <w:r>
          <w:rPr>
            <w:rFonts w:ascii="Times New Roman" w:eastAsia="Times New Roman" w:hAnsi="Times New Roman" w:cs="Times New Roman"/>
            <w:color w:val="1155CC"/>
            <w:u w:val="single"/>
          </w:rPr>
          <w:t>https://www.ftc.gov/enforcement/refunds/equifax-data-breach-settlement</w:t>
        </w:r>
      </w:hyperlink>
    </w:p>
    <w:p w14:paraId="47E45CD0"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U.S. Government Accountability Office. (2018). </w:t>
      </w:r>
      <w:r>
        <w:rPr>
          <w:rFonts w:ascii="Times New Roman" w:eastAsia="Times New Roman" w:hAnsi="Times New Roman" w:cs="Times New Roman"/>
          <w:i/>
          <w:iCs/>
        </w:rPr>
        <w:t>Data protection: Actions taken by Equifax and federal agencies in response to the 2017 breach</w:t>
      </w:r>
      <w:r>
        <w:rPr>
          <w:rFonts w:ascii="Times New Roman" w:eastAsia="Times New Roman" w:hAnsi="Times New Roman" w:cs="Times New Roman"/>
        </w:rPr>
        <w:t xml:space="preserve"> (GAO-18-559). </w:t>
      </w:r>
      <w:hyperlink r:id="rId123" w:history="1">
        <w:r>
          <w:rPr>
            <w:rFonts w:ascii="Times New Roman" w:eastAsia="Times New Roman" w:hAnsi="Times New Roman" w:cs="Times New Roman"/>
            <w:color w:val="1155CC"/>
            <w:u w:val="single"/>
          </w:rPr>
          <w:t>https://www.gao.gov/products/gao-18-559</w:t>
        </w:r>
      </w:hyperlink>
    </w:p>
    <w:p w14:paraId="1EC97F57" w14:textId="33FE77E3" w:rsidR="00284E84" w:rsidRDefault="00284E84" w:rsidP="00284E84">
      <w:pPr>
        <w:spacing w:line="480" w:lineRule="auto"/>
        <w:ind w:left="720" w:hanging="720"/>
      </w:pPr>
      <w:r>
        <w:rPr>
          <w:rFonts w:ascii="Times New Roman" w:eastAsia="Times New Roman" w:hAnsi="Times New Roman" w:cs="Times New Roman"/>
        </w:rPr>
        <w:t xml:space="preserve">U.S. Senate Permanent Subcommittee on Investigations. (2019). </w:t>
      </w:r>
      <w:r>
        <w:rPr>
          <w:rFonts w:ascii="Times New Roman" w:eastAsia="Times New Roman" w:hAnsi="Times New Roman" w:cs="Times New Roman"/>
          <w:i/>
          <w:iCs/>
        </w:rPr>
        <w:t>How Equifax neglected cybersecurity and suffered a devastating data breach.</w:t>
      </w:r>
      <w:r>
        <w:rPr>
          <w:rFonts w:ascii="Times New Roman" w:eastAsia="Times New Roman" w:hAnsi="Times New Roman" w:cs="Times New Roman"/>
        </w:rPr>
        <w:t xml:space="preserve"> U.S. Senate Committee on Homeland Security and Governmental Affairs. </w:t>
      </w:r>
      <w:hyperlink r:id="rId124" w:history="1">
        <w:r>
          <w:rPr>
            <w:rStyle w:val="Hyperlink"/>
            <w:rFonts w:ascii="Times New Roman" w:eastAsia="Times New Roman" w:hAnsi="Times New Roman" w:cs="Times New Roman"/>
          </w:rPr>
          <w:t>https://nsarchive.gwu.edu/document/18370-national-security-archive-u-s-senate-permanent</w:t>
        </w:r>
      </w:hyperlink>
    </w:p>
    <w:p w14:paraId="3326F609" w14:textId="77777777" w:rsidR="00284E84" w:rsidRDefault="00284E84" w:rsidP="00284E84">
      <w:pPr>
        <w:spacing w:line="480" w:lineRule="auto"/>
        <w:ind w:left="720" w:hanging="720"/>
      </w:pPr>
      <w:r>
        <w:rPr>
          <w:rFonts w:ascii="Times New Roman" w:eastAsia="Times New Roman" w:hAnsi="Times New Roman" w:cs="Times New Roman"/>
        </w:rPr>
        <w:t xml:space="preserve">Venable, J., Pries-Heje, J., &amp; Baskerville, R. (2016). FEDS: A framework for evaluation in design science research. </w:t>
      </w:r>
      <w:r>
        <w:rPr>
          <w:rFonts w:ascii="Times New Roman" w:eastAsia="Times New Roman" w:hAnsi="Times New Roman" w:cs="Times New Roman"/>
          <w:i/>
          <w:iCs/>
        </w:rPr>
        <w:t>European Journal of Information Systems, 25</w:t>
      </w:r>
      <w:r>
        <w:rPr>
          <w:rFonts w:ascii="Times New Roman" w:eastAsia="Times New Roman" w:hAnsi="Times New Roman" w:cs="Times New Roman"/>
        </w:rPr>
        <w:t xml:space="preserve">(1), 77–89. </w:t>
      </w:r>
      <w:hyperlink r:id="rId125" w:history="1">
        <w:r>
          <w:rPr>
            <w:rFonts w:ascii="Times New Roman" w:eastAsia="Times New Roman" w:hAnsi="Times New Roman" w:cs="Times New Roman"/>
            <w:color w:val="1155CC"/>
            <w:u w:val="single"/>
          </w:rPr>
          <w:t>https://doi.org/10.1057/ejis.2014.36</w:t>
        </w:r>
      </w:hyperlink>
    </w:p>
    <w:p w14:paraId="78B99168" w14:textId="77777777" w:rsidR="00284E84" w:rsidRDefault="00284E84" w:rsidP="00284E84">
      <w:pPr>
        <w:spacing w:line="480" w:lineRule="auto"/>
        <w:ind w:left="720" w:hanging="720"/>
      </w:pPr>
      <w:r>
        <w:rPr>
          <w:rFonts w:ascii="Times New Roman" w:eastAsia="Times New Roman" w:hAnsi="Times New Roman" w:cs="Times New Roman"/>
        </w:rPr>
        <w:t xml:space="preserve">Verizon. (2025). </w:t>
      </w:r>
      <w:r>
        <w:rPr>
          <w:rFonts w:ascii="Times New Roman" w:eastAsia="Times New Roman" w:hAnsi="Times New Roman" w:cs="Times New Roman"/>
          <w:i/>
          <w:iCs/>
        </w:rPr>
        <w:t>2025 data breach investigations report (DBIR).</w:t>
      </w:r>
      <w:r>
        <w:rPr>
          <w:rFonts w:ascii="Times New Roman" w:eastAsia="Times New Roman" w:hAnsi="Times New Roman" w:cs="Times New Roman"/>
        </w:rPr>
        <w:t xml:space="preserve"> Verizon Business. </w:t>
      </w:r>
      <w:hyperlink r:id="rId126" w:history="1">
        <w:r>
          <w:rPr>
            <w:rFonts w:ascii="Times New Roman" w:eastAsia="Times New Roman" w:hAnsi="Times New Roman" w:cs="Times New Roman"/>
            <w:color w:val="1155CC"/>
            <w:u w:val="single"/>
          </w:rPr>
          <w:t>https://www.verizon.com/business/resources/reports/2025-dbir-data-breach-investigations-report.pdf</w:t>
        </w:r>
      </w:hyperlink>
    </w:p>
    <w:p w14:paraId="020C3055" w14:textId="77777777" w:rsidR="00284E84" w:rsidRDefault="00284E84" w:rsidP="00284E84">
      <w:pPr>
        <w:spacing w:line="480" w:lineRule="auto"/>
        <w:ind w:left="720" w:hanging="720"/>
      </w:pPr>
      <w:r>
        <w:rPr>
          <w:rFonts w:ascii="Times New Roman" w:eastAsia="Times New Roman" w:hAnsi="Times New Roman" w:cs="Times New Roman"/>
        </w:rPr>
        <w:t xml:space="preserve">Yaacovi, R. (2022). </w:t>
      </w:r>
      <w:r>
        <w:rPr>
          <w:rFonts w:ascii="Times New Roman" w:eastAsia="Times New Roman" w:hAnsi="Times New Roman" w:cs="Times New Roman"/>
          <w:i/>
          <w:iCs/>
        </w:rPr>
        <w:t>Shining a light on shadow data: What it is and how to minimize it.</w:t>
      </w:r>
      <w:r>
        <w:rPr>
          <w:rFonts w:ascii="Times New Roman" w:eastAsia="Times New Roman" w:hAnsi="Times New Roman" w:cs="Times New Roman"/>
        </w:rPr>
        <w:t xml:space="preserve"> Cloud Security Alliance. </w:t>
      </w:r>
      <w:hyperlink r:id="rId127" w:history="1">
        <w:r>
          <w:rPr>
            <w:rFonts w:ascii="Times New Roman" w:eastAsia="Times New Roman" w:hAnsi="Times New Roman" w:cs="Times New Roman"/>
            <w:color w:val="1155CC"/>
            <w:u w:val="single"/>
          </w:rPr>
          <w:t>https://cloudsecurityalliance.org/blog/2022/06/07/shining-a-light-on-shadow-data-what-it-is-and-how-to-minimize-it</w:t>
        </w:r>
      </w:hyperlink>
    </w:p>
    <w:p w14:paraId="28A6CF93" w14:textId="77777777" w:rsidR="00284E84" w:rsidRDefault="00284E84" w:rsidP="00284E84">
      <w:pPr>
        <w:spacing w:line="480" w:lineRule="auto"/>
        <w:ind w:left="720" w:hanging="720"/>
      </w:pPr>
      <w:r>
        <w:rPr>
          <w:rFonts w:ascii="Times New Roman" w:eastAsia="Times New Roman" w:hAnsi="Times New Roman" w:cs="Times New Roman"/>
        </w:rPr>
        <w:t xml:space="preserve">Yusuf. (2022). </w:t>
      </w:r>
      <w:r>
        <w:rPr>
          <w:rFonts w:ascii="Times New Roman" w:eastAsia="Times New Roman" w:hAnsi="Times New Roman" w:cs="Times New Roman"/>
          <w:i/>
          <w:iCs/>
        </w:rPr>
        <w:t>Network detection and response – NDR.</w:t>
      </w:r>
      <w:r>
        <w:rPr>
          <w:rFonts w:ascii="Times New Roman" w:eastAsia="Times New Roman" w:hAnsi="Times New Roman" w:cs="Times New Roman"/>
        </w:rPr>
        <w:t xml:space="preserve"> Yusuf On Security. </w:t>
      </w:r>
      <w:hyperlink r:id="rId128" w:history="1">
        <w:r>
          <w:rPr>
            <w:rFonts w:ascii="Times New Roman" w:eastAsia="Times New Roman" w:hAnsi="Times New Roman" w:cs="Times New Roman"/>
            <w:color w:val="1155CC"/>
            <w:u w:val="single"/>
          </w:rPr>
          <w:t>https://yusufonsecurity.com/2022/11/07/network-detection-and-response-ndr/</w:t>
        </w:r>
      </w:hyperlink>
    </w:p>
    <w:p w14:paraId="2275F1B4" w14:textId="77777777" w:rsidR="00284E84" w:rsidRDefault="00284E84" w:rsidP="00284E84">
      <w:pPr>
        <w:spacing w:line="480" w:lineRule="auto"/>
        <w:ind w:left="720" w:hanging="720"/>
      </w:pPr>
      <w:r>
        <w:rPr>
          <w:rFonts w:ascii="Times New Roman" w:eastAsia="Times New Roman" w:hAnsi="Times New Roman" w:cs="Times New Roman"/>
        </w:rPr>
        <w:t xml:space="preserve">Zeitlow, E. (2026). </w:t>
      </w:r>
      <w:r>
        <w:rPr>
          <w:rFonts w:ascii="Times New Roman" w:eastAsia="Times New Roman" w:hAnsi="Times New Roman" w:cs="Times New Roman"/>
          <w:i/>
          <w:iCs/>
        </w:rPr>
        <w:t>Why SOC analysts spend most of their time gathering context, not analyzing threats.</w:t>
      </w:r>
      <w:r>
        <w:rPr>
          <w:rFonts w:ascii="Times New Roman" w:eastAsia="Times New Roman" w:hAnsi="Times New Roman" w:cs="Times New Roman"/>
        </w:rPr>
        <w:t xml:space="preserve"> DeepTempo, Inc. </w:t>
      </w:r>
      <w:hyperlink r:id="rId129" w:history="1">
        <w:r>
          <w:rPr>
            <w:rFonts w:ascii="Times New Roman" w:eastAsia="Times New Roman" w:hAnsi="Times New Roman" w:cs="Times New Roman"/>
            <w:color w:val="1155CC"/>
            <w:u w:val="single"/>
          </w:rPr>
          <w:t>https://www.deeptempo.ai/blogs/why-soc-analysts-spend-most-of-their-time-gathering-context-not-analyzing-threats</w:t>
        </w:r>
      </w:hyperlink>
    </w:p>
    <w:p w14:paraId="21C652D2" w14:textId="77777777" w:rsidR="00857326"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lastRenderedPageBreak/>
        <w:t xml:space="preserve">Zhong, C., Yen, J., Liu, P., Erbacher, R. F., Garneau, C., &amp; Chen, B. (2017). Studying analysts’ data triage operations in cyber defense situational analysis. In P. Liu, S. Jajodia, &amp; C. Wang (Eds.), </w:t>
      </w:r>
      <w:r>
        <w:rPr>
          <w:rFonts w:ascii="Times New Roman" w:eastAsia="Times New Roman" w:hAnsi="Times New Roman" w:cs="Times New Roman"/>
          <w:i/>
          <w:iCs/>
        </w:rPr>
        <w:t>Theory and models for cyber situation awareness</w:t>
      </w:r>
      <w:r>
        <w:rPr>
          <w:rFonts w:ascii="Times New Roman" w:eastAsia="Times New Roman" w:hAnsi="Times New Roman" w:cs="Times New Roman"/>
        </w:rPr>
        <w:t xml:space="preserve"> (Lecture Notes in Computer Science, Vol. 10030, pp. 128–169). Springer. </w:t>
      </w:r>
      <w:hyperlink r:id="rId130" w:history="1">
        <w:r w:rsidR="00857326">
          <w:rPr>
            <w:rFonts w:ascii="Times New Roman" w:eastAsia="Times New Roman" w:hAnsi="Times New Roman" w:cs="Times New Roman"/>
            <w:color w:val="1155CC"/>
            <w:u w:val="single"/>
          </w:rPr>
          <w:t>https://doi.org/10.1007/978-3-319-61152-5_6</w:t>
        </w:r>
      </w:hyperlink>
    </w:p>
    <w:p w14:paraId="50640041" w14:textId="77777777" w:rsidR="00284E84" w:rsidRDefault="00284E84" w:rsidP="00284E84">
      <w:pPr>
        <w:spacing w:line="480" w:lineRule="auto"/>
        <w:ind w:left="720" w:hanging="720"/>
      </w:pPr>
      <w:r>
        <w:rPr>
          <w:rFonts w:ascii="Times New Roman" w:eastAsia="Times New Roman" w:hAnsi="Times New Roman" w:cs="Times New Roman"/>
        </w:rPr>
        <w:t xml:space="preserve">Zimmerman, C. (2014). </w:t>
      </w:r>
      <w:r>
        <w:rPr>
          <w:rFonts w:ascii="Times New Roman" w:eastAsia="Times New Roman" w:hAnsi="Times New Roman" w:cs="Times New Roman"/>
          <w:i/>
          <w:iCs/>
        </w:rPr>
        <w:t>Ten strategies of a world-class cybersecurity operations center.</w:t>
      </w:r>
      <w:r>
        <w:rPr>
          <w:rFonts w:ascii="Times New Roman" w:eastAsia="Times New Roman" w:hAnsi="Times New Roman" w:cs="Times New Roman"/>
        </w:rPr>
        <w:t xml:space="preserve"> The MITRE Corporation. </w:t>
      </w:r>
      <w:hyperlink r:id="rId131" w:history="1">
        <w:r>
          <w:rPr>
            <w:rFonts w:ascii="Times New Roman" w:eastAsia="Times New Roman" w:hAnsi="Times New Roman" w:cs="Times New Roman"/>
            <w:color w:val="1155CC"/>
            <w:u w:val="single"/>
          </w:rPr>
          <w:t>https://www.mitre.org/sites/default/files/publications/pr-13-1028-mitre-10-strategies-cyber-ops-center.pdf</w:t>
        </w:r>
      </w:hyperlink>
    </w:p>
    <w:sectPr w:rsidR="00284E84" w:rsidSect="007373E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447F4" w14:textId="77777777" w:rsidR="0085116A" w:rsidRDefault="0085116A" w:rsidP="00A25DEE">
      <w:pPr>
        <w:spacing w:after="0" w:line="240" w:lineRule="auto"/>
      </w:pPr>
      <w:r>
        <w:separator/>
      </w:r>
    </w:p>
  </w:endnote>
  <w:endnote w:type="continuationSeparator" w:id="0">
    <w:p w14:paraId="4805A276" w14:textId="77777777" w:rsidR="0085116A" w:rsidRDefault="0085116A" w:rsidP="00A25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0D117" w14:textId="77777777" w:rsidR="00A6430D" w:rsidRDefault="007373E3">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F534" w14:textId="77777777" w:rsidR="00A6430D" w:rsidRDefault="00A6430D">
    <w:pPr>
      <w:pStyle w:val="Footer"/>
      <w:jc w:val="center"/>
    </w:pPr>
  </w:p>
  <w:p w14:paraId="2E7CAC06" w14:textId="77777777" w:rsidR="00A6430D" w:rsidRDefault="00A643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D7A83" w14:textId="77777777" w:rsidR="00FA71B2" w:rsidRDefault="00FA71B2">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241E15D" w14:textId="77777777" w:rsidR="007373E3" w:rsidRDefault="007373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085042"/>
      <w:docPartObj>
        <w:docPartGallery w:val="Page Numbers (Bottom of Page)"/>
        <w:docPartUnique/>
      </w:docPartObj>
    </w:sdtPr>
    <w:sdtEndPr>
      <w:rPr>
        <w:noProof/>
      </w:rPr>
    </w:sdtEndPr>
    <w:sdtContent>
      <w:p w14:paraId="40651528" w14:textId="77777777" w:rsidR="007373E3" w:rsidRDefault="00737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E984B0" w14:textId="77777777" w:rsidR="007373E3" w:rsidRDefault="007373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B50AE" w14:textId="77777777" w:rsidR="0085116A" w:rsidRDefault="0085116A" w:rsidP="00A25DEE">
      <w:pPr>
        <w:spacing w:after="0" w:line="240" w:lineRule="auto"/>
      </w:pPr>
      <w:r>
        <w:separator/>
      </w:r>
    </w:p>
  </w:footnote>
  <w:footnote w:type="continuationSeparator" w:id="0">
    <w:p w14:paraId="51170CCE" w14:textId="77777777" w:rsidR="0085116A" w:rsidRDefault="0085116A" w:rsidP="00A25D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7595"/>
    <w:multiLevelType w:val="hybridMultilevel"/>
    <w:tmpl w:val="41B08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A1D0A"/>
    <w:multiLevelType w:val="multilevel"/>
    <w:tmpl w:val="8E68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77518"/>
    <w:multiLevelType w:val="multilevel"/>
    <w:tmpl w:val="BAB8C71E"/>
    <w:lvl w:ilvl="0">
      <w:start w:val="2"/>
      <w:numFmt w:val="decimal"/>
      <w:lvlText w:val="%1"/>
      <w:lvlJc w:val="left"/>
      <w:pPr>
        <w:ind w:left="525" w:hanging="525"/>
      </w:pPr>
      <w:rPr>
        <w:rFonts w:eastAsia="Arial" w:hint="default"/>
        <w:sz w:val="26"/>
      </w:rPr>
    </w:lvl>
    <w:lvl w:ilvl="1">
      <w:start w:val="3"/>
      <w:numFmt w:val="decimal"/>
      <w:lvlText w:val="%1.%2"/>
      <w:lvlJc w:val="left"/>
      <w:pPr>
        <w:ind w:left="1380" w:hanging="525"/>
      </w:pPr>
      <w:rPr>
        <w:rFonts w:eastAsia="Arial" w:hint="default"/>
        <w:sz w:val="26"/>
      </w:rPr>
    </w:lvl>
    <w:lvl w:ilvl="2">
      <w:start w:val="3"/>
      <w:numFmt w:val="decimal"/>
      <w:lvlText w:val="%1.%2.%3"/>
      <w:lvlJc w:val="left"/>
      <w:pPr>
        <w:ind w:left="2430" w:hanging="720"/>
      </w:pPr>
      <w:rPr>
        <w:rFonts w:eastAsia="Arial" w:hint="default"/>
        <w:sz w:val="26"/>
      </w:rPr>
    </w:lvl>
    <w:lvl w:ilvl="3">
      <w:start w:val="1"/>
      <w:numFmt w:val="decimal"/>
      <w:lvlText w:val="%1.%2.%3.%4"/>
      <w:lvlJc w:val="left"/>
      <w:pPr>
        <w:ind w:left="3645" w:hanging="1080"/>
      </w:pPr>
      <w:rPr>
        <w:rFonts w:eastAsia="Arial" w:hint="default"/>
        <w:sz w:val="26"/>
      </w:rPr>
    </w:lvl>
    <w:lvl w:ilvl="4">
      <w:start w:val="1"/>
      <w:numFmt w:val="decimal"/>
      <w:lvlText w:val="%1.%2.%3.%4.%5"/>
      <w:lvlJc w:val="left"/>
      <w:pPr>
        <w:ind w:left="4500" w:hanging="1080"/>
      </w:pPr>
      <w:rPr>
        <w:rFonts w:eastAsia="Arial" w:hint="default"/>
        <w:sz w:val="26"/>
      </w:rPr>
    </w:lvl>
    <w:lvl w:ilvl="5">
      <w:start w:val="1"/>
      <w:numFmt w:val="decimal"/>
      <w:lvlText w:val="%1.%2.%3.%4.%5.%6"/>
      <w:lvlJc w:val="left"/>
      <w:pPr>
        <w:ind w:left="5715" w:hanging="1440"/>
      </w:pPr>
      <w:rPr>
        <w:rFonts w:eastAsia="Arial" w:hint="default"/>
        <w:sz w:val="26"/>
      </w:rPr>
    </w:lvl>
    <w:lvl w:ilvl="6">
      <w:start w:val="1"/>
      <w:numFmt w:val="decimal"/>
      <w:lvlText w:val="%1.%2.%3.%4.%5.%6.%7"/>
      <w:lvlJc w:val="left"/>
      <w:pPr>
        <w:ind w:left="6570" w:hanging="1440"/>
      </w:pPr>
      <w:rPr>
        <w:rFonts w:eastAsia="Arial" w:hint="default"/>
        <w:sz w:val="26"/>
      </w:rPr>
    </w:lvl>
    <w:lvl w:ilvl="7">
      <w:start w:val="1"/>
      <w:numFmt w:val="decimal"/>
      <w:lvlText w:val="%1.%2.%3.%4.%5.%6.%7.%8"/>
      <w:lvlJc w:val="left"/>
      <w:pPr>
        <w:ind w:left="7785" w:hanging="1800"/>
      </w:pPr>
      <w:rPr>
        <w:rFonts w:eastAsia="Arial" w:hint="default"/>
        <w:sz w:val="26"/>
      </w:rPr>
    </w:lvl>
    <w:lvl w:ilvl="8">
      <w:start w:val="1"/>
      <w:numFmt w:val="decimal"/>
      <w:lvlText w:val="%1.%2.%3.%4.%5.%6.%7.%8.%9"/>
      <w:lvlJc w:val="left"/>
      <w:pPr>
        <w:ind w:left="9000" w:hanging="2160"/>
      </w:pPr>
      <w:rPr>
        <w:rFonts w:eastAsia="Arial" w:hint="default"/>
        <w:sz w:val="26"/>
      </w:rPr>
    </w:lvl>
  </w:abstractNum>
  <w:abstractNum w:abstractNumId="3" w15:restartNumberingAfterBreak="0">
    <w:nsid w:val="23E534CC"/>
    <w:multiLevelType w:val="multilevel"/>
    <w:tmpl w:val="43687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3770F"/>
    <w:multiLevelType w:val="multilevel"/>
    <w:tmpl w:val="77266F0E"/>
    <w:lvl w:ilvl="0">
      <w:start w:val="3"/>
      <w:numFmt w:val="decimal"/>
      <w:lvlText w:val="%1"/>
      <w:lvlJc w:val="left"/>
      <w:pPr>
        <w:ind w:left="600" w:hanging="600"/>
      </w:pPr>
      <w:rPr>
        <w:rFonts w:hint="default"/>
      </w:rPr>
    </w:lvl>
    <w:lvl w:ilvl="1">
      <w:start w:val="3"/>
      <w:numFmt w:val="decimal"/>
      <w:lvlText w:val="%1.%2"/>
      <w:lvlJc w:val="left"/>
      <w:pPr>
        <w:ind w:left="1275"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3105" w:hanging="1080"/>
      </w:pPr>
      <w:rPr>
        <w:rFonts w:hint="default"/>
      </w:rPr>
    </w:lvl>
    <w:lvl w:ilvl="4">
      <w:start w:val="1"/>
      <w:numFmt w:val="decimal"/>
      <w:lvlText w:val="%1.%2.%3.%4.%5"/>
      <w:lvlJc w:val="left"/>
      <w:pPr>
        <w:ind w:left="3780" w:hanging="1080"/>
      </w:pPr>
      <w:rPr>
        <w:rFonts w:hint="default"/>
      </w:rPr>
    </w:lvl>
    <w:lvl w:ilvl="5">
      <w:start w:val="1"/>
      <w:numFmt w:val="decimal"/>
      <w:lvlText w:val="%1.%2.%3.%4.%5.%6"/>
      <w:lvlJc w:val="left"/>
      <w:pPr>
        <w:ind w:left="4815" w:hanging="1440"/>
      </w:pPr>
      <w:rPr>
        <w:rFonts w:hint="default"/>
      </w:rPr>
    </w:lvl>
    <w:lvl w:ilvl="6">
      <w:start w:val="1"/>
      <w:numFmt w:val="decimal"/>
      <w:lvlText w:val="%1.%2.%3.%4.%5.%6.%7"/>
      <w:lvlJc w:val="left"/>
      <w:pPr>
        <w:ind w:left="5490" w:hanging="1440"/>
      </w:pPr>
      <w:rPr>
        <w:rFonts w:hint="default"/>
      </w:rPr>
    </w:lvl>
    <w:lvl w:ilvl="7">
      <w:start w:val="1"/>
      <w:numFmt w:val="decimal"/>
      <w:lvlText w:val="%1.%2.%3.%4.%5.%6.%7.%8"/>
      <w:lvlJc w:val="left"/>
      <w:pPr>
        <w:ind w:left="6525" w:hanging="1800"/>
      </w:pPr>
      <w:rPr>
        <w:rFonts w:hint="default"/>
      </w:rPr>
    </w:lvl>
    <w:lvl w:ilvl="8">
      <w:start w:val="1"/>
      <w:numFmt w:val="decimal"/>
      <w:lvlText w:val="%1.%2.%3.%4.%5.%6.%7.%8.%9"/>
      <w:lvlJc w:val="left"/>
      <w:pPr>
        <w:ind w:left="7560" w:hanging="2160"/>
      </w:pPr>
      <w:rPr>
        <w:rFonts w:hint="default"/>
      </w:rPr>
    </w:lvl>
  </w:abstractNum>
  <w:abstractNum w:abstractNumId="5" w15:restartNumberingAfterBreak="0">
    <w:nsid w:val="3CF71EC9"/>
    <w:multiLevelType w:val="multilevel"/>
    <w:tmpl w:val="9022CF5E"/>
    <w:lvl w:ilvl="0">
      <w:start w:val="1"/>
      <w:numFmt w:val="decimal"/>
      <w:lvlText w:val="%1"/>
      <w:lvlJc w:val="left"/>
      <w:pPr>
        <w:ind w:left="600" w:hanging="600"/>
      </w:pPr>
      <w:rPr>
        <w:rFonts w:hint="default"/>
      </w:rPr>
    </w:lvl>
    <w:lvl w:ilvl="1">
      <w:start w:val="6"/>
      <w:numFmt w:val="decimal"/>
      <w:lvlText w:val="%1.%2"/>
      <w:lvlJc w:val="left"/>
      <w:pPr>
        <w:ind w:left="825" w:hanging="600"/>
      </w:pPr>
      <w:rPr>
        <w:rFonts w:hint="default"/>
      </w:rPr>
    </w:lvl>
    <w:lvl w:ilvl="2">
      <w:start w:val="2"/>
      <w:numFmt w:val="decimal"/>
      <w:lvlText w:val="%1.%2.%3"/>
      <w:lvlJc w:val="left"/>
      <w:pPr>
        <w:ind w:left="1170" w:hanging="720"/>
      </w:pPr>
      <w:rPr>
        <w:rFonts w:hint="default"/>
      </w:rPr>
    </w:lvl>
    <w:lvl w:ilvl="3">
      <w:start w:val="1"/>
      <w:numFmt w:val="decimal"/>
      <w:lvlText w:val="%1.%2.%3.%4"/>
      <w:lvlJc w:val="left"/>
      <w:pPr>
        <w:ind w:left="1755" w:hanging="108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565" w:hanging="144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375" w:hanging="1800"/>
      </w:pPr>
      <w:rPr>
        <w:rFonts w:hint="default"/>
      </w:rPr>
    </w:lvl>
    <w:lvl w:ilvl="8">
      <w:start w:val="1"/>
      <w:numFmt w:val="decimal"/>
      <w:lvlText w:val="%1.%2.%3.%4.%5.%6.%7.%8.%9"/>
      <w:lvlJc w:val="left"/>
      <w:pPr>
        <w:ind w:left="3960" w:hanging="2160"/>
      </w:pPr>
      <w:rPr>
        <w:rFonts w:hint="default"/>
      </w:rPr>
    </w:lvl>
  </w:abstractNum>
  <w:abstractNum w:abstractNumId="6" w15:restartNumberingAfterBreak="0">
    <w:nsid w:val="3E0624B6"/>
    <w:multiLevelType w:val="multilevel"/>
    <w:tmpl w:val="DB1AEE70"/>
    <w:lvl w:ilvl="0">
      <w:start w:val="2"/>
      <w:numFmt w:val="decimal"/>
      <w:lvlText w:val="%1"/>
      <w:lvlJc w:val="left"/>
      <w:pPr>
        <w:ind w:left="360" w:hanging="360"/>
      </w:pPr>
      <w:rPr>
        <w:rFonts w:hint="default"/>
      </w:rPr>
    </w:lvl>
    <w:lvl w:ilvl="1">
      <w:start w:val="2"/>
      <w:numFmt w:val="decimal"/>
      <w:lvlText w:val="%1.%2"/>
      <w:lvlJc w:val="left"/>
      <w:pPr>
        <w:ind w:left="630" w:hanging="360"/>
      </w:pPr>
      <w:rPr>
        <w:rFonts w:hint="default"/>
      </w:rPr>
    </w:lvl>
    <w:lvl w:ilvl="2">
      <w:start w:val="1"/>
      <w:numFmt w:val="decimal"/>
      <w:pStyle w:val="Heading3"/>
      <w:lvlText w:val="%1.%2.%3"/>
      <w:lvlJc w:val="left"/>
      <w:pPr>
        <w:ind w:left="2070" w:hanging="72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F3A5C52"/>
    <w:multiLevelType w:val="multilevel"/>
    <w:tmpl w:val="1D14E26E"/>
    <w:lvl w:ilvl="0">
      <w:start w:val="3"/>
      <w:numFmt w:val="decimal"/>
      <w:lvlText w:val="%1"/>
      <w:lvlJc w:val="left"/>
      <w:pPr>
        <w:ind w:left="576" w:hanging="576"/>
      </w:pPr>
      <w:rPr>
        <w:rFonts w:hint="default"/>
      </w:rPr>
    </w:lvl>
    <w:lvl w:ilvl="1">
      <w:start w:val="2"/>
      <w:numFmt w:val="decimal"/>
      <w:lvlText w:val="%1.%2"/>
      <w:lvlJc w:val="left"/>
      <w:pPr>
        <w:ind w:left="1251" w:hanging="576"/>
      </w:pPr>
      <w:rPr>
        <w:rFonts w:hint="default"/>
      </w:rPr>
    </w:lvl>
    <w:lvl w:ilvl="2">
      <w:start w:val="2"/>
      <w:numFmt w:val="decimal"/>
      <w:lvlText w:val="%1.%2.%3"/>
      <w:lvlJc w:val="left"/>
      <w:pPr>
        <w:ind w:left="7830" w:hanging="720"/>
      </w:pPr>
      <w:rPr>
        <w:rFonts w:hint="default"/>
      </w:rPr>
    </w:lvl>
    <w:lvl w:ilvl="3">
      <w:start w:val="1"/>
      <w:numFmt w:val="decimal"/>
      <w:lvlText w:val="%1.%2.%3.%4"/>
      <w:lvlJc w:val="left"/>
      <w:pPr>
        <w:ind w:left="3105" w:hanging="1080"/>
      </w:pPr>
      <w:rPr>
        <w:rFonts w:hint="default"/>
      </w:rPr>
    </w:lvl>
    <w:lvl w:ilvl="4">
      <w:start w:val="1"/>
      <w:numFmt w:val="decimal"/>
      <w:lvlText w:val="%1.%2.%3.%4.%5"/>
      <w:lvlJc w:val="left"/>
      <w:pPr>
        <w:ind w:left="3780" w:hanging="1080"/>
      </w:pPr>
      <w:rPr>
        <w:rFonts w:hint="default"/>
      </w:rPr>
    </w:lvl>
    <w:lvl w:ilvl="5">
      <w:start w:val="1"/>
      <w:numFmt w:val="decimal"/>
      <w:lvlText w:val="%1.%2.%3.%4.%5.%6"/>
      <w:lvlJc w:val="left"/>
      <w:pPr>
        <w:ind w:left="4815" w:hanging="1440"/>
      </w:pPr>
      <w:rPr>
        <w:rFonts w:hint="default"/>
      </w:rPr>
    </w:lvl>
    <w:lvl w:ilvl="6">
      <w:start w:val="1"/>
      <w:numFmt w:val="decimal"/>
      <w:lvlText w:val="%1.%2.%3.%4.%5.%6.%7"/>
      <w:lvlJc w:val="left"/>
      <w:pPr>
        <w:ind w:left="5490" w:hanging="1440"/>
      </w:pPr>
      <w:rPr>
        <w:rFonts w:hint="default"/>
      </w:rPr>
    </w:lvl>
    <w:lvl w:ilvl="7">
      <w:start w:val="1"/>
      <w:numFmt w:val="decimal"/>
      <w:lvlText w:val="%1.%2.%3.%4.%5.%6.%7.%8"/>
      <w:lvlJc w:val="left"/>
      <w:pPr>
        <w:ind w:left="6525" w:hanging="1800"/>
      </w:pPr>
      <w:rPr>
        <w:rFonts w:hint="default"/>
      </w:rPr>
    </w:lvl>
    <w:lvl w:ilvl="8">
      <w:start w:val="1"/>
      <w:numFmt w:val="decimal"/>
      <w:lvlText w:val="%1.%2.%3.%4.%5.%6.%7.%8.%9"/>
      <w:lvlJc w:val="left"/>
      <w:pPr>
        <w:ind w:left="7560" w:hanging="2160"/>
      </w:pPr>
      <w:rPr>
        <w:rFonts w:hint="default"/>
      </w:rPr>
    </w:lvl>
  </w:abstractNum>
  <w:abstractNum w:abstractNumId="8" w15:restartNumberingAfterBreak="0">
    <w:nsid w:val="40997719"/>
    <w:multiLevelType w:val="multilevel"/>
    <w:tmpl w:val="88580A14"/>
    <w:lvl w:ilvl="0">
      <w:start w:val="3"/>
      <w:numFmt w:val="decimal"/>
      <w:lvlText w:val="%1"/>
      <w:lvlJc w:val="left"/>
      <w:pPr>
        <w:ind w:left="480" w:hanging="480"/>
      </w:pPr>
      <w:rPr>
        <w:rFonts w:eastAsia="Times New Roman" w:cs="Times New Roman" w:hint="default"/>
        <w:i/>
        <w:sz w:val="24"/>
      </w:rPr>
    </w:lvl>
    <w:lvl w:ilvl="1">
      <w:start w:val="3"/>
      <w:numFmt w:val="decimal"/>
      <w:lvlText w:val="%1.%2"/>
      <w:lvlJc w:val="left"/>
      <w:pPr>
        <w:ind w:left="1155" w:hanging="480"/>
      </w:pPr>
      <w:rPr>
        <w:rFonts w:eastAsia="Times New Roman" w:cs="Times New Roman" w:hint="default"/>
        <w:i/>
        <w:sz w:val="24"/>
      </w:rPr>
    </w:lvl>
    <w:lvl w:ilvl="2">
      <w:start w:val="1"/>
      <w:numFmt w:val="decimal"/>
      <w:lvlText w:val="%1.%2.%3"/>
      <w:lvlJc w:val="left"/>
      <w:pPr>
        <w:ind w:left="2070" w:hanging="720"/>
      </w:pPr>
      <w:rPr>
        <w:rFonts w:eastAsia="Times New Roman" w:cs="Times New Roman" w:hint="default"/>
        <w:i/>
        <w:sz w:val="24"/>
      </w:rPr>
    </w:lvl>
    <w:lvl w:ilvl="3">
      <w:start w:val="1"/>
      <w:numFmt w:val="decimal"/>
      <w:lvlText w:val="%1.%2.%3.%4"/>
      <w:lvlJc w:val="left"/>
      <w:pPr>
        <w:ind w:left="3105" w:hanging="1080"/>
      </w:pPr>
      <w:rPr>
        <w:rFonts w:eastAsia="Times New Roman" w:cs="Times New Roman" w:hint="default"/>
        <w:i/>
        <w:sz w:val="24"/>
      </w:rPr>
    </w:lvl>
    <w:lvl w:ilvl="4">
      <w:start w:val="1"/>
      <w:numFmt w:val="decimal"/>
      <w:lvlText w:val="%1.%2.%3.%4.%5"/>
      <w:lvlJc w:val="left"/>
      <w:pPr>
        <w:ind w:left="3780" w:hanging="1080"/>
      </w:pPr>
      <w:rPr>
        <w:rFonts w:eastAsia="Times New Roman" w:cs="Times New Roman" w:hint="default"/>
        <w:i/>
        <w:sz w:val="24"/>
      </w:rPr>
    </w:lvl>
    <w:lvl w:ilvl="5">
      <w:start w:val="1"/>
      <w:numFmt w:val="decimal"/>
      <w:lvlText w:val="%1.%2.%3.%4.%5.%6"/>
      <w:lvlJc w:val="left"/>
      <w:pPr>
        <w:ind w:left="4815" w:hanging="1440"/>
      </w:pPr>
      <w:rPr>
        <w:rFonts w:eastAsia="Times New Roman" w:cs="Times New Roman" w:hint="default"/>
        <w:i/>
        <w:sz w:val="24"/>
      </w:rPr>
    </w:lvl>
    <w:lvl w:ilvl="6">
      <w:start w:val="1"/>
      <w:numFmt w:val="decimal"/>
      <w:lvlText w:val="%1.%2.%3.%4.%5.%6.%7"/>
      <w:lvlJc w:val="left"/>
      <w:pPr>
        <w:ind w:left="5490" w:hanging="1440"/>
      </w:pPr>
      <w:rPr>
        <w:rFonts w:eastAsia="Times New Roman" w:cs="Times New Roman" w:hint="default"/>
        <w:i/>
        <w:sz w:val="24"/>
      </w:rPr>
    </w:lvl>
    <w:lvl w:ilvl="7">
      <w:start w:val="1"/>
      <w:numFmt w:val="decimal"/>
      <w:lvlText w:val="%1.%2.%3.%4.%5.%6.%7.%8"/>
      <w:lvlJc w:val="left"/>
      <w:pPr>
        <w:ind w:left="6525" w:hanging="1800"/>
      </w:pPr>
      <w:rPr>
        <w:rFonts w:eastAsia="Times New Roman" w:cs="Times New Roman" w:hint="default"/>
        <w:i/>
        <w:sz w:val="24"/>
      </w:rPr>
    </w:lvl>
    <w:lvl w:ilvl="8">
      <w:start w:val="1"/>
      <w:numFmt w:val="decimal"/>
      <w:lvlText w:val="%1.%2.%3.%4.%5.%6.%7.%8.%9"/>
      <w:lvlJc w:val="left"/>
      <w:pPr>
        <w:ind w:left="7560" w:hanging="2160"/>
      </w:pPr>
      <w:rPr>
        <w:rFonts w:eastAsia="Times New Roman" w:cs="Times New Roman" w:hint="default"/>
        <w:i/>
        <w:sz w:val="24"/>
      </w:rPr>
    </w:lvl>
  </w:abstractNum>
  <w:abstractNum w:abstractNumId="9" w15:restartNumberingAfterBreak="0">
    <w:nsid w:val="45D54219"/>
    <w:multiLevelType w:val="multilevel"/>
    <w:tmpl w:val="F47A8768"/>
    <w:lvl w:ilvl="0">
      <w:start w:val="2"/>
      <w:numFmt w:val="decimal"/>
      <w:lvlText w:val="%1"/>
      <w:lvlJc w:val="left"/>
      <w:pPr>
        <w:ind w:left="540" w:hanging="540"/>
      </w:pPr>
      <w:rPr>
        <w:rFonts w:hint="default"/>
      </w:rPr>
    </w:lvl>
    <w:lvl w:ilvl="1">
      <w:start w:val="4"/>
      <w:numFmt w:val="decimal"/>
      <w:lvlText w:val="%1.%2"/>
      <w:lvlJc w:val="left"/>
      <w:pPr>
        <w:ind w:left="1395" w:hanging="540"/>
      </w:pPr>
      <w:rPr>
        <w:rFonts w:hint="default"/>
      </w:rPr>
    </w:lvl>
    <w:lvl w:ilvl="2">
      <w:start w:val="1"/>
      <w:numFmt w:val="decimal"/>
      <w:lvlText w:val="%1.%2.%3"/>
      <w:lvlJc w:val="left"/>
      <w:pPr>
        <w:ind w:left="2430" w:hanging="720"/>
      </w:pPr>
      <w:rPr>
        <w:rFonts w:hint="default"/>
      </w:rPr>
    </w:lvl>
    <w:lvl w:ilvl="3">
      <w:start w:val="1"/>
      <w:numFmt w:val="decimal"/>
      <w:lvlText w:val="%1.%2.%3.%4"/>
      <w:lvlJc w:val="left"/>
      <w:pPr>
        <w:ind w:left="3285"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715" w:hanging="1440"/>
      </w:pPr>
      <w:rPr>
        <w:rFonts w:hint="default"/>
      </w:rPr>
    </w:lvl>
    <w:lvl w:ilvl="6">
      <w:start w:val="1"/>
      <w:numFmt w:val="decimal"/>
      <w:lvlText w:val="%1.%2.%3.%4.%5.%6.%7"/>
      <w:lvlJc w:val="left"/>
      <w:pPr>
        <w:ind w:left="6570" w:hanging="1440"/>
      </w:pPr>
      <w:rPr>
        <w:rFonts w:hint="default"/>
      </w:rPr>
    </w:lvl>
    <w:lvl w:ilvl="7">
      <w:start w:val="1"/>
      <w:numFmt w:val="decimal"/>
      <w:lvlText w:val="%1.%2.%3.%4.%5.%6.%7.%8"/>
      <w:lvlJc w:val="left"/>
      <w:pPr>
        <w:ind w:left="7785" w:hanging="1800"/>
      </w:pPr>
      <w:rPr>
        <w:rFonts w:hint="default"/>
      </w:rPr>
    </w:lvl>
    <w:lvl w:ilvl="8">
      <w:start w:val="1"/>
      <w:numFmt w:val="decimal"/>
      <w:lvlText w:val="%1.%2.%3.%4.%5.%6.%7.%8.%9"/>
      <w:lvlJc w:val="left"/>
      <w:pPr>
        <w:ind w:left="8640" w:hanging="1800"/>
      </w:pPr>
      <w:rPr>
        <w:rFonts w:hint="default"/>
      </w:rPr>
    </w:lvl>
  </w:abstractNum>
  <w:abstractNum w:abstractNumId="10" w15:restartNumberingAfterBreak="0">
    <w:nsid w:val="51D06EE1"/>
    <w:multiLevelType w:val="multilevel"/>
    <w:tmpl w:val="1B9A28EE"/>
    <w:lvl w:ilvl="0">
      <w:start w:val="3"/>
      <w:numFmt w:val="decimal"/>
      <w:lvlText w:val="%1"/>
      <w:lvlJc w:val="left"/>
      <w:pPr>
        <w:ind w:left="480" w:hanging="480"/>
      </w:pPr>
      <w:rPr>
        <w:rFonts w:eastAsia="Times New Roman" w:cs="Times New Roman" w:hint="default"/>
        <w:i/>
        <w:sz w:val="24"/>
      </w:rPr>
    </w:lvl>
    <w:lvl w:ilvl="1">
      <w:start w:val="8"/>
      <w:numFmt w:val="decimal"/>
      <w:lvlText w:val="%1.%2"/>
      <w:lvlJc w:val="left"/>
      <w:pPr>
        <w:ind w:left="1155" w:hanging="480"/>
      </w:pPr>
      <w:rPr>
        <w:rFonts w:eastAsia="Times New Roman" w:cs="Times New Roman" w:hint="default"/>
        <w:i/>
        <w:sz w:val="24"/>
      </w:rPr>
    </w:lvl>
    <w:lvl w:ilvl="2">
      <w:start w:val="1"/>
      <w:numFmt w:val="decimal"/>
      <w:lvlText w:val="%1.%2.%3"/>
      <w:lvlJc w:val="left"/>
      <w:pPr>
        <w:ind w:left="2070" w:hanging="720"/>
      </w:pPr>
      <w:rPr>
        <w:rFonts w:eastAsia="Times New Roman" w:cs="Times New Roman" w:hint="default"/>
        <w:i/>
        <w:sz w:val="24"/>
      </w:rPr>
    </w:lvl>
    <w:lvl w:ilvl="3">
      <w:start w:val="1"/>
      <w:numFmt w:val="decimal"/>
      <w:lvlText w:val="%1.%2.%3.%4"/>
      <w:lvlJc w:val="left"/>
      <w:pPr>
        <w:ind w:left="3105" w:hanging="1080"/>
      </w:pPr>
      <w:rPr>
        <w:rFonts w:eastAsia="Times New Roman" w:cs="Times New Roman" w:hint="default"/>
        <w:i/>
        <w:sz w:val="24"/>
      </w:rPr>
    </w:lvl>
    <w:lvl w:ilvl="4">
      <w:start w:val="1"/>
      <w:numFmt w:val="decimal"/>
      <w:lvlText w:val="%1.%2.%3.%4.%5"/>
      <w:lvlJc w:val="left"/>
      <w:pPr>
        <w:ind w:left="3780" w:hanging="1080"/>
      </w:pPr>
      <w:rPr>
        <w:rFonts w:eastAsia="Times New Roman" w:cs="Times New Roman" w:hint="default"/>
        <w:i/>
        <w:sz w:val="24"/>
      </w:rPr>
    </w:lvl>
    <w:lvl w:ilvl="5">
      <w:start w:val="1"/>
      <w:numFmt w:val="decimal"/>
      <w:lvlText w:val="%1.%2.%3.%4.%5.%6"/>
      <w:lvlJc w:val="left"/>
      <w:pPr>
        <w:ind w:left="4815" w:hanging="1440"/>
      </w:pPr>
      <w:rPr>
        <w:rFonts w:eastAsia="Times New Roman" w:cs="Times New Roman" w:hint="default"/>
        <w:i/>
        <w:sz w:val="24"/>
      </w:rPr>
    </w:lvl>
    <w:lvl w:ilvl="6">
      <w:start w:val="1"/>
      <w:numFmt w:val="decimal"/>
      <w:lvlText w:val="%1.%2.%3.%4.%5.%6.%7"/>
      <w:lvlJc w:val="left"/>
      <w:pPr>
        <w:ind w:left="5490" w:hanging="1440"/>
      </w:pPr>
      <w:rPr>
        <w:rFonts w:eastAsia="Times New Roman" w:cs="Times New Roman" w:hint="default"/>
        <w:i/>
        <w:sz w:val="24"/>
      </w:rPr>
    </w:lvl>
    <w:lvl w:ilvl="7">
      <w:start w:val="1"/>
      <w:numFmt w:val="decimal"/>
      <w:lvlText w:val="%1.%2.%3.%4.%5.%6.%7.%8"/>
      <w:lvlJc w:val="left"/>
      <w:pPr>
        <w:ind w:left="6525" w:hanging="1800"/>
      </w:pPr>
      <w:rPr>
        <w:rFonts w:eastAsia="Times New Roman" w:cs="Times New Roman" w:hint="default"/>
        <w:i/>
        <w:sz w:val="24"/>
      </w:rPr>
    </w:lvl>
    <w:lvl w:ilvl="8">
      <w:start w:val="1"/>
      <w:numFmt w:val="decimal"/>
      <w:lvlText w:val="%1.%2.%3.%4.%5.%6.%7.%8.%9"/>
      <w:lvlJc w:val="left"/>
      <w:pPr>
        <w:ind w:left="7560" w:hanging="2160"/>
      </w:pPr>
      <w:rPr>
        <w:rFonts w:eastAsia="Times New Roman" w:cs="Times New Roman" w:hint="default"/>
        <w:i/>
        <w:sz w:val="24"/>
      </w:rPr>
    </w:lvl>
  </w:abstractNum>
  <w:abstractNum w:abstractNumId="11" w15:restartNumberingAfterBreak="0">
    <w:nsid w:val="5A884D6D"/>
    <w:multiLevelType w:val="multilevel"/>
    <w:tmpl w:val="3FE0CF40"/>
    <w:lvl w:ilvl="0">
      <w:start w:val="1"/>
      <w:numFmt w:val="decimal"/>
      <w:lvlText w:val="%1"/>
      <w:lvlJc w:val="left"/>
      <w:pPr>
        <w:ind w:left="600" w:hanging="600"/>
      </w:pPr>
      <w:rPr>
        <w:rFonts w:hint="default"/>
      </w:rPr>
    </w:lvl>
    <w:lvl w:ilvl="1">
      <w:start w:val="6"/>
      <w:numFmt w:val="decimal"/>
      <w:lvlText w:val="%1.%2"/>
      <w:lvlJc w:val="left"/>
      <w:pPr>
        <w:ind w:left="690" w:hanging="600"/>
      </w:pPr>
      <w:rPr>
        <w:rFonts w:hint="default"/>
      </w:rPr>
    </w:lvl>
    <w:lvl w:ilvl="2">
      <w:start w:val="2"/>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12" w15:restartNumberingAfterBreak="0">
    <w:nsid w:val="5F190518"/>
    <w:multiLevelType w:val="multilevel"/>
    <w:tmpl w:val="26C6F4EC"/>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B463D22"/>
    <w:multiLevelType w:val="multilevel"/>
    <w:tmpl w:val="F356C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0A0D0E"/>
    <w:multiLevelType w:val="multilevel"/>
    <w:tmpl w:val="CEE60C1A"/>
    <w:lvl w:ilvl="0">
      <w:start w:val="1"/>
      <w:numFmt w:val="decimal"/>
      <w:lvlText w:val="%1."/>
      <w:lvlJc w:val="left"/>
      <w:pPr>
        <w:ind w:left="1800" w:hanging="360"/>
      </w:pPr>
    </w:lvl>
    <w:lvl w:ilvl="1">
      <w:start w:val="1"/>
      <w:numFmt w:val="decimal"/>
      <w:lvlText w:val="%1.%2."/>
      <w:lvlJc w:val="left"/>
      <w:pPr>
        <w:ind w:left="216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F636A23"/>
    <w:multiLevelType w:val="multilevel"/>
    <w:tmpl w:val="30BE7734"/>
    <w:lvl w:ilvl="0">
      <w:start w:val="3"/>
      <w:numFmt w:val="decimal"/>
      <w:lvlText w:val="%1"/>
      <w:lvlJc w:val="left"/>
      <w:pPr>
        <w:ind w:left="600" w:hanging="600"/>
      </w:pPr>
      <w:rPr>
        <w:rFonts w:hint="default"/>
      </w:rPr>
    </w:lvl>
    <w:lvl w:ilvl="1">
      <w:start w:val="6"/>
      <w:numFmt w:val="decimal"/>
      <w:lvlText w:val="%1.%2"/>
      <w:lvlJc w:val="left"/>
      <w:pPr>
        <w:ind w:left="960" w:hanging="60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75BC7B12"/>
    <w:multiLevelType w:val="multilevel"/>
    <w:tmpl w:val="7E92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63462"/>
    <w:multiLevelType w:val="multilevel"/>
    <w:tmpl w:val="B11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625801">
    <w:abstractNumId w:val="3"/>
  </w:num>
  <w:num w:numId="2" w16cid:durableId="527794015">
    <w:abstractNumId w:val="17"/>
  </w:num>
  <w:num w:numId="3" w16cid:durableId="212886580">
    <w:abstractNumId w:val="1"/>
  </w:num>
  <w:num w:numId="4" w16cid:durableId="442503275">
    <w:abstractNumId w:val="6"/>
  </w:num>
  <w:num w:numId="5" w16cid:durableId="1781685045">
    <w:abstractNumId w:val="13"/>
  </w:num>
  <w:num w:numId="6" w16cid:durableId="1082677348">
    <w:abstractNumId w:val="16"/>
  </w:num>
  <w:num w:numId="7" w16cid:durableId="1361974192">
    <w:abstractNumId w:val="12"/>
  </w:num>
  <w:num w:numId="8" w16cid:durableId="986082015">
    <w:abstractNumId w:val="11"/>
  </w:num>
  <w:num w:numId="9" w16cid:durableId="1271204913">
    <w:abstractNumId w:val="14"/>
    <w:lvlOverride w:ilvl="0">
      <w:startOverride w:val="1"/>
    </w:lvlOverride>
  </w:num>
  <w:num w:numId="10" w16cid:durableId="2143031691">
    <w:abstractNumId w:val="5"/>
  </w:num>
  <w:num w:numId="11" w16cid:durableId="1117870920">
    <w:abstractNumId w:val="2"/>
  </w:num>
  <w:num w:numId="12" w16cid:durableId="1273128479">
    <w:abstractNumId w:val="0"/>
  </w:num>
  <w:num w:numId="13" w16cid:durableId="1731420177">
    <w:abstractNumId w:val="6"/>
  </w:num>
  <w:num w:numId="14" w16cid:durableId="502402346">
    <w:abstractNumId w:val="6"/>
  </w:num>
  <w:num w:numId="15" w16cid:durableId="66415687">
    <w:abstractNumId w:val="6"/>
  </w:num>
  <w:num w:numId="16" w16cid:durableId="1985043447">
    <w:abstractNumId w:val="6"/>
  </w:num>
  <w:num w:numId="17" w16cid:durableId="801457211">
    <w:abstractNumId w:val="6"/>
  </w:num>
  <w:num w:numId="18" w16cid:durableId="138810718">
    <w:abstractNumId w:val="6"/>
  </w:num>
  <w:num w:numId="19" w16cid:durableId="1516504246">
    <w:abstractNumId w:val="6"/>
  </w:num>
  <w:num w:numId="20" w16cid:durableId="1653220695">
    <w:abstractNumId w:val="6"/>
  </w:num>
  <w:num w:numId="21" w16cid:durableId="1231159940">
    <w:abstractNumId w:val="6"/>
  </w:num>
  <w:num w:numId="22" w16cid:durableId="1315373571">
    <w:abstractNumId w:val="6"/>
  </w:num>
  <w:num w:numId="23" w16cid:durableId="1667439338">
    <w:abstractNumId w:val="6"/>
  </w:num>
  <w:num w:numId="24" w16cid:durableId="206529530">
    <w:abstractNumId w:val="6"/>
  </w:num>
  <w:num w:numId="25" w16cid:durableId="1782917324">
    <w:abstractNumId w:val="6"/>
  </w:num>
  <w:num w:numId="26" w16cid:durableId="349797196">
    <w:abstractNumId w:val="6"/>
  </w:num>
  <w:num w:numId="27" w16cid:durableId="315884473">
    <w:abstractNumId w:val="6"/>
  </w:num>
  <w:num w:numId="28" w16cid:durableId="544365197">
    <w:abstractNumId w:val="9"/>
  </w:num>
  <w:num w:numId="29" w16cid:durableId="179244888">
    <w:abstractNumId w:val="7"/>
  </w:num>
  <w:num w:numId="30" w16cid:durableId="2098020866">
    <w:abstractNumId w:val="8"/>
  </w:num>
  <w:num w:numId="31" w16cid:durableId="1761877253">
    <w:abstractNumId w:val="4"/>
  </w:num>
  <w:num w:numId="32" w16cid:durableId="256141146">
    <w:abstractNumId w:val="6"/>
  </w:num>
  <w:num w:numId="33" w16cid:durableId="636490996">
    <w:abstractNumId w:val="6"/>
  </w:num>
  <w:num w:numId="34" w16cid:durableId="866260160">
    <w:abstractNumId w:val="15"/>
  </w:num>
  <w:num w:numId="35" w16cid:durableId="1614245780">
    <w:abstractNumId w:val="6"/>
  </w:num>
  <w:num w:numId="36" w16cid:durableId="1979458268">
    <w:abstractNumId w:val="6"/>
  </w:num>
  <w:num w:numId="37" w16cid:durableId="251399124">
    <w:abstractNumId w:val="6"/>
  </w:num>
  <w:num w:numId="38" w16cid:durableId="338429050">
    <w:abstractNumId w:val="6"/>
  </w:num>
  <w:num w:numId="39" w16cid:durableId="1173833652">
    <w:abstractNumId w:val="6"/>
  </w:num>
  <w:num w:numId="40" w16cid:durableId="230433387">
    <w:abstractNumId w:val="6"/>
  </w:num>
  <w:num w:numId="41" w16cid:durableId="1019895191">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FB3"/>
    <w:rsid w:val="00003D5A"/>
    <w:rsid w:val="00005216"/>
    <w:rsid w:val="00011216"/>
    <w:rsid w:val="000135F4"/>
    <w:rsid w:val="00021EA4"/>
    <w:rsid w:val="0002260C"/>
    <w:rsid w:val="000271DD"/>
    <w:rsid w:val="000319E4"/>
    <w:rsid w:val="00035681"/>
    <w:rsid w:val="00040F82"/>
    <w:rsid w:val="00041789"/>
    <w:rsid w:val="00045E86"/>
    <w:rsid w:val="00050076"/>
    <w:rsid w:val="00052140"/>
    <w:rsid w:val="00052BC2"/>
    <w:rsid w:val="00053636"/>
    <w:rsid w:val="000616AC"/>
    <w:rsid w:val="00062867"/>
    <w:rsid w:val="000654C5"/>
    <w:rsid w:val="000707E9"/>
    <w:rsid w:val="00074CCC"/>
    <w:rsid w:val="00075893"/>
    <w:rsid w:val="000766CF"/>
    <w:rsid w:val="00080970"/>
    <w:rsid w:val="000847B8"/>
    <w:rsid w:val="00087FFC"/>
    <w:rsid w:val="00093EFD"/>
    <w:rsid w:val="00094CF8"/>
    <w:rsid w:val="000A0C2B"/>
    <w:rsid w:val="000A24B7"/>
    <w:rsid w:val="000A74D0"/>
    <w:rsid w:val="000B127A"/>
    <w:rsid w:val="000B2462"/>
    <w:rsid w:val="000B2D78"/>
    <w:rsid w:val="000B34CB"/>
    <w:rsid w:val="000B6674"/>
    <w:rsid w:val="000C18BD"/>
    <w:rsid w:val="000C2A87"/>
    <w:rsid w:val="000C33DA"/>
    <w:rsid w:val="000C7892"/>
    <w:rsid w:val="000D406F"/>
    <w:rsid w:val="000E51F6"/>
    <w:rsid w:val="000F0703"/>
    <w:rsid w:val="000F08CD"/>
    <w:rsid w:val="000F2BB2"/>
    <w:rsid w:val="00102D39"/>
    <w:rsid w:val="00121FFE"/>
    <w:rsid w:val="001341B1"/>
    <w:rsid w:val="00134293"/>
    <w:rsid w:val="0013432B"/>
    <w:rsid w:val="0013746E"/>
    <w:rsid w:val="001536D3"/>
    <w:rsid w:val="001565EA"/>
    <w:rsid w:val="00156867"/>
    <w:rsid w:val="00157045"/>
    <w:rsid w:val="001622A8"/>
    <w:rsid w:val="001646E3"/>
    <w:rsid w:val="00167209"/>
    <w:rsid w:val="001777E8"/>
    <w:rsid w:val="00180370"/>
    <w:rsid w:val="00181554"/>
    <w:rsid w:val="00183504"/>
    <w:rsid w:val="00184238"/>
    <w:rsid w:val="00185139"/>
    <w:rsid w:val="001907C9"/>
    <w:rsid w:val="001B6222"/>
    <w:rsid w:val="001B6D8E"/>
    <w:rsid w:val="001C0A17"/>
    <w:rsid w:val="001C7C4B"/>
    <w:rsid w:val="001D0F03"/>
    <w:rsid w:val="001D2DCF"/>
    <w:rsid w:val="001D2F01"/>
    <w:rsid w:val="001D74BE"/>
    <w:rsid w:val="001E5CAE"/>
    <w:rsid w:val="001E7906"/>
    <w:rsid w:val="001F4F23"/>
    <w:rsid w:val="001F59E3"/>
    <w:rsid w:val="001F641A"/>
    <w:rsid w:val="001F796B"/>
    <w:rsid w:val="00200228"/>
    <w:rsid w:val="00201842"/>
    <w:rsid w:val="00207106"/>
    <w:rsid w:val="002174F0"/>
    <w:rsid w:val="00240B92"/>
    <w:rsid w:val="00252EBD"/>
    <w:rsid w:val="00253F3E"/>
    <w:rsid w:val="00264538"/>
    <w:rsid w:val="00267887"/>
    <w:rsid w:val="00277E77"/>
    <w:rsid w:val="00281217"/>
    <w:rsid w:val="002824D0"/>
    <w:rsid w:val="0028451C"/>
    <w:rsid w:val="00284E84"/>
    <w:rsid w:val="00285C25"/>
    <w:rsid w:val="002874FD"/>
    <w:rsid w:val="00291863"/>
    <w:rsid w:val="00294FD3"/>
    <w:rsid w:val="002A7BA5"/>
    <w:rsid w:val="002B0BF2"/>
    <w:rsid w:val="002B2290"/>
    <w:rsid w:val="002C4C8C"/>
    <w:rsid w:val="002D5A95"/>
    <w:rsid w:val="002E01CC"/>
    <w:rsid w:val="002E04F2"/>
    <w:rsid w:val="002E116B"/>
    <w:rsid w:val="002E7E10"/>
    <w:rsid w:val="002F1343"/>
    <w:rsid w:val="002F1831"/>
    <w:rsid w:val="002F6B7D"/>
    <w:rsid w:val="00300B3B"/>
    <w:rsid w:val="0030586F"/>
    <w:rsid w:val="00310E28"/>
    <w:rsid w:val="00314EAA"/>
    <w:rsid w:val="00315776"/>
    <w:rsid w:val="00316FCC"/>
    <w:rsid w:val="0032012A"/>
    <w:rsid w:val="00320E56"/>
    <w:rsid w:val="003218E8"/>
    <w:rsid w:val="00323589"/>
    <w:rsid w:val="00325F6D"/>
    <w:rsid w:val="00326F87"/>
    <w:rsid w:val="00327240"/>
    <w:rsid w:val="00334972"/>
    <w:rsid w:val="00335E69"/>
    <w:rsid w:val="00336D94"/>
    <w:rsid w:val="00336F53"/>
    <w:rsid w:val="00341BAD"/>
    <w:rsid w:val="003440AF"/>
    <w:rsid w:val="00346A42"/>
    <w:rsid w:val="00357DDF"/>
    <w:rsid w:val="0036340D"/>
    <w:rsid w:val="00366B6F"/>
    <w:rsid w:val="00371B7D"/>
    <w:rsid w:val="003732AE"/>
    <w:rsid w:val="00373364"/>
    <w:rsid w:val="00381548"/>
    <w:rsid w:val="00382704"/>
    <w:rsid w:val="00383764"/>
    <w:rsid w:val="003947ED"/>
    <w:rsid w:val="003978F7"/>
    <w:rsid w:val="003A15F4"/>
    <w:rsid w:val="003A206E"/>
    <w:rsid w:val="003A256D"/>
    <w:rsid w:val="003A6094"/>
    <w:rsid w:val="003A6508"/>
    <w:rsid w:val="003A6D92"/>
    <w:rsid w:val="003A73AB"/>
    <w:rsid w:val="003B1EB7"/>
    <w:rsid w:val="003C0093"/>
    <w:rsid w:val="003C66CA"/>
    <w:rsid w:val="003D2469"/>
    <w:rsid w:val="003D4268"/>
    <w:rsid w:val="003D5E84"/>
    <w:rsid w:val="003E1FC3"/>
    <w:rsid w:val="003E48CE"/>
    <w:rsid w:val="003E6091"/>
    <w:rsid w:val="003E6DFD"/>
    <w:rsid w:val="003F1FED"/>
    <w:rsid w:val="003F6BC3"/>
    <w:rsid w:val="0040141A"/>
    <w:rsid w:val="00401F00"/>
    <w:rsid w:val="00404500"/>
    <w:rsid w:val="00404EEC"/>
    <w:rsid w:val="004133FF"/>
    <w:rsid w:val="004177D8"/>
    <w:rsid w:val="00422DBF"/>
    <w:rsid w:val="00424066"/>
    <w:rsid w:val="0043261D"/>
    <w:rsid w:val="00441811"/>
    <w:rsid w:val="00454677"/>
    <w:rsid w:val="00461622"/>
    <w:rsid w:val="00463447"/>
    <w:rsid w:val="004637E5"/>
    <w:rsid w:val="004645F9"/>
    <w:rsid w:val="00466325"/>
    <w:rsid w:val="00466D9E"/>
    <w:rsid w:val="004704E6"/>
    <w:rsid w:val="00472FDD"/>
    <w:rsid w:val="00473C34"/>
    <w:rsid w:val="0047722A"/>
    <w:rsid w:val="004800C7"/>
    <w:rsid w:val="00481092"/>
    <w:rsid w:val="004817E3"/>
    <w:rsid w:val="00483C09"/>
    <w:rsid w:val="00484FB3"/>
    <w:rsid w:val="00494383"/>
    <w:rsid w:val="0049639C"/>
    <w:rsid w:val="0049776C"/>
    <w:rsid w:val="004A002D"/>
    <w:rsid w:val="004A1A9C"/>
    <w:rsid w:val="004A20F4"/>
    <w:rsid w:val="004A575C"/>
    <w:rsid w:val="004A5D57"/>
    <w:rsid w:val="004A5D9A"/>
    <w:rsid w:val="004A741B"/>
    <w:rsid w:val="004B4E3B"/>
    <w:rsid w:val="004C1DE6"/>
    <w:rsid w:val="004C69F3"/>
    <w:rsid w:val="004C78CC"/>
    <w:rsid w:val="004C7CB1"/>
    <w:rsid w:val="004D1E34"/>
    <w:rsid w:val="004D63EE"/>
    <w:rsid w:val="004F2578"/>
    <w:rsid w:val="004F6554"/>
    <w:rsid w:val="00503BEB"/>
    <w:rsid w:val="00532E36"/>
    <w:rsid w:val="00537B81"/>
    <w:rsid w:val="005407FD"/>
    <w:rsid w:val="00541E2F"/>
    <w:rsid w:val="00544AC6"/>
    <w:rsid w:val="00557441"/>
    <w:rsid w:val="00560071"/>
    <w:rsid w:val="00561A64"/>
    <w:rsid w:val="005629A4"/>
    <w:rsid w:val="0057571D"/>
    <w:rsid w:val="00576CD1"/>
    <w:rsid w:val="005771C9"/>
    <w:rsid w:val="005771D1"/>
    <w:rsid w:val="00585DFB"/>
    <w:rsid w:val="00591404"/>
    <w:rsid w:val="005942A8"/>
    <w:rsid w:val="00594B1D"/>
    <w:rsid w:val="005967BE"/>
    <w:rsid w:val="005A2442"/>
    <w:rsid w:val="005A69E7"/>
    <w:rsid w:val="005B1DCA"/>
    <w:rsid w:val="005B733B"/>
    <w:rsid w:val="005D3B36"/>
    <w:rsid w:val="005D614D"/>
    <w:rsid w:val="005E2148"/>
    <w:rsid w:val="005E33F8"/>
    <w:rsid w:val="005F2802"/>
    <w:rsid w:val="005F2C81"/>
    <w:rsid w:val="005F7DBD"/>
    <w:rsid w:val="0060577D"/>
    <w:rsid w:val="00611081"/>
    <w:rsid w:val="00612E32"/>
    <w:rsid w:val="00613613"/>
    <w:rsid w:val="00615898"/>
    <w:rsid w:val="00631F35"/>
    <w:rsid w:val="00634A2E"/>
    <w:rsid w:val="006373DD"/>
    <w:rsid w:val="00640A22"/>
    <w:rsid w:val="006430B3"/>
    <w:rsid w:val="00646675"/>
    <w:rsid w:val="00650D93"/>
    <w:rsid w:val="00653218"/>
    <w:rsid w:val="00654A3E"/>
    <w:rsid w:val="006550C6"/>
    <w:rsid w:val="006558A6"/>
    <w:rsid w:val="00670F5E"/>
    <w:rsid w:val="00673D16"/>
    <w:rsid w:val="006827D1"/>
    <w:rsid w:val="006855CB"/>
    <w:rsid w:val="00692F48"/>
    <w:rsid w:val="006A7B16"/>
    <w:rsid w:val="006B1B5F"/>
    <w:rsid w:val="006B2258"/>
    <w:rsid w:val="006B3655"/>
    <w:rsid w:val="006B7517"/>
    <w:rsid w:val="006C5346"/>
    <w:rsid w:val="006C6E97"/>
    <w:rsid w:val="006D04AC"/>
    <w:rsid w:val="006D2FD9"/>
    <w:rsid w:val="006D6E47"/>
    <w:rsid w:val="006E0E60"/>
    <w:rsid w:val="006E4189"/>
    <w:rsid w:val="006E530F"/>
    <w:rsid w:val="006F5CCE"/>
    <w:rsid w:val="00701CBA"/>
    <w:rsid w:val="007023C3"/>
    <w:rsid w:val="0070385F"/>
    <w:rsid w:val="00707209"/>
    <w:rsid w:val="0072214E"/>
    <w:rsid w:val="00723CD3"/>
    <w:rsid w:val="0072665C"/>
    <w:rsid w:val="007306BE"/>
    <w:rsid w:val="00731E07"/>
    <w:rsid w:val="0073647B"/>
    <w:rsid w:val="007373E3"/>
    <w:rsid w:val="00740682"/>
    <w:rsid w:val="00740EDC"/>
    <w:rsid w:val="007415FE"/>
    <w:rsid w:val="00750066"/>
    <w:rsid w:val="007513C1"/>
    <w:rsid w:val="007550A7"/>
    <w:rsid w:val="00760D83"/>
    <w:rsid w:val="00761A7B"/>
    <w:rsid w:val="00762A6C"/>
    <w:rsid w:val="00763251"/>
    <w:rsid w:val="00764AD6"/>
    <w:rsid w:val="007660B5"/>
    <w:rsid w:val="007702E4"/>
    <w:rsid w:val="007716AD"/>
    <w:rsid w:val="00775FD9"/>
    <w:rsid w:val="0078001A"/>
    <w:rsid w:val="007816E1"/>
    <w:rsid w:val="00790989"/>
    <w:rsid w:val="0079185B"/>
    <w:rsid w:val="00797CD9"/>
    <w:rsid w:val="007A27B4"/>
    <w:rsid w:val="007B0F23"/>
    <w:rsid w:val="007B44F4"/>
    <w:rsid w:val="007C079C"/>
    <w:rsid w:val="007D21AE"/>
    <w:rsid w:val="007D2323"/>
    <w:rsid w:val="007D2464"/>
    <w:rsid w:val="007D40B1"/>
    <w:rsid w:val="007E02E0"/>
    <w:rsid w:val="007E0D46"/>
    <w:rsid w:val="007E1537"/>
    <w:rsid w:val="007E399C"/>
    <w:rsid w:val="007F1DD1"/>
    <w:rsid w:val="007F1E3C"/>
    <w:rsid w:val="00800EC3"/>
    <w:rsid w:val="008010B6"/>
    <w:rsid w:val="008026BD"/>
    <w:rsid w:val="008064FA"/>
    <w:rsid w:val="00806D7E"/>
    <w:rsid w:val="008104AE"/>
    <w:rsid w:val="008108EB"/>
    <w:rsid w:val="00812721"/>
    <w:rsid w:val="008215F4"/>
    <w:rsid w:val="00826B08"/>
    <w:rsid w:val="00827202"/>
    <w:rsid w:val="0083050B"/>
    <w:rsid w:val="00832859"/>
    <w:rsid w:val="00832E39"/>
    <w:rsid w:val="0084282D"/>
    <w:rsid w:val="0084610C"/>
    <w:rsid w:val="00846648"/>
    <w:rsid w:val="0085116A"/>
    <w:rsid w:val="0085227C"/>
    <w:rsid w:val="00853E25"/>
    <w:rsid w:val="008560E1"/>
    <w:rsid w:val="00857326"/>
    <w:rsid w:val="008614BE"/>
    <w:rsid w:val="00867823"/>
    <w:rsid w:val="00876A81"/>
    <w:rsid w:val="00877C95"/>
    <w:rsid w:val="00882279"/>
    <w:rsid w:val="008841C6"/>
    <w:rsid w:val="00891BDD"/>
    <w:rsid w:val="00895A40"/>
    <w:rsid w:val="00896289"/>
    <w:rsid w:val="008A55C8"/>
    <w:rsid w:val="008B0B83"/>
    <w:rsid w:val="008B19C4"/>
    <w:rsid w:val="008B3900"/>
    <w:rsid w:val="008B7283"/>
    <w:rsid w:val="008B75AF"/>
    <w:rsid w:val="008C1B34"/>
    <w:rsid w:val="008C381F"/>
    <w:rsid w:val="008C47E3"/>
    <w:rsid w:val="008D17A8"/>
    <w:rsid w:val="008D552C"/>
    <w:rsid w:val="008D619B"/>
    <w:rsid w:val="008D7E54"/>
    <w:rsid w:val="008E2DF6"/>
    <w:rsid w:val="008E7197"/>
    <w:rsid w:val="008F2A0E"/>
    <w:rsid w:val="008F50FB"/>
    <w:rsid w:val="009012FA"/>
    <w:rsid w:val="0090345A"/>
    <w:rsid w:val="00913198"/>
    <w:rsid w:val="009153CB"/>
    <w:rsid w:val="00922577"/>
    <w:rsid w:val="00926CB9"/>
    <w:rsid w:val="00927C0C"/>
    <w:rsid w:val="00934230"/>
    <w:rsid w:val="00942B17"/>
    <w:rsid w:val="009563C0"/>
    <w:rsid w:val="009638C4"/>
    <w:rsid w:val="00966666"/>
    <w:rsid w:val="009672F4"/>
    <w:rsid w:val="00967909"/>
    <w:rsid w:val="00972FC9"/>
    <w:rsid w:val="00982B63"/>
    <w:rsid w:val="00983990"/>
    <w:rsid w:val="009850D1"/>
    <w:rsid w:val="00985EA4"/>
    <w:rsid w:val="0098695F"/>
    <w:rsid w:val="00986C56"/>
    <w:rsid w:val="00991571"/>
    <w:rsid w:val="00991F22"/>
    <w:rsid w:val="00996703"/>
    <w:rsid w:val="009A1453"/>
    <w:rsid w:val="009A164C"/>
    <w:rsid w:val="009A1A52"/>
    <w:rsid w:val="009A731C"/>
    <w:rsid w:val="009B0EFA"/>
    <w:rsid w:val="009B166D"/>
    <w:rsid w:val="009B2D41"/>
    <w:rsid w:val="009B4E66"/>
    <w:rsid w:val="009B5DE5"/>
    <w:rsid w:val="009C57B2"/>
    <w:rsid w:val="009C5A16"/>
    <w:rsid w:val="009D0CC6"/>
    <w:rsid w:val="009D3F46"/>
    <w:rsid w:val="009D45E9"/>
    <w:rsid w:val="009E217E"/>
    <w:rsid w:val="009E5E0A"/>
    <w:rsid w:val="009E7BFD"/>
    <w:rsid w:val="009F2580"/>
    <w:rsid w:val="009F608F"/>
    <w:rsid w:val="009F789A"/>
    <w:rsid w:val="00A14279"/>
    <w:rsid w:val="00A203F5"/>
    <w:rsid w:val="00A2596D"/>
    <w:rsid w:val="00A25DEE"/>
    <w:rsid w:val="00A27310"/>
    <w:rsid w:val="00A27C64"/>
    <w:rsid w:val="00A31D73"/>
    <w:rsid w:val="00A40CE1"/>
    <w:rsid w:val="00A42FB4"/>
    <w:rsid w:val="00A43BAB"/>
    <w:rsid w:val="00A52ABD"/>
    <w:rsid w:val="00A541FB"/>
    <w:rsid w:val="00A61064"/>
    <w:rsid w:val="00A63F5D"/>
    <w:rsid w:val="00A6430D"/>
    <w:rsid w:val="00A71871"/>
    <w:rsid w:val="00A743F0"/>
    <w:rsid w:val="00A87B98"/>
    <w:rsid w:val="00A90E91"/>
    <w:rsid w:val="00A96B46"/>
    <w:rsid w:val="00A97787"/>
    <w:rsid w:val="00AA2008"/>
    <w:rsid w:val="00AB0164"/>
    <w:rsid w:val="00AB38EB"/>
    <w:rsid w:val="00AB7CED"/>
    <w:rsid w:val="00AC1B19"/>
    <w:rsid w:val="00AC7A44"/>
    <w:rsid w:val="00AD127A"/>
    <w:rsid w:val="00AE2036"/>
    <w:rsid w:val="00AF0CB6"/>
    <w:rsid w:val="00AF477C"/>
    <w:rsid w:val="00AF5681"/>
    <w:rsid w:val="00AF648A"/>
    <w:rsid w:val="00AF6FE0"/>
    <w:rsid w:val="00B0019E"/>
    <w:rsid w:val="00B00716"/>
    <w:rsid w:val="00B02F0D"/>
    <w:rsid w:val="00B05CCC"/>
    <w:rsid w:val="00B07038"/>
    <w:rsid w:val="00B1189D"/>
    <w:rsid w:val="00B14884"/>
    <w:rsid w:val="00B230A1"/>
    <w:rsid w:val="00B23794"/>
    <w:rsid w:val="00B25B4D"/>
    <w:rsid w:val="00B34056"/>
    <w:rsid w:val="00B3760A"/>
    <w:rsid w:val="00B409C3"/>
    <w:rsid w:val="00B42D19"/>
    <w:rsid w:val="00B43AD9"/>
    <w:rsid w:val="00B44613"/>
    <w:rsid w:val="00B44FAF"/>
    <w:rsid w:val="00B478F7"/>
    <w:rsid w:val="00B509C3"/>
    <w:rsid w:val="00B56589"/>
    <w:rsid w:val="00B57117"/>
    <w:rsid w:val="00B662A6"/>
    <w:rsid w:val="00B776F2"/>
    <w:rsid w:val="00B8175D"/>
    <w:rsid w:val="00B82A90"/>
    <w:rsid w:val="00B84842"/>
    <w:rsid w:val="00B84D75"/>
    <w:rsid w:val="00B855C6"/>
    <w:rsid w:val="00B90CAC"/>
    <w:rsid w:val="00B9655C"/>
    <w:rsid w:val="00BA2401"/>
    <w:rsid w:val="00BA5066"/>
    <w:rsid w:val="00BA6B17"/>
    <w:rsid w:val="00BA768C"/>
    <w:rsid w:val="00BB4848"/>
    <w:rsid w:val="00BB4EB9"/>
    <w:rsid w:val="00BC0FE2"/>
    <w:rsid w:val="00BD7596"/>
    <w:rsid w:val="00BE2847"/>
    <w:rsid w:val="00BE3106"/>
    <w:rsid w:val="00BE37AD"/>
    <w:rsid w:val="00BF0E23"/>
    <w:rsid w:val="00BF2E57"/>
    <w:rsid w:val="00BF523D"/>
    <w:rsid w:val="00C05962"/>
    <w:rsid w:val="00C07366"/>
    <w:rsid w:val="00C167CB"/>
    <w:rsid w:val="00C16C5F"/>
    <w:rsid w:val="00C208B7"/>
    <w:rsid w:val="00C2502F"/>
    <w:rsid w:val="00C27852"/>
    <w:rsid w:val="00C3181F"/>
    <w:rsid w:val="00C346B2"/>
    <w:rsid w:val="00C3525B"/>
    <w:rsid w:val="00C37BB1"/>
    <w:rsid w:val="00C4027B"/>
    <w:rsid w:val="00C50B99"/>
    <w:rsid w:val="00C51A1B"/>
    <w:rsid w:val="00C520B4"/>
    <w:rsid w:val="00C54CBB"/>
    <w:rsid w:val="00C609C3"/>
    <w:rsid w:val="00C70A3F"/>
    <w:rsid w:val="00C715BC"/>
    <w:rsid w:val="00C913F7"/>
    <w:rsid w:val="00C92967"/>
    <w:rsid w:val="00CA4395"/>
    <w:rsid w:val="00CA5112"/>
    <w:rsid w:val="00CA6ED9"/>
    <w:rsid w:val="00CB06BC"/>
    <w:rsid w:val="00CB152A"/>
    <w:rsid w:val="00CB5C83"/>
    <w:rsid w:val="00CB6881"/>
    <w:rsid w:val="00CC13CA"/>
    <w:rsid w:val="00CC441D"/>
    <w:rsid w:val="00CD23E5"/>
    <w:rsid w:val="00CD24FF"/>
    <w:rsid w:val="00CE1832"/>
    <w:rsid w:val="00CE2514"/>
    <w:rsid w:val="00CE30DB"/>
    <w:rsid w:val="00CF12FA"/>
    <w:rsid w:val="00CF4825"/>
    <w:rsid w:val="00CF4A3D"/>
    <w:rsid w:val="00CF7E98"/>
    <w:rsid w:val="00D03BD6"/>
    <w:rsid w:val="00D0522C"/>
    <w:rsid w:val="00D05BD1"/>
    <w:rsid w:val="00D07492"/>
    <w:rsid w:val="00D079B2"/>
    <w:rsid w:val="00D13D87"/>
    <w:rsid w:val="00D1685C"/>
    <w:rsid w:val="00D3416B"/>
    <w:rsid w:val="00D37871"/>
    <w:rsid w:val="00D42179"/>
    <w:rsid w:val="00D459A1"/>
    <w:rsid w:val="00D45CEC"/>
    <w:rsid w:val="00D5379A"/>
    <w:rsid w:val="00D56E0F"/>
    <w:rsid w:val="00D57BF5"/>
    <w:rsid w:val="00D60BCC"/>
    <w:rsid w:val="00D6216E"/>
    <w:rsid w:val="00D6427E"/>
    <w:rsid w:val="00D65BE7"/>
    <w:rsid w:val="00D65EF9"/>
    <w:rsid w:val="00D7456C"/>
    <w:rsid w:val="00D77B4D"/>
    <w:rsid w:val="00D80AA2"/>
    <w:rsid w:val="00D82DB2"/>
    <w:rsid w:val="00D8356F"/>
    <w:rsid w:val="00D850EB"/>
    <w:rsid w:val="00D854AE"/>
    <w:rsid w:val="00D8660E"/>
    <w:rsid w:val="00D92E49"/>
    <w:rsid w:val="00D9506A"/>
    <w:rsid w:val="00D970AC"/>
    <w:rsid w:val="00DA1AD9"/>
    <w:rsid w:val="00DA64C3"/>
    <w:rsid w:val="00DB0749"/>
    <w:rsid w:val="00DB44E2"/>
    <w:rsid w:val="00DC0700"/>
    <w:rsid w:val="00DC264A"/>
    <w:rsid w:val="00DC438C"/>
    <w:rsid w:val="00DC6C6E"/>
    <w:rsid w:val="00DD378B"/>
    <w:rsid w:val="00DE126E"/>
    <w:rsid w:val="00DE14C1"/>
    <w:rsid w:val="00DE37D2"/>
    <w:rsid w:val="00DE78FB"/>
    <w:rsid w:val="00DF0BA8"/>
    <w:rsid w:val="00DF4865"/>
    <w:rsid w:val="00E065D2"/>
    <w:rsid w:val="00E11E85"/>
    <w:rsid w:val="00E203D0"/>
    <w:rsid w:val="00E20C47"/>
    <w:rsid w:val="00E215D3"/>
    <w:rsid w:val="00E23540"/>
    <w:rsid w:val="00E237AA"/>
    <w:rsid w:val="00E23A5F"/>
    <w:rsid w:val="00E32803"/>
    <w:rsid w:val="00E363EB"/>
    <w:rsid w:val="00E4252B"/>
    <w:rsid w:val="00E44005"/>
    <w:rsid w:val="00E52C98"/>
    <w:rsid w:val="00E5602A"/>
    <w:rsid w:val="00E565BF"/>
    <w:rsid w:val="00E66F6D"/>
    <w:rsid w:val="00E71292"/>
    <w:rsid w:val="00E748F5"/>
    <w:rsid w:val="00E7707B"/>
    <w:rsid w:val="00E81E12"/>
    <w:rsid w:val="00E937F2"/>
    <w:rsid w:val="00E94470"/>
    <w:rsid w:val="00EA2DB8"/>
    <w:rsid w:val="00EA7215"/>
    <w:rsid w:val="00EB1DAE"/>
    <w:rsid w:val="00EB274E"/>
    <w:rsid w:val="00EB31F5"/>
    <w:rsid w:val="00EC04DE"/>
    <w:rsid w:val="00EC174F"/>
    <w:rsid w:val="00EC3069"/>
    <w:rsid w:val="00EC3320"/>
    <w:rsid w:val="00EC4ABC"/>
    <w:rsid w:val="00EC62EC"/>
    <w:rsid w:val="00EC63D5"/>
    <w:rsid w:val="00ED0C97"/>
    <w:rsid w:val="00ED2008"/>
    <w:rsid w:val="00ED48A0"/>
    <w:rsid w:val="00EE0FCA"/>
    <w:rsid w:val="00EE2A04"/>
    <w:rsid w:val="00EE5423"/>
    <w:rsid w:val="00EF0326"/>
    <w:rsid w:val="00EF4572"/>
    <w:rsid w:val="00F0362A"/>
    <w:rsid w:val="00F065AA"/>
    <w:rsid w:val="00F10DD3"/>
    <w:rsid w:val="00F1194F"/>
    <w:rsid w:val="00F17123"/>
    <w:rsid w:val="00F17E83"/>
    <w:rsid w:val="00F22875"/>
    <w:rsid w:val="00F22D34"/>
    <w:rsid w:val="00F237B8"/>
    <w:rsid w:val="00F23DF3"/>
    <w:rsid w:val="00F36AE2"/>
    <w:rsid w:val="00F51C02"/>
    <w:rsid w:val="00F60A66"/>
    <w:rsid w:val="00F71814"/>
    <w:rsid w:val="00F748CF"/>
    <w:rsid w:val="00F7549A"/>
    <w:rsid w:val="00F8138C"/>
    <w:rsid w:val="00F82AD6"/>
    <w:rsid w:val="00F844EE"/>
    <w:rsid w:val="00F86EAB"/>
    <w:rsid w:val="00F9020A"/>
    <w:rsid w:val="00F941E8"/>
    <w:rsid w:val="00F95E38"/>
    <w:rsid w:val="00F95FF7"/>
    <w:rsid w:val="00FA087A"/>
    <w:rsid w:val="00FA5167"/>
    <w:rsid w:val="00FA57A1"/>
    <w:rsid w:val="00FA59B5"/>
    <w:rsid w:val="00FA5A9A"/>
    <w:rsid w:val="00FA71B2"/>
    <w:rsid w:val="00FB0CD3"/>
    <w:rsid w:val="00FB1479"/>
    <w:rsid w:val="00FB1A4C"/>
    <w:rsid w:val="00FB6086"/>
    <w:rsid w:val="00FC4F94"/>
    <w:rsid w:val="00FD2380"/>
    <w:rsid w:val="00FD5371"/>
    <w:rsid w:val="00FE5203"/>
    <w:rsid w:val="00FF01F5"/>
    <w:rsid w:val="00FF37CD"/>
    <w:rsid w:val="00FF5770"/>
    <w:rsid w:val="00FF649F"/>
    <w:rsid w:val="00FF6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DE328"/>
  <w15:chartTrackingRefBased/>
  <w15:docId w15:val="{CA7A4D38-6A1F-4D2C-98DA-7E767091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C2B"/>
  </w:style>
  <w:style w:type="paragraph" w:styleId="Heading1">
    <w:name w:val="heading 1"/>
    <w:aliases w:val="Level 1"/>
    <w:basedOn w:val="Normal"/>
    <w:next w:val="Normal"/>
    <w:link w:val="Heading1Char"/>
    <w:uiPriority w:val="9"/>
    <w:qFormat/>
    <w:rsid w:val="00B57117"/>
    <w:pPr>
      <w:keepNext/>
      <w:keepLines/>
      <w:spacing w:before="360" w:after="80" w:line="240" w:lineRule="auto"/>
      <w:jc w:val="center"/>
      <w:outlineLvl w:val="0"/>
    </w:pPr>
    <w:rPr>
      <w:rFonts w:asciiTheme="majorHAnsi" w:eastAsiaTheme="majorEastAsia" w:hAnsiTheme="majorHAnsi" w:cstheme="majorBidi"/>
      <w:b/>
      <w:bCs/>
      <w:color w:val="000000" w:themeColor="text1"/>
      <w:sz w:val="36"/>
      <w:szCs w:val="40"/>
    </w:rPr>
  </w:style>
  <w:style w:type="paragraph" w:styleId="Heading2">
    <w:name w:val="heading 2"/>
    <w:basedOn w:val="Normal"/>
    <w:next w:val="Normal"/>
    <w:link w:val="Heading2Char"/>
    <w:uiPriority w:val="9"/>
    <w:unhideWhenUsed/>
    <w:qFormat/>
    <w:rsid w:val="009850D1"/>
    <w:pPr>
      <w:keepNext/>
      <w:keepLines/>
      <w:spacing w:before="160" w:after="80"/>
      <w:outlineLvl w:val="1"/>
    </w:pPr>
    <w:rPr>
      <w:rFonts w:ascii="Times New Roman" w:eastAsiaTheme="majorEastAsia" w:hAnsi="Times New Roman" w:cstheme="majorBidi"/>
      <w:b/>
      <w:bCs/>
      <w:szCs w:val="32"/>
    </w:rPr>
  </w:style>
  <w:style w:type="paragraph" w:styleId="Heading3">
    <w:name w:val="heading 3"/>
    <w:basedOn w:val="ListParagraph"/>
    <w:next w:val="Normal"/>
    <w:link w:val="Heading3Char"/>
    <w:uiPriority w:val="9"/>
    <w:unhideWhenUsed/>
    <w:qFormat/>
    <w:rsid w:val="00996703"/>
    <w:pPr>
      <w:numPr>
        <w:ilvl w:val="2"/>
        <w:numId w:val="4"/>
      </w:numPr>
      <w:outlineLvl w:val="2"/>
    </w:pPr>
    <w:rPr>
      <w:rFonts w:ascii="Times New Roman" w:hAnsi="Times New Roman"/>
      <w:b/>
      <w:bCs/>
      <w:sz w:val="28"/>
    </w:rPr>
  </w:style>
  <w:style w:type="paragraph" w:styleId="Heading4">
    <w:name w:val="heading 4"/>
    <w:basedOn w:val="Normal"/>
    <w:next w:val="Normal"/>
    <w:link w:val="Heading4Char"/>
    <w:uiPriority w:val="9"/>
    <w:semiHidden/>
    <w:unhideWhenUsed/>
    <w:qFormat/>
    <w:rsid w:val="00484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evel 1 Char"/>
    <w:basedOn w:val="DefaultParagraphFont"/>
    <w:link w:val="Heading1"/>
    <w:uiPriority w:val="9"/>
    <w:rsid w:val="00B57117"/>
    <w:rPr>
      <w:rFonts w:asciiTheme="majorHAnsi" w:eastAsiaTheme="majorEastAsia" w:hAnsiTheme="majorHAnsi" w:cstheme="majorBidi"/>
      <w:b/>
      <w:bCs/>
      <w:color w:val="000000" w:themeColor="text1"/>
      <w:sz w:val="36"/>
      <w:szCs w:val="40"/>
    </w:rPr>
  </w:style>
  <w:style w:type="character" w:customStyle="1" w:styleId="Heading2Char">
    <w:name w:val="Heading 2 Char"/>
    <w:basedOn w:val="DefaultParagraphFont"/>
    <w:link w:val="Heading2"/>
    <w:uiPriority w:val="9"/>
    <w:rsid w:val="009850D1"/>
    <w:rPr>
      <w:rFonts w:ascii="Times New Roman" w:eastAsiaTheme="majorEastAsia" w:hAnsi="Times New Roman" w:cstheme="majorBidi"/>
      <w:b/>
      <w:bCs/>
      <w:szCs w:val="32"/>
    </w:rPr>
  </w:style>
  <w:style w:type="character" w:customStyle="1" w:styleId="Heading3Char">
    <w:name w:val="Heading 3 Char"/>
    <w:basedOn w:val="DefaultParagraphFont"/>
    <w:link w:val="Heading3"/>
    <w:uiPriority w:val="9"/>
    <w:rsid w:val="00996703"/>
    <w:rPr>
      <w:rFonts w:ascii="Times New Roman" w:hAnsi="Times New Roman"/>
      <w:b/>
      <w:bCs/>
      <w:sz w:val="28"/>
    </w:rPr>
  </w:style>
  <w:style w:type="character" w:customStyle="1" w:styleId="Heading4Char">
    <w:name w:val="Heading 4 Char"/>
    <w:basedOn w:val="DefaultParagraphFont"/>
    <w:link w:val="Heading4"/>
    <w:uiPriority w:val="9"/>
    <w:semiHidden/>
    <w:rsid w:val="00484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FB3"/>
    <w:rPr>
      <w:rFonts w:eastAsiaTheme="majorEastAsia" w:cstheme="majorBidi"/>
      <w:color w:val="272727" w:themeColor="text1" w:themeTint="D8"/>
    </w:rPr>
  </w:style>
  <w:style w:type="paragraph" w:styleId="Title">
    <w:name w:val="Title"/>
    <w:basedOn w:val="Normal"/>
    <w:next w:val="Normal"/>
    <w:link w:val="TitleChar"/>
    <w:uiPriority w:val="10"/>
    <w:qFormat/>
    <w:rsid w:val="00484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FB3"/>
    <w:pPr>
      <w:spacing w:before="160"/>
      <w:jc w:val="center"/>
    </w:pPr>
    <w:rPr>
      <w:i/>
      <w:iCs/>
      <w:color w:val="404040" w:themeColor="text1" w:themeTint="BF"/>
    </w:rPr>
  </w:style>
  <w:style w:type="character" w:customStyle="1" w:styleId="QuoteChar">
    <w:name w:val="Quote Char"/>
    <w:basedOn w:val="DefaultParagraphFont"/>
    <w:link w:val="Quote"/>
    <w:uiPriority w:val="29"/>
    <w:rsid w:val="00484FB3"/>
    <w:rPr>
      <w:i/>
      <w:iCs/>
      <w:color w:val="404040" w:themeColor="text1" w:themeTint="BF"/>
    </w:rPr>
  </w:style>
  <w:style w:type="paragraph" w:styleId="ListParagraph">
    <w:name w:val="List Paragraph"/>
    <w:basedOn w:val="Normal"/>
    <w:qFormat/>
    <w:rsid w:val="00484FB3"/>
    <w:pPr>
      <w:ind w:left="720"/>
      <w:contextualSpacing/>
    </w:pPr>
  </w:style>
  <w:style w:type="character" w:styleId="IntenseEmphasis">
    <w:name w:val="Intense Emphasis"/>
    <w:basedOn w:val="DefaultParagraphFont"/>
    <w:uiPriority w:val="21"/>
    <w:qFormat/>
    <w:rsid w:val="00484FB3"/>
    <w:rPr>
      <w:i/>
      <w:iCs/>
      <w:color w:val="0F4761" w:themeColor="accent1" w:themeShade="BF"/>
    </w:rPr>
  </w:style>
  <w:style w:type="paragraph" w:styleId="IntenseQuote">
    <w:name w:val="Intense Quote"/>
    <w:basedOn w:val="Normal"/>
    <w:next w:val="Normal"/>
    <w:link w:val="IntenseQuoteChar"/>
    <w:uiPriority w:val="30"/>
    <w:qFormat/>
    <w:rsid w:val="00484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FB3"/>
    <w:rPr>
      <w:i/>
      <w:iCs/>
      <w:color w:val="0F4761" w:themeColor="accent1" w:themeShade="BF"/>
    </w:rPr>
  </w:style>
  <w:style w:type="character" w:styleId="IntenseReference">
    <w:name w:val="Intense Reference"/>
    <w:basedOn w:val="DefaultParagraphFont"/>
    <w:uiPriority w:val="32"/>
    <w:qFormat/>
    <w:rsid w:val="00484FB3"/>
    <w:rPr>
      <w:b/>
      <w:bCs/>
      <w:smallCaps/>
      <w:color w:val="0F4761" w:themeColor="accent1" w:themeShade="BF"/>
      <w:spacing w:val="5"/>
    </w:rPr>
  </w:style>
  <w:style w:type="character" w:styleId="Hyperlink">
    <w:name w:val="Hyperlink"/>
    <w:basedOn w:val="DefaultParagraphFont"/>
    <w:uiPriority w:val="99"/>
    <w:unhideWhenUsed/>
    <w:rsid w:val="00EB274E"/>
    <w:rPr>
      <w:color w:val="467886" w:themeColor="hyperlink"/>
      <w:u w:val="single"/>
    </w:rPr>
  </w:style>
  <w:style w:type="character" w:styleId="UnresolvedMention">
    <w:name w:val="Unresolved Mention"/>
    <w:basedOn w:val="DefaultParagraphFont"/>
    <w:uiPriority w:val="99"/>
    <w:semiHidden/>
    <w:unhideWhenUsed/>
    <w:rsid w:val="00EB274E"/>
    <w:rPr>
      <w:color w:val="605E5C"/>
      <w:shd w:val="clear" w:color="auto" w:fill="E1DFDD"/>
    </w:rPr>
  </w:style>
  <w:style w:type="paragraph" w:styleId="TOCHeading">
    <w:name w:val="TOC Heading"/>
    <w:basedOn w:val="Heading1"/>
    <w:next w:val="Normal"/>
    <w:uiPriority w:val="39"/>
    <w:unhideWhenUsed/>
    <w:qFormat/>
    <w:rsid w:val="000A0C2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57117"/>
    <w:pPr>
      <w:spacing w:after="100"/>
    </w:pPr>
  </w:style>
  <w:style w:type="paragraph" w:styleId="TOC2">
    <w:name w:val="toc 2"/>
    <w:basedOn w:val="Normal"/>
    <w:next w:val="Normal"/>
    <w:autoRedefine/>
    <w:uiPriority w:val="39"/>
    <w:unhideWhenUsed/>
    <w:rsid w:val="00E23540"/>
    <w:pPr>
      <w:tabs>
        <w:tab w:val="left" w:pos="630"/>
        <w:tab w:val="right" w:leader="dot" w:pos="9350"/>
      </w:tabs>
      <w:spacing w:after="100"/>
      <w:ind w:left="240"/>
    </w:pPr>
  </w:style>
  <w:style w:type="paragraph" w:styleId="TOC3">
    <w:name w:val="toc 3"/>
    <w:basedOn w:val="Normal"/>
    <w:next w:val="Normal"/>
    <w:autoRedefine/>
    <w:uiPriority w:val="39"/>
    <w:unhideWhenUsed/>
    <w:rsid w:val="001565EA"/>
    <w:pPr>
      <w:spacing w:after="100"/>
      <w:ind w:left="480"/>
    </w:pPr>
  </w:style>
  <w:style w:type="paragraph" w:styleId="NormalWeb">
    <w:name w:val="Normal (Web)"/>
    <w:basedOn w:val="Normal"/>
    <w:uiPriority w:val="99"/>
    <w:unhideWhenUsed/>
    <w:rsid w:val="00180370"/>
    <w:rPr>
      <w:rFonts w:ascii="Times New Roman" w:hAnsi="Times New Roman" w:cs="Times New Roman"/>
    </w:rPr>
  </w:style>
  <w:style w:type="paragraph" w:styleId="BodyText">
    <w:name w:val="Body Text"/>
    <w:basedOn w:val="Normal"/>
    <w:link w:val="BodyTextChar"/>
    <w:uiPriority w:val="1"/>
    <w:qFormat/>
    <w:rsid w:val="00F17123"/>
    <w:pPr>
      <w:widowControl w:val="0"/>
      <w:spacing w:after="0" w:line="240" w:lineRule="auto"/>
      <w:ind w:left="113"/>
    </w:pPr>
    <w:rPr>
      <w:rFonts w:ascii="Times New Roman" w:eastAsia="Times New Roman" w:hAnsi="Times New Roman"/>
      <w:kern w:val="0"/>
      <w:sz w:val="18"/>
      <w:szCs w:val="18"/>
      <w14:ligatures w14:val="none"/>
    </w:rPr>
  </w:style>
  <w:style w:type="character" w:customStyle="1" w:styleId="BodyTextChar">
    <w:name w:val="Body Text Char"/>
    <w:basedOn w:val="DefaultParagraphFont"/>
    <w:link w:val="BodyText"/>
    <w:uiPriority w:val="1"/>
    <w:rsid w:val="00F17123"/>
    <w:rPr>
      <w:rFonts w:ascii="Times New Roman" w:eastAsia="Times New Roman" w:hAnsi="Times New Roman"/>
      <w:kern w:val="0"/>
      <w:sz w:val="18"/>
      <w:szCs w:val="18"/>
      <w14:ligatures w14:val="none"/>
    </w:rPr>
  </w:style>
  <w:style w:type="character" w:styleId="CommentReference">
    <w:name w:val="annotation reference"/>
    <w:basedOn w:val="DefaultParagraphFont"/>
    <w:uiPriority w:val="99"/>
    <w:semiHidden/>
    <w:unhideWhenUsed/>
    <w:rsid w:val="00157045"/>
    <w:rPr>
      <w:sz w:val="16"/>
      <w:szCs w:val="16"/>
    </w:rPr>
  </w:style>
  <w:style w:type="paragraph" w:styleId="CommentText">
    <w:name w:val="annotation text"/>
    <w:basedOn w:val="Normal"/>
    <w:link w:val="CommentTextChar"/>
    <w:uiPriority w:val="99"/>
    <w:unhideWhenUsed/>
    <w:rsid w:val="00157045"/>
    <w:pPr>
      <w:spacing w:line="240" w:lineRule="auto"/>
    </w:pPr>
    <w:rPr>
      <w:sz w:val="20"/>
      <w:szCs w:val="20"/>
    </w:rPr>
  </w:style>
  <w:style w:type="character" w:customStyle="1" w:styleId="CommentTextChar">
    <w:name w:val="Comment Text Char"/>
    <w:basedOn w:val="DefaultParagraphFont"/>
    <w:link w:val="CommentText"/>
    <w:uiPriority w:val="99"/>
    <w:rsid w:val="00157045"/>
    <w:rPr>
      <w:sz w:val="20"/>
      <w:szCs w:val="20"/>
    </w:rPr>
  </w:style>
  <w:style w:type="paragraph" w:styleId="CommentSubject">
    <w:name w:val="annotation subject"/>
    <w:basedOn w:val="CommentText"/>
    <w:next w:val="CommentText"/>
    <w:link w:val="CommentSubjectChar"/>
    <w:uiPriority w:val="99"/>
    <w:semiHidden/>
    <w:unhideWhenUsed/>
    <w:rsid w:val="00157045"/>
    <w:rPr>
      <w:b/>
      <w:bCs/>
    </w:rPr>
  </w:style>
  <w:style w:type="character" w:customStyle="1" w:styleId="CommentSubjectChar">
    <w:name w:val="Comment Subject Char"/>
    <w:basedOn w:val="CommentTextChar"/>
    <w:link w:val="CommentSubject"/>
    <w:uiPriority w:val="99"/>
    <w:semiHidden/>
    <w:rsid w:val="00157045"/>
    <w:rPr>
      <w:b/>
      <w:bCs/>
      <w:sz w:val="20"/>
      <w:szCs w:val="20"/>
    </w:rPr>
  </w:style>
  <w:style w:type="character" w:styleId="FollowedHyperlink">
    <w:name w:val="FollowedHyperlink"/>
    <w:basedOn w:val="DefaultParagraphFont"/>
    <w:uiPriority w:val="99"/>
    <w:semiHidden/>
    <w:unhideWhenUsed/>
    <w:rsid w:val="00B509C3"/>
    <w:rPr>
      <w:color w:val="96607D" w:themeColor="followedHyperlink"/>
      <w:u w:val="single"/>
    </w:rPr>
  </w:style>
  <w:style w:type="character" w:customStyle="1" w:styleId="citation-8">
    <w:name w:val="citation-8"/>
    <w:basedOn w:val="DefaultParagraphFont"/>
    <w:rsid w:val="00050076"/>
  </w:style>
  <w:style w:type="character" w:customStyle="1" w:styleId="citation-7">
    <w:name w:val="citation-7"/>
    <w:basedOn w:val="DefaultParagraphFont"/>
    <w:rsid w:val="00050076"/>
  </w:style>
  <w:style w:type="character" w:customStyle="1" w:styleId="citation-5">
    <w:name w:val="citation-5"/>
    <w:basedOn w:val="DefaultParagraphFont"/>
    <w:rsid w:val="00050076"/>
  </w:style>
  <w:style w:type="character" w:customStyle="1" w:styleId="citation-30">
    <w:name w:val="citation-30"/>
    <w:basedOn w:val="DefaultParagraphFont"/>
    <w:rsid w:val="00E937F2"/>
  </w:style>
  <w:style w:type="character" w:customStyle="1" w:styleId="citation-29">
    <w:name w:val="citation-29"/>
    <w:basedOn w:val="DefaultParagraphFont"/>
    <w:rsid w:val="00E937F2"/>
  </w:style>
  <w:style w:type="paragraph" w:customStyle="1" w:styleId="trail-item">
    <w:name w:val="trail-item"/>
    <w:basedOn w:val="Normal"/>
    <w:rsid w:val="00E937F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25D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DEE"/>
  </w:style>
  <w:style w:type="paragraph" w:styleId="Footer">
    <w:name w:val="footer"/>
    <w:basedOn w:val="Normal"/>
    <w:link w:val="FooterChar"/>
    <w:uiPriority w:val="99"/>
    <w:unhideWhenUsed/>
    <w:rsid w:val="00A25D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5DEE"/>
  </w:style>
  <w:style w:type="paragraph" w:styleId="Revision">
    <w:name w:val="Revision"/>
    <w:hidden/>
    <w:uiPriority w:val="99"/>
    <w:semiHidden/>
    <w:rsid w:val="001672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09/MSP.2014.84" TargetMode="External"/><Relationship Id="rId21" Type="http://schemas.openxmlformats.org/officeDocument/2006/relationships/hyperlink" Target="https://medium.com/@cloudifyops" TargetMode="External"/><Relationship Id="rId42" Type="http://schemas.openxmlformats.org/officeDocument/2006/relationships/hyperlink" Target="https://www.cbc.ca/news/canada/montreal/desjardins-data-breach-lawsuit-settlement-1.6288428" TargetMode="External"/><Relationship Id="rId63" Type="http://schemas.openxmlformats.org/officeDocument/2006/relationships/hyperlink" Target="https://www.ftc.gov/business-guidance/privacy-security/gramm-leach-bliley-act" TargetMode="External"/><Relationship Id="rId84" Type="http://schemas.openxmlformats.org/officeDocument/2006/relationships/hyperlink" Target="https://doi.org/10.6028/NIST.SP.800-122" TargetMode="External"/><Relationship Id="rId16" Type="http://schemas.openxmlformats.org/officeDocument/2006/relationships/image" Target="media/image2.png"/><Relationship Id="rId107" Type="http://schemas.openxmlformats.org/officeDocument/2006/relationships/hyperlink" Target="https://doi.org/10.1145/3005714" TargetMode="External"/><Relationship Id="rId11" Type="http://schemas.openxmlformats.org/officeDocument/2006/relationships/footer" Target="footer1.xml"/><Relationship Id="rId32" Type="http://schemas.openxmlformats.org/officeDocument/2006/relationships/hyperlink" Target="https://www.researchgate.net/publication/396836137_A_Comprehensive_Survey_of_Insider_Threat_Landscape_and_Detection_Indicators" TargetMode="External"/><Relationship Id="rId37" Type="http://schemas.openxmlformats.org/officeDocument/2006/relationships/hyperlink" Target="https://panorays.com/blog/transunion-data-breach/" TargetMode="External"/><Relationship Id="rId53" Type="http://schemas.openxmlformats.org/officeDocument/2006/relationships/hyperlink" Target="https://cloudsecurityalliance.org/blog/2023/09/27/putting-zero-trust-architecture-into-financial-institutions" TargetMode="External"/><Relationship Id="rId58" Type="http://schemas.openxmlformats.org/officeDocument/2006/relationships/hyperlink" Target="https://www.elastic.co/docs/reference/ecs/ecs-using-ecs" TargetMode="External"/><Relationship Id="rId74" Type="http://schemas.openxmlformats.org/officeDocument/2006/relationships/hyperlink" Target="https://medium.com/@instatunnel/security-misconfiguration-the-90-problem-that-never-goes-away-087643f01a41" TargetMode="External"/><Relationship Id="rId79" Type="http://schemas.openxmlformats.org/officeDocument/2006/relationships/hyperlink" Target="https://apnews.com/article/north-korea-cyber-nuclear-russia-un-sanctions-28b6681541a62d809c52e0f2625febc9" TargetMode="External"/><Relationship Id="rId102" Type="http://schemas.openxmlformats.org/officeDocument/2006/relationships/hyperlink" Target="https://www.researchgate.net/publication/394123580_Human-AI_Collaborative_Security_Operations_Optimizing_SOC_Analyst_Cognitive_Load_Through_Augmented_Intelligence_Frameworks" TargetMode="External"/><Relationship Id="rId123" Type="http://schemas.openxmlformats.org/officeDocument/2006/relationships/hyperlink" Target="https://www.gao.gov/products/gao-18-559" TargetMode="External"/><Relationship Id="rId128" Type="http://schemas.openxmlformats.org/officeDocument/2006/relationships/hyperlink" Target="https://yusufonsecurity.com/2022/11/07/network-detection-and-response-ndr/" TargetMode="External"/><Relationship Id="rId5" Type="http://schemas.openxmlformats.org/officeDocument/2006/relationships/numbering" Target="numbering.xml"/><Relationship Id="rId90" Type="http://schemas.openxmlformats.org/officeDocument/2006/relationships/hyperlink" Target="https://www.microsoft.com/en-us/security/business/security-101/what-is-a-security-operations-center-soc" TargetMode="External"/><Relationship Id="rId95" Type="http://schemas.openxmlformats.org/officeDocument/2006/relationships/hyperlink" Target="https://medium.com/infosecmatrix/user-and-entity-behavior-analytics-ueba-enhancing-cybersecurity-through-advanced-insights-70c0ccd03f35" TargetMode="External"/><Relationship Id="rId22" Type="http://schemas.openxmlformats.org/officeDocument/2006/relationships/hyperlink" Target="https://www.deepwatch.com/glossary/security-telemetry/" TargetMode="External"/><Relationship Id="rId27" Type="http://schemas.openxmlformats.org/officeDocument/2006/relationships/image" Target="media/image11.png"/><Relationship Id="rId43" Type="http://schemas.openxmlformats.org/officeDocument/2006/relationships/hyperlink" Target="https://www.fool.com/money/research/identity-theft-credit-card-fraud-statistics/" TargetMode="External"/><Relationship Id="rId48" Type="http://schemas.openxmlformats.org/officeDocument/2006/relationships/hyperlink" Target="https://www.cve.org/CVERecord?id=CVE-2017-5638" TargetMode="External"/><Relationship Id="rId64" Type="http://schemas.openxmlformats.org/officeDocument/2006/relationships/hyperlink" Target="https://fdzdev.medium.com/top-10-ways-to-achieve-remote-code-execution-rce-on-web-applications-d923246b916b" TargetMode="External"/><Relationship Id="rId69" Type="http://schemas.openxmlformats.org/officeDocument/2006/relationships/hyperlink" Target="https://doi.org/10.2307/25148625" TargetMode="External"/><Relationship Id="rId113" Type="http://schemas.openxmlformats.org/officeDocument/2006/relationships/hyperlink" Target="https://www.packetlabs.net/posts/what-is-attack-dwell-time/" TargetMode="External"/><Relationship Id="rId118" Type="http://schemas.openxmlformats.org/officeDocument/2006/relationships/hyperlink" Target="https://journalcjast.com/index.php/CJAST/article/view/4387" TargetMode="External"/><Relationship Id="rId80" Type="http://schemas.openxmlformats.org/officeDocument/2006/relationships/hyperlink" Target="https://www.researchgate.net/publication/386573360_Cloud_Migration_and_Security_A_Comprehensive_Analysis" TargetMode="External"/><Relationship Id="rId85" Type="http://schemas.openxmlformats.org/officeDocument/2006/relationships/hyperlink" Target="https://www.trellix.com/security-awareness/operations/what-is-soc/" TargetMode="External"/><Relationship Id="rId12" Type="http://schemas.openxmlformats.org/officeDocument/2006/relationships/footer" Target="footer2.xml"/><Relationship Id="rId17" Type="http://schemas.openxmlformats.org/officeDocument/2006/relationships/image" Target="media/image3.png"/><Relationship Id="rId33" Type="http://schemas.openxmlformats.org/officeDocument/2006/relationships/hyperlink" Target="https://medium.com/@CloudifyOps/siem-the-heartbeat-of-a-modern-soc-7ad73131bca8" TargetMode="External"/><Relationship Id="rId38" Type="http://schemas.openxmlformats.org/officeDocument/2006/relationships/hyperlink" Target="https://al-kindipublishers.org/index.php/jcsts/article/view/10288" TargetMode="External"/><Relationship Id="rId59" Type="http://schemas.openxmlformats.org/officeDocument/2006/relationships/hyperlink" Target="https://ieeexplore.ieee.org/document/10620482" TargetMode="External"/><Relationship Id="rId103" Type="http://schemas.openxmlformats.org/officeDocument/2006/relationships/hyperlink" Target="https://owasp.org/API-Security/editions/2023/en/0xa1-broken-object-level-authorization/" TargetMode="External"/><Relationship Id="rId108" Type="http://schemas.openxmlformats.org/officeDocument/2006/relationships/hyperlink" Target="https://asecurityguru.com/the-jpmorgan-chase-data-breach-2014-when-compromised-credentials-led-to-the-largest-bank-hack-in-history/" TargetMode="External"/><Relationship Id="rId124" Type="http://schemas.openxmlformats.org/officeDocument/2006/relationships/hyperlink" Target="https://nsarchive.gwu.edu/document/18370-national-security-archive-u-s-senate-permanent" TargetMode="External"/><Relationship Id="rId129" Type="http://schemas.openxmlformats.org/officeDocument/2006/relationships/hyperlink" Target="https://www.deeptempo.ai/blogs/why-soc-analysts-spend-most-of-their-time-gathering-context-not-analyzing-threats" TargetMode="External"/><Relationship Id="rId54" Type="http://schemas.openxmlformats.org/officeDocument/2006/relationships/hyperlink" Target="https://www.dropzone.ai/glossary/alert-triage-in-2025-the-complete-guide-to-90-faster-investigations" TargetMode="External"/><Relationship Id="rId70" Type="http://schemas.openxmlformats.org/officeDocument/2006/relationships/hyperlink" Target="https://www.researchgate.net/publication/249027953_Exploring_stolen_data_markets_online_Products_and_market_forces" TargetMode="External"/><Relationship Id="rId75" Type="http://schemas.openxmlformats.org/officeDocument/2006/relationships/hyperlink" Target="https://www.institutedata.com/us/blog/techniques-and-tools-for-web-scraping-to-harvest-data/" TargetMode="External"/><Relationship Id="rId91" Type="http://schemas.openxmlformats.org/officeDocument/2006/relationships/hyperlink" Target="https://www.researchgate.net/publication/318708872_Analysis_of_SIEM_Systems_and_Their_Usage_in_Security_Operations_and_Security_Intelligence_Centers" TargetMode="External"/><Relationship Id="rId96" Type="http://schemas.openxmlformats.org/officeDocument/2006/relationships/hyperlink" Target="https://doi.org/10.6028/NIST.SP.800-30r1"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hyperlink" Target="https://www.sans.org/white-papers/sans-2024-soc-survey-facing-top-challenges-security-operations" TargetMode="External"/><Relationship Id="rId114" Type="http://schemas.openxmlformats.org/officeDocument/2006/relationships/hyperlink" Target="https://doi.org/10.1109/SP.2010.25" TargetMode="External"/><Relationship Id="rId119" Type="http://schemas.openxmlformats.org/officeDocument/2006/relationships/hyperlink" Target="https://doi.org/10.1145/3723158" TargetMode="External"/><Relationship Id="rId44" Type="http://schemas.openxmlformats.org/officeDocument/2006/relationships/hyperlink" Target="https://www.tandfonline.com/doi/abs/10.1080/10864415.2004.11044320" TargetMode="External"/><Relationship Id="rId60" Type="http://schemas.openxmlformats.org/officeDocument/2006/relationships/hyperlink" Target="https://www.enisa.europa.eu/sites/default/files/2025-02/Finance%20TL%202024_Final.pdf" TargetMode="External"/><Relationship Id="rId65" Type="http://schemas.openxmlformats.org/officeDocument/2006/relationships/hyperlink" Target="https://tei.forrester.com/go/microsoft/defender/docs/TEI_of_MSFT_Defender_and_Sentinel_SIEM_PDF_vA.pdf" TargetMode="External"/><Relationship Id="rId81" Type="http://schemas.openxmlformats.org/officeDocument/2006/relationships/hyperlink" Target="https://krebsonsecurity.com/2019/05/first-american-financial-corp-leaked-hundreds-of-millions-of-title-insurance-records/" TargetMode="External"/><Relationship Id="rId86" Type="http://schemas.openxmlformats.org/officeDocument/2006/relationships/hyperlink" Target="https://www.bankinfosecurity.com/heartland-discover-settle-for-5-million-a-2598" TargetMode="External"/><Relationship Id="rId130" Type="http://schemas.openxmlformats.org/officeDocument/2006/relationships/hyperlink" Target="https://doi.org/10.1007/978-3-319-61152-5_6" TargetMode="Externa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hyperlink" Target="https://www.forbes.com/sites/tonybradley/2026/03/18/your-soc-is-investigating-less-than-half-its-alerts-every-day/" TargetMode="External"/><Relationship Id="rId109" Type="http://schemas.openxmlformats.org/officeDocument/2006/relationships/hyperlink" Target="https://doi.org/10.1016/j.cose.2019.06.005" TargetMode="External"/><Relationship Id="rId34" Type="http://schemas.openxmlformats.org/officeDocument/2006/relationships/hyperlink" Target="https://www.ampcuscyber.com/knowledge-hub/what-is-siem-centralized-visibility-for-modern-threats/" TargetMode="External"/><Relationship Id="rId50" Type="http://schemas.openxmlformats.org/officeDocument/2006/relationships/hyperlink" Target="https://www.cisa.gov/topics/physical-security/insider-threat-mitigation/defining-insider-threats" TargetMode="External"/><Relationship Id="rId55" Type="http://schemas.openxmlformats.org/officeDocument/2006/relationships/hyperlink" Target="https://www.elastic.co/guide/en/elasticsearch/reference/current/index.html" TargetMode="External"/><Relationship Id="rId76" Type="http://schemas.openxmlformats.org/officeDocument/2006/relationships/hyperlink" Target="https://www.researchgate.net/publication/376811058_The_Impact_of_Security_Orchestration_Automation_and_Response_SOAR_on_Security_Operations_Center_SOC_Efficiency_A_Comprehensive_Analysis" TargetMode="External"/><Relationship Id="rId97" Type="http://schemas.openxmlformats.org/officeDocument/2006/relationships/hyperlink" Target="https://nvd.nist.gov/general/nvd-dashboard" TargetMode="External"/><Relationship Id="rId104" Type="http://schemas.openxmlformats.org/officeDocument/2006/relationships/hyperlink" Target="https://doi.org/10.5220/0005785501370146" TargetMode="External"/><Relationship Id="rId120" Type="http://schemas.openxmlformats.org/officeDocument/2006/relationships/hyperlink" Target="https://arxiv.org/abs/2505.13922" TargetMode="External"/><Relationship Id="rId125" Type="http://schemas.openxmlformats.org/officeDocument/2006/relationships/hyperlink" Target="https://doi.org/10.1057/ejis.2014.36" TargetMode="External"/><Relationship Id="rId7" Type="http://schemas.openxmlformats.org/officeDocument/2006/relationships/settings" Target="settings.xml"/><Relationship Id="rId71" Type="http://schemas.openxmlformats.org/officeDocument/2006/relationships/hyperlink" Target="https://doi.org/10.1002/9781119892335" TargetMode="External"/><Relationship Id="rId92" Type="http://schemas.openxmlformats.org/officeDocument/2006/relationships/hyperlink" Target="https://owasp.org/www-community/attacks/SQL_Injection_Bypassing_WAF" TargetMode="External"/><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hyperlink" Target="https://medium.com/@nag9sri/understanding-the-significance-of-elastic-common-schema-ecs-in-modern-data-management-ad42165177fc" TargetMode="External"/><Relationship Id="rId45" Type="http://schemas.openxmlformats.org/officeDocument/2006/relationships/hyperlink" Target="https://www.researchgate.net/publication/346975125_Heartland_Data_Breach_Analysis" TargetMode="External"/><Relationship Id="rId66" Type="http://schemas.openxmlformats.org/officeDocument/2006/relationships/hyperlink" Target="https://www.fortinet.com/resources/reports/threat-landscape-report" TargetMode="External"/><Relationship Id="rId87" Type="http://schemas.openxmlformats.org/officeDocument/2006/relationships/hyperlink" Target="https://doi.org/10.1145/3691340" TargetMode="External"/><Relationship Id="rId110" Type="http://schemas.openxmlformats.org/officeDocument/2006/relationships/hyperlink" Target="https://www.cdw.com/content/cdw/en/articles/datacenter/shedding-light-on-shadow-data.html" TargetMode="External"/><Relationship Id="rId115" Type="http://schemas.openxmlformats.org/officeDocument/2006/relationships/hyperlink" Target="https://omdia.tech.informa.com/om120455/market-landscape-data-security-posture-management-dspm" TargetMode="External"/><Relationship Id="rId131" Type="http://schemas.openxmlformats.org/officeDocument/2006/relationships/hyperlink" Target="https://www.mitre.org/sites/default/files/publications/pr-13-1028-mitre-10-strategies-cyber-ops-center.pdf" TargetMode="External"/><Relationship Id="rId61" Type="http://schemas.openxmlformats.org/officeDocument/2006/relationships/hyperlink" Target="https://www.cybersecuritydive.com/news/fed-ends-capital-one-breach-action/686970/" TargetMode="External"/><Relationship Id="rId82" Type="http://schemas.openxmlformats.org/officeDocument/2006/relationships/hyperlink" Target="https://lab-1.com/anatomy" TargetMode="External"/><Relationship Id="rId19" Type="http://schemas.openxmlformats.org/officeDocument/2006/relationships/image" Target="media/image5.png"/><Relationship Id="rId14" Type="http://schemas.openxmlformats.org/officeDocument/2006/relationships/footer" Target="footer4.xml"/><Relationship Id="rId30" Type="http://schemas.openxmlformats.org/officeDocument/2006/relationships/image" Target="media/image14.png"/><Relationship Id="rId35" Type="http://schemas.openxmlformats.org/officeDocument/2006/relationships/hyperlink" Target="https://link.springer.com/chapter/10.1007/978-3-642-39498-0_12" TargetMode="External"/><Relationship Id="rId56" Type="http://schemas.openxmlformats.org/officeDocument/2006/relationships/hyperlink" Target="https://www.elastic.co/guide/en/logstash/current/plugins-filters-translate.html" TargetMode="External"/><Relationship Id="rId77" Type="http://schemas.openxmlformats.org/officeDocument/2006/relationships/hyperlink" Target="https://www.giac.org/paper/gsec/36190/minimizing-damage-jp-morgans-data-breach/143120" TargetMode="External"/><Relationship Id="rId100" Type="http://schemas.openxmlformats.org/officeDocument/2006/relationships/hyperlink" Target="https://www.priv.gc.ca/en/opc-actions-and-decisions/investigations/investigations-into-businesses/2020/pipeda-2020-005/" TargetMode="External"/><Relationship Id="rId105" Type="http://schemas.openxmlformats.org/officeDocument/2006/relationships/hyperlink" Target="https://www.pcisecuritystandards.org/" TargetMode="External"/><Relationship Id="rId126" Type="http://schemas.openxmlformats.org/officeDocument/2006/relationships/hyperlink" Target="https://www.verizon.com/business/resources/reports/2025-dbir-data-breach-investigations-report.pdf" TargetMode="External"/><Relationship Id="rId8" Type="http://schemas.openxmlformats.org/officeDocument/2006/relationships/webSettings" Target="webSettings.xml"/><Relationship Id="rId51" Type="http://schemas.openxmlformats.org/officeDocument/2006/relationships/hyperlink" Target="https://nvlpubs.nist.gov/nistpubs/legacy/sp/nistspecialpublication800-137.pdf" TargetMode="External"/><Relationship Id="rId72" Type="http://schemas.openxmlformats.org/officeDocument/2006/relationships/hyperlink" Target="https://doi.org/10.1093/bjc/azu106" TargetMode="External"/><Relationship Id="rId93" Type="http://schemas.openxmlformats.org/officeDocument/2006/relationships/hyperlink" Target="https://attack.mitre.org/" TargetMode="External"/><Relationship Id="rId98" Type="http://schemas.openxmlformats.org/officeDocument/2006/relationships/hyperlink" Target="https://doi.org/10.3390/app13031977" TargetMode="External"/><Relationship Id="rId121" Type="http://schemas.openxmlformats.org/officeDocument/2006/relationships/hyperlink" Target="https://aisel.aisnet.org/cgi/viewcontent.cgi?article=1165&amp;context=pacis2024" TargetMode="External"/><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hyperlink" Target="https://cseweb.ucsd.edu/~mcoblenz/assets/pdf/vlhcc23.pdf" TargetMode="External"/><Relationship Id="rId67" Type="http://schemas.openxmlformats.org/officeDocument/2006/relationships/hyperlink" Target="https://doi.org/10.1109/SPW.2013.34" TargetMode="External"/><Relationship Id="rId116" Type="http://schemas.openxmlformats.org/officeDocument/2006/relationships/hyperlink" Target="https://attack.mitre.org/docs/ATTACK_Design_and_Philosophy_March_2020.pdf" TargetMode="External"/><Relationship Id="rId20" Type="http://schemas.openxmlformats.org/officeDocument/2006/relationships/image" Target="media/image6.png"/><Relationship Id="rId41" Type="http://schemas.openxmlformats.org/officeDocument/2006/relationships/hyperlink" Target="https://journals.sagepub.com/doi/abs/10.3233/JCS-2003-11308" TargetMode="External"/><Relationship Id="rId62" Type="http://schemas.openxmlformats.org/officeDocument/2006/relationships/hyperlink" Target="https://www.ic3.gov/PSA/2025/PSA251125" TargetMode="External"/><Relationship Id="rId83" Type="http://schemas.openxmlformats.org/officeDocument/2006/relationships/hyperlink" Target="https://services.google.com/fh/files/misc/m-trends-2025-en.pdf" TargetMode="External"/><Relationship Id="rId88" Type="http://schemas.openxmlformats.org/officeDocument/2006/relationships/hyperlink" Target="https://dl.acm.org/doi/10.5555/2600239.2600241" TargetMode="External"/><Relationship Id="rId111" Type="http://schemas.openxmlformats.org/officeDocument/2006/relationships/hyperlink" Target="https://doi.org/10.5220/0006639801080116" TargetMode="External"/><Relationship Id="rId132" Type="http://schemas.openxmlformats.org/officeDocument/2006/relationships/fontTable" Target="fontTable.xml"/><Relationship Id="rId15" Type="http://schemas.openxmlformats.org/officeDocument/2006/relationships/image" Target="media/image1.png"/><Relationship Id="rId36" Type="http://schemas.openxmlformats.org/officeDocument/2006/relationships/hyperlink" Target="https://doi.org/10.1145/2991079.2991111" TargetMode="External"/><Relationship Id="rId57" Type="http://schemas.openxmlformats.org/officeDocument/2006/relationships/hyperlink" Target="https://www.elastic.co/guide/en/kibana/current/alerting-getting-started.html" TargetMode="External"/><Relationship Id="rId106" Type="http://schemas.openxmlformats.org/officeDocument/2006/relationships/hyperlink" Target="https://doi.org/10.2753/MIS0742-1222240302" TargetMode="External"/><Relationship Id="rId127" Type="http://schemas.openxmlformats.org/officeDocument/2006/relationships/hyperlink" Target="https://cloudsecurityalliance.org/blog/2022/06/07/shining-a-light-on-shadow-data-what-it-is-and-how-to-minimize-it" TargetMode="External"/><Relationship Id="rId10" Type="http://schemas.openxmlformats.org/officeDocument/2006/relationships/endnotes" Target="endnotes.xml"/><Relationship Id="rId31" Type="http://schemas.openxmlformats.org/officeDocument/2006/relationships/hyperlink" Target="file:///C:\Users\sanja\Documents\GWU\Praxis\Praxis%20Drafts\.%20https:\wrlc-gwu.primo.exlibrisgroup.com\permalink\01WRLC_GWA\1pqr5\alma9911571454304101" TargetMode="External"/><Relationship Id="rId52" Type="http://schemas.openxmlformats.org/officeDocument/2006/relationships/hyperlink" Target="https://doi.org/10.1109/IDAACS.2015.7340752" TargetMode="External"/><Relationship Id="rId73" Type="http://schemas.openxmlformats.org/officeDocument/2006/relationships/hyperlink" Target="https://www.ibm.com/reports/data-breach" TargetMode="External"/><Relationship Id="rId78" Type="http://schemas.openxmlformats.org/officeDocument/2006/relationships/hyperlink" Target="https://papers.ssrn.com/sol3/papers.cfm?abstract_id=3020880" TargetMode="External"/><Relationship Id="rId94" Type="http://schemas.openxmlformats.org/officeDocument/2006/relationships/hyperlink" Target="https://cybersecurityventures.com/the-world-will-store-200-zettabytes-of-data-by-2025/" TargetMode="External"/><Relationship Id="rId99" Type="http://schemas.openxmlformats.org/officeDocument/2006/relationships/hyperlink" Target="https://www.occ.treas.gov/news-issuances/news-releases/2014/nr-occ-2014-1.html" TargetMode="External"/><Relationship Id="rId101" Type="http://schemas.openxmlformats.org/officeDocument/2006/relationships/hyperlink" Target="https://www.sciencedirect.com/science/article/pii/S2773186325002142" TargetMode="External"/><Relationship Id="rId122" Type="http://schemas.openxmlformats.org/officeDocument/2006/relationships/hyperlink" Target="https://www.ftc.gov/enforcement/refunds/equifax-data-breach-settlement"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0.png"/><Relationship Id="rId47" Type="http://schemas.openxmlformats.org/officeDocument/2006/relationships/hyperlink" Target="file:///C:\Users\sanja\Documents\GWU\Praxis\Praxis%20Drafts\.%20https:\wrlc-gwu.primo.exlibrisgroup.com\permalink\01WRLC_GWA\1pqr5\alma9910693267604101" TargetMode="External"/><Relationship Id="rId68" Type="http://schemas.openxmlformats.org/officeDocument/2006/relationships/hyperlink" Target="https://www.accountablehq.com/post/real-world-pii-examples-everyday-scenarios-to-help-you-understand-personally-identifiable-information" TargetMode="External"/><Relationship Id="rId89" Type="http://schemas.openxmlformats.org/officeDocument/2006/relationships/hyperlink" Target="https://doi.org/10.1109/eCrime57793.2022.10142138" TargetMode="External"/><Relationship Id="rId112" Type="http://schemas.openxmlformats.org/officeDocument/2006/relationships/hyperlink" Target="https://www.computerweekly.com/news/252504909/Cloud-misconfiguration-a-growing-cause-of-security-incidents" TargetMode="Externa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22f2d04-ef39-4ce3-9bf4-b0b42b49b54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AE6C36882E5949910B3EEFEBEF287F" ma:contentTypeVersion="10" ma:contentTypeDescription="Create a new document." ma:contentTypeScope="" ma:versionID="a43c111ea0946bd47e305761b7076ad3">
  <xsd:schema xmlns:xsd="http://www.w3.org/2001/XMLSchema" xmlns:xs="http://www.w3.org/2001/XMLSchema" xmlns:p="http://schemas.microsoft.com/office/2006/metadata/properties" xmlns:ns3="122f2d04-ef39-4ce3-9bf4-b0b42b49b54c" targetNamespace="http://schemas.microsoft.com/office/2006/metadata/properties" ma:root="true" ma:fieldsID="d4c55c4f1ff6a0c0e388c70d07ce940e" ns3:_="">
    <xsd:import namespace="122f2d04-ef39-4ce3-9bf4-b0b42b49b54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2f2d04-ef39-4ce3-9bf4-b0b42b49b54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2950E1-2B0B-41D1-AE2F-39B71F8066C6}">
  <ds:schemaRefs>
    <ds:schemaRef ds:uri="http://schemas.openxmlformats.org/officeDocument/2006/bibliography"/>
  </ds:schemaRefs>
</ds:datastoreItem>
</file>

<file path=customXml/itemProps2.xml><?xml version="1.0" encoding="utf-8"?>
<ds:datastoreItem xmlns:ds="http://schemas.openxmlformats.org/officeDocument/2006/customXml" ds:itemID="{BCBC0A73-F168-48D1-AE25-3DCA506FABB8}">
  <ds:schemaRefs>
    <ds:schemaRef ds:uri="http://schemas.microsoft.com/sharepoint/v3/contenttype/forms"/>
  </ds:schemaRefs>
</ds:datastoreItem>
</file>

<file path=customXml/itemProps3.xml><?xml version="1.0" encoding="utf-8"?>
<ds:datastoreItem xmlns:ds="http://schemas.openxmlformats.org/officeDocument/2006/customXml" ds:itemID="{07B4C4E0-A580-4DE4-9350-586C88506D7E}">
  <ds:schemaRefs>
    <ds:schemaRef ds:uri="http://schemas.microsoft.com/office/2006/metadata/properties"/>
    <ds:schemaRef ds:uri="http://schemas.microsoft.com/office/infopath/2007/PartnerControls"/>
    <ds:schemaRef ds:uri="122f2d04-ef39-4ce3-9bf4-b0b42b49b54c"/>
  </ds:schemaRefs>
</ds:datastoreItem>
</file>

<file path=customXml/itemProps4.xml><?xml version="1.0" encoding="utf-8"?>
<ds:datastoreItem xmlns:ds="http://schemas.openxmlformats.org/officeDocument/2006/customXml" ds:itemID="{F0C78BA5-CABE-4BAC-AB88-471D31A2C0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2f2d04-ef39-4ce3-9bf4-b0b42b49b5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4982</TotalTime>
  <Pages>105</Pages>
  <Words>24627</Words>
  <Characters>140375</Characters>
  <Application>Microsoft Office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Raja</dc:creator>
  <cp:keywords/>
  <dc:description/>
  <cp:lastModifiedBy>Sanjay Raja</cp:lastModifiedBy>
  <cp:revision>14</cp:revision>
  <cp:lastPrinted>2026-05-22T14:51:00Z</cp:lastPrinted>
  <dcterms:created xsi:type="dcterms:W3CDTF">2026-07-16T01:40:00Z</dcterms:created>
  <dcterms:modified xsi:type="dcterms:W3CDTF">2026-07-20T03:09:00Z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0x01010010AE6C36882E5949910B3EEFEBEF287F</vt:lpwstr>
  </property>
</Properties>
</file>