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1980000" cy="881100"/>
            <wp:docPr id="50" name="Picture 50"/>
            <wp:cNvGraphicFramePr>
              <a:graphicFrameLocks noChangeAspect="1"/>
            </wp:cNvGraphicFramePr>
            <a:graphic>
              <a:graphicData uri="http://schemas.openxmlformats.org/drawingml/2006/picture">
                <pic:pic>
                  <pic:nvPicPr>
                    <pic:cNvPr id="0" name="logo-cover.png"/>
                    <pic:cNvPicPr/>
                  </pic:nvPicPr>
                  <pic:blipFill>
                    <a:blip r:embed="rId10"/>
                    <a:stretch>
                      <a:fillRect/>
                    </a:stretch>
                  </pic:blipFill>
                  <pic:spPr>
                    <a:xfrm>
                      <a:off x="0" y="0"/>
                      <a:ext cx="1980000" cy="881100"/>
                    </a:xfrm>
                    <a:prstGeom prst="rect"/>
                  </pic:spPr>
                </pic:pic>
              </a:graphicData>
            </a:graphic>
          </wp:inline>
        </w:drawing>
      </w:r>
    </w:p>
    <w:p>
      <w:pPr>
        <w:spacing w:after="1200"/>
      </w:pPr>
    </w:p>
    <w:p>
      <w:r>
        <w:rPr>
          <w:b/>
          <w:color w:val="0F766E"/>
          <w:sz w:val="20"/>
        </w:rPr>
        <w:t>CAHIER DES CHARGES</w:t>
      </w:r>
    </w:p>
    <w:p>
      <w:pPr>
        <w:pStyle w:val="Title"/>
      </w:pPr>
      <w:r>
        <w:t xml:space="preserve">Cahier des charges — Application Volis</w:t>
      </w:r>
    </w:p>
    <w:p>
      <w:pPr>
        <w:pStyle w:val="Subtitle"/>
      </w:pPr>
      <w:r>
        <w:t xml:space="preserve">Version 1.0 · 11 octobre 2026 · préparé pour Faycal Chefai</w:t>
      </w:r>
    </w:p>
    <w:p>
      <w:pPr>
        <w:pStyle w:val="Avertissement"/>
        <w:pBdr>
          <w:top w:val="single" w:sz="8" w:space="6" w:color="0F766E"/>
          <w:left w:val="single" w:sz="8" w:space="6" w:color="0F766E"/>
          <w:bottom w:val="single" w:sz="8" w:space="6" w:color="0F766E"/>
          <w:right w:val="single" w:sz="8" w:space="6" w:color="0F766E"/>
        </w:pBdr>
        <w:shd w:val="clear" w:fill="EEF6F4"/>
        <w:spacing w:before="2800"/>
      </w:pPr>
      <w:r>
        <w:rPr>
          <w:b/>
          <w:bCs/>
        </w:rPr>
        <w:t xml:space="preserve">Avertissement.</w:t>
      </w:r>
      <w:r>
        <w:t xml:space="preserve"> </w:t>
      </w:r>
      <w:r>
        <w:t xml:space="preserve">Ce cahier des charges est un document de travail préparé pour Faycal Chefai. Les passages juridiques, fiscaux et financiers sont une</w:t>
      </w:r>
      <w:r>
        <w:t xml:space="preserve"> </w:t>
      </w:r>
      <w:r>
        <w:rPr>
          <w:b/>
          <w:bCs/>
        </w:rPr>
        <w:t xml:space="preserve">synthèse informative</w:t>
      </w:r>
      <w:r>
        <w:t xml:space="preserve"> </w:t>
      </w:r>
      <w:r>
        <w:t xml:space="preserve">: ils ne constituent ni un avis juridique, ni un avis fiscal, ni un avis financier. Ils doivent être validés par un avocat membre du Barreau du Québec, et par un comptable pour la fiscalité, avant le lancement. Les informations sur des services tiers (Stripe, Supabase, Expo, Apple, Google) reflètent leur documentation à la date du document et peuvent changer. Les montants, taux et délais cités en exemple ne sont pas des engagements.</w:t>
      </w:r>
    </w:p>
    <w:bookmarkStart w:id="9" w:name="informations-sur-le-document"/>
    <w:p>
      <w:pPr>
        <w:pStyle w:val="Heading1"/>
      </w:pPr>
      <w:r>
        <w:t xml:space="preserve">Informations sur le document</w:t>
      </w:r>
    </w:p>
    <w:tbl>
      <w:tblPr>
        <w:tblStyle w:val="Table"/>
        <w:tblW w:type="dxa" w:w="9921"/>
        <w:tblLayout w:type="fixed"/>
        <w:tblLook w:firstRow="0" w:lastRow="0" w:firstColumn="0" w:lastColumn="0" w:noHBand="0" w:noVBand="0" w:val="000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2487"/>
        <w:gridCol w:w="7433"/>
      </w:tblGrid>
      <w:tr>
        <w:tc>
          <w:tcPr>
            <w:tcW w:type="dxa" w:w="2487"/>
            <w:shd w:val="clear" w:color="auto" w:fill="0F766E"/>
          </w:tcPr>
          <w:p>
            <w:pPr>
              <w:pStyle w:val="Compact"/>
              <w:spacing w:after="20"/>
            </w:pPr>
            <w:r>
              <w:rPr>
                <w:b/>
                <w:color w:val="FFFFFF"/>
                <w:sz w:val="17"/>
              </w:rPr>
              <w:t xml:space="preserve">Titre</w:t>
            </w:r>
          </w:p>
        </w:tc>
        <w:tc>
          <w:tcPr>
            <w:tcW w:type="dxa" w:w="7434"/>
            <w:shd w:val="clear" w:color="auto" w:fill="0F766E"/>
          </w:tcPr>
          <w:p>
            <w:pPr>
              <w:pStyle w:val="Compact"/>
              <w:spacing w:after="20"/>
            </w:pPr>
            <w:r>
              <w:rPr>
                <w:b/>
                <w:color w:val="FFFFFF"/>
                <w:sz w:val="17"/>
              </w:rPr>
              <w:t xml:space="preserve">Cahier des charges — Application Volis</w:t>
            </w:r>
          </w:p>
        </w:tc>
      </w:tr>
      <w:tr>
        <w:tc>
          <w:tcPr>
            <w:tcW w:type="dxa" w:w="2487"/>
          </w:tcPr>
          <w:p>
            <w:pPr>
              <w:pStyle w:val="Compact"/>
              <w:spacing w:after="20"/>
            </w:pPr>
            <w:r>
              <w:rPr>
                <w:sz w:val="17"/>
              </w:rPr>
              <w:t xml:space="preserve">Version</w:t>
            </w:r>
          </w:p>
        </w:tc>
        <w:tc>
          <w:tcPr>
            <w:tcW w:type="dxa" w:w="7434"/>
          </w:tcPr>
          <w:p>
            <w:pPr>
              <w:pStyle w:val="Compact"/>
              <w:spacing w:after="20"/>
            </w:pPr>
            <w:r>
              <w:rPr>
                <w:sz w:val="17"/>
              </w:rPr>
              <w:t xml:space="preserve">1.0 (11 octobre 2026)</w:t>
            </w:r>
          </w:p>
        </w:tc>
      </w:tr>
      <w:tr>
        <w:tc>
          <w:tcPr>
            <w:tcW w:type="dxa" w:w="2487"/>
          </w:tcPr>
          <w:p>
            <w:pPr>
              <w:pStyle w:val="Compact"/>
              <w:spacing w:after="20"/>
            </w:pPr>
            <w:r>
              <w:rPr>
                <w:sz w:val="17"/>
              </w:rPr>
              <w:t xml:space="preserve">Préparé pour</w:t>
            </w:r>
          </w:p>
        </w:tc>
        <w:tc>
          <w:tcPr>
            <w:tcW w:type="dxa" w:w="7434"/>
          </w:tcPr>
          <w:p>
            <w:pPr>
              <w:pStyle w:val="Compact"/>
              <w:spacing w:after="20"/>
            </w:pPr>
            <w:r>
              <w:rPr>
                <w:sz w:val="17"/>
              </w:rPr>
              <w:t xml:space="preserve">Faycal Chefai, porteur du projet</w:t>
            </w:r>
          </w:p>
        </w:tc>
      </w:tr>
      <w:tr>
        <w:tc>
          <w:tcPr>
            <w:tcW w:type="dxa" w:w="2487"/>
          </w:tcPr>
          <w:p>
            <w:pPr>
              <w:pStyle w:val="Compact"/>
              <w:spacing w:after="20"/>
            </w:pPr>
            <w:r>
              <w:rPr>
                <w:sz w:val="17"/>
              </w:rPr>
              <w:t xml:space="preserve">Langue</w:t>
            </w:r>
          </w:p>
        </w:tc>
        <w:tc>
          <w:tcPr>
            <w:tcW w:type="dxa" w:w="7434"/>
          </w:tcPr>
          <w:p>
            <w:pPr>
              <w:pStyle w:val="Compact"/>
              <w:spacing w:after="20"/>
            </w:pPr>
            <w:r>
              <w:rPr>
                <w:sz w:val="17"/>
              </w:rPr>
              <w:t xml:space="preserve">Français (Canada)</w:t>
            </w:r>
          </w:p>
        </w:tc>
      </w:tr>
      <w:tr>
        <w:tc>
          <w:tcPr>
            <w:tcW w:type="dxa" w:w="2487"/>
          </w:tcPr>
          <w:p>
            <w:pPr>
              <w:pStyle w:val="Compact"/>
              <w:spacing w:after="20"/>
            </w:pPr>
            <w:r>
              <w:rPr>
                <w:sz w:val="17"/>
              </w:rPr>
              <w:t xml:space="preserve">Statut</w:t>
            </w:r>
          </w:p>
        </w:tc>
        <w:tc>
          <w:tcPr>
            <w:tcW w:type="dxa" w:w="7434"/>
          </w:tcPr>
          <w:p>
            <w:pPr>
              <w:pStyle w:val="Compact"/>
              <w:spacing w:after="20"/>
            </w:pPr>
            <w:r>
              <w:rPr>
                <w:sz w:val="17"/>
              </w:rPr>
              <w:t xml:space="preserve">Document de travail, à valider (juridique, fiscal, fournisseurs)</w:t>
            </w:r>
          </w:p>
        </w:tc>
      </w:tr>
    </w:tbl>
    <w:p>
      <w:pPr>
        <w:pStyle w:val="BodyText"/>
      </w:pPr>
      <w:r>
        <w:rPr>
          <w:b/>
          <w:bCs/>
        </w:rPr>
        <w:t xml:space="preserve">Sections assemblées</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3524"/>
        <w:gridCol w:w="1943"/>
        <w:gridCol w:w="4453"/>
      </w:tblGrid>
      <w:tr>
        <w:trPr>
          <w:tblHeader w:val="on"/>
        </w:trPr>
        <w:tc>
          <w:tcPr>
            <w:tcW w:type="dxa" w:w="3524"/>
            <w:shd w:val="clear" w:color="auto" w:fill="0F766E"/>
          </w:tcPr>
          <w:p>
            <w:pPr>
              <w:pStyle w:val="Compact"/>
              <w:spacing w:after="20"/>
            </w:pPr>
            <w:r>
              <w:rPr>
                <w:b/>
                <w:color w:val="FFFFFF"/>
                <w:sz w:val="17"/>
              </w:rPr>
              <w:t xml:space="preserve">Partie</w:t>
            </w:r>
          </w:p>
        </w:tc>
        <w:tc>
          <w:tcPr>
            <w:tcW w:type="dxa" w:w="1944"/>
            <w:shd w:val="clear" w:color="auto" w:fill="0F766E"/>
          </w:tcPr>
          <w:p>
            <w:pPr>
              <w:pStyle w:val="Compact"/>
              <w:spacing w:after="20"/>
            </w:pPr>
            <w:r>
              <w:rPr>
                <w:b/>
                <w:color w:val="FFFFFF"/>
                <w:sz w:val="17"/>
              </w:rPr>
              <w:t xml:space="preserve">Préparée par</w:t>
            </w:r>
          </w:p>
        </w:tc>
        <w:tc>
          <w:tcPr>
            <w:tcW w:type="dxa" w:w="4453"/>
            <w:shd w:val="clear" w:color="auto" w:fill="0F766E"/>
          </w:tcPr>
          <w:p>
            <w:pPr>
              <w:pStyle w:val="Compact"/>
              <w:spacing w:after="20"/>
            </w:pPr>
            <w:r>
              <w:rPr>
                <w:b/>
                <w:color w:val="FFFFFF"/>
                <w:sz w:val="17"/>
              </w:rPr>
              <w:t xml:space="preserve">Fichier source</w:t>
            </w:r>
          </w:p>
        </w:tc>
      </w:tr>
      <w:tr>
        <w:tc>
          <w:tcPr>
            <w:tcW w:type="dxa" w:w="3524"/>
          </w:tcPr>
          <w:p>
            <w:pPr>
              <w:pStyle w:val="Compact"/>
              <w:spacing w:after="20"/>
            </w:pPr>
            <w:r>
              <w:rPr>
                <w:sz w:val="17"/>
              </w:rPr>
              <w:t xml:space="preserve">Partie A — Spécifications fonctionnelles et UX</w:t>
            </w:r>
          </w:p>
        </w:tc>
        <w:tc>
          <w:tcPr>
            <w:tcW w:type="dxa" w:w="1944"/>
          </w:tcPr>
          <w:p>
            <w:pPr>
              <w:pStyle w:val="Compact"/>
              <w:spacing w:after="20"/>
            </w:pPr>
            <w:r>
              <w:rPr>
                <w:sz w:val="17"/>
              </w:rPr>
              <w:t xml:space="preserve">Équipe UI/UX</w:t>
            </w:r>
          </w:p>
        </w:tc>
        <w:tc>
          <w:tcPr>
            <w:tcW w:type="dxa" w:w="4453"/>
          </w:tcPr>
          <w:p>
            <w:pPr>
              <w:pStyle w:val="Compact"/>
              <w:spacing w:after="20"/>
            </w:pPr>
            <w:r>
              <w:rPr>
                <w:rStyle w:val="VerbatimChar"/>
                <w:sz w:val="17"/>
              </w:rPr>
              <w:t xml:space="preserve">specs-fonctionnelles-ux.md</w:t>
            </w:r>
            <w:r>
              <w:rPr>
                <w:sz w:val="17"/>
              </w:rPr>
              <w:t xml:space="preserve"> </w:t>
            </w:r>
            <w:r>
              <w:rPr>
                <w:sz w:val="17"/>
              </w:rPr>
              <w:t xml:space="preserve">(version du 2026-10-11 16:21)</w:t>
            </w:r>
          </w:p>
        </w:tc>
      </w:tr>
      <w:tr>
        <w:tc>
          <w:tcPr>
            <w:tcW w:type="dxa" w:w="3524"/>
          </w:tcPr>
          <w:p>
            <w:pPr>
              <w:pStyle w:val="Compact"/>
              <w:spacing w:after="20"/>
            </w:pPr>
            <w:r>
              <w:rPr>
                <w:sz w:val="17"/>
              </w:rPr>
              <w:t xml:space="preserve">Partie B — Volet technique et sécurité</w:t>
            </w:r>
          </w:p>
        </w:tc>
        <w:tc>
          <w:tcPr>
            <w:tcW w:type="dxa" w:w="1944"/>
          </w:tcPr>
          <w:p>
            <w:pPr>
              <w:pStyle w:val="Compact"/>
              <w:spacing w:after="20"/>
            </w:pPr>
            <w:r>
              <w:rPr>
                <w:sz w:val="17"/>
              </w:rPr>
              <w:t xml:space="preserve">Équipe technique</w:t>
            </w:r>
          </w:p>
        </w:tc>
        <w:tc>
          <w:tcPr>
            <w:tcW w:type="dxa" w:w="4453"/>
          </w:tcPr>
          <w:p>
            <w:pPr>
              <w:pStyle w:val="Compact"/>
              <w:spacing w:after="20"/>
            </w:pPr>
            <w:r>
              <w:rPr>
                <w:rStyle w:val="VerbatimChar"/>
                <w:sz w:val="17"/>
              </w:rPr>
              <w:t xml:space="preserve">cdc-technique-securite.md</w:t>
            </w:r>
            <w:r>
              <w:rPr>
                <w:sz w:val="17"/>
              </w:rPr>
              <w:t xml:space="preserve"> </w:t>
            </w:r>
            <w:r>
              <w:rPr>
                <w:sz w:val="17"/>
              </w:rPr>
              <w:t xml:space="preserve">(version du 2026-10-11 15:59)</w:t>
            </w:r>
          </w:p>
        </w:tc>
      </w:tr>
      <w:tr>
        <w:tc>
          <w:tcPr>
            <w:tcW w:type="dxa" w:w="3524"/>
          </w:tcPr>
          <w:p>
            <w:pPr>
              <w:pStyle w:val="Compact"/>
              <w:spacing w:after="20"/>
            </w:pPr>
            <w:r>
              <w:rPr>
                <w:sz w:val="17"/>
              </w:rPr>
              <w:t xml:space="preserve">Partie C — Volet légal de la monétisation</w:t>
            </w:r>
          </w:p>
        </w:tc>
        <w:tc>
          <w:tcPr>
            <w:tcW w:type="dxa" w:w="1944"/>
          </w:tcPr>
          <w:p>
            <w:pPr>
              <w:pStyle w:val="Compact"/>
              <w:spacing w:after="20"/>
            </w:pPr>
            <w:r>
              <w:rPr>
                <w:sz w:val="17"/>
              </w:rPr>
              <w:t xml:space="preserve">Équipe juridique</w:t>
            </w:r>
          </w:p>
        </w:tc>
        <w:tc>
          <w:tcPr>
            <w:tcW w:type="dxa" w:w="4453"/>
          </w:tcPr>
          <w:p>
            <w:pPr>
              <w:pStyle w:val="Compact"/>
              <w:spacing w:after="20"/>
            </w:pPr>
            <w:r>
              <w:rPr>
                <w:rStyle w:val="VerbatimChar"/>
                <w:sz w:val="17"/>
              </w:rPr>
              <w:t xml:space="preserve">cahier-legal-monetisation.md</w:t>
            </w:r>
            <w:r>
              <w:rPr>
                <w:sz w:val="17"/>
              </w:rPr>
              <w:t xml:space="preserve"> </w:t>
            </w:r>
            <w:r>
              <w:rPr>
                <w:sz w:val="17"/>
              </w:rPr>
              <w:t xml:space="preserve">(version du 2026-10-11 16:00)</w:t>
            </w:r>
          </w:p>
        </w:tc>
      </w:tr>
    </w:tbl>
    <w:p>
      <w:pPr>
        <w:pStyle w:val="BodyText"/>
      </w:pPr>
      <w:r>
        <w:t xml:space="preserve">Les trois sections sont reprises intégralement; seuls les renvois entre sections ont été harmonisés lors de l’assemblage.</w:t>
      </w:r>
    </w:p>
    <w:bookmarkEnd w:id="9"/>
    <w:bookmarkStart w:id="15" w:name="introduction"/>
    <w:sdt>
      <w:sdtPr>
        <w:docPartObj>
          <w:docPartGallery w:val="Table of Contents"/>
          <w:docPartUnique/>
        </w:docPartObj>
      </w:sdtPr>
      <w:sdtContent>
        <w:p>
          <w:pPr>
            <w:pStyle w:val="TOCHeading"/>
            <w:pageBreakBefore/>
          </w:pPr>
          <w:r>
            <w:t xml:space="preserve">Table des matières</w:t>
          </w:r>
        </w:p>
        <w:p>
          <w:pPr>
            <w:pStyle w:val="TOC1"/>
            <w:tabs>
              <w:tab w:val="right" w:leader="dot" w:pos="9921"/>
            </w:tabs>
            <w:spacing w:before="120" w:after="30"/>
          </w:pPr>
          <w:r>
            <w:fldChar w:fldCharType="begin"/>
          </w:r>
          <w:r>
            <w:instrText xml:space="preserve"> TOC \o "1-2" \h \z \u </w:instrText>
          </w:r>
          <w:r>
            <w:fldChar w:fldCharType="separate"/>
          </w:r>
          <w:r>
            <w:rPr>
              <w:b/>
            </w:rPr>
            <w:t xml:space="preserve">Introduction</w:t>
          </w:r>
          <w:r>
            <w:tab/>
            <w:t xml:space="preserve">4</w:t>
          </w:r>
        </w:p>
        <w:p>
          <w:pPr>
            <w:pStyle w:val="TOC2"/>
            <w:tabs>
              <w:tab w:val="right" w:leader="dot" w:pos="9921"/>
            </w:tabs>
            <w:ind w:left="360"/>
            <w:spacing w:before="0" w:after="30"/>
          </w:pPr>
          <w:r>
            <w:t xml:space="preserve">Objet du document</w:t>
          </w:r>
          <w:r>
            <w:tab/>
            <w:t xml:space="preserve">4</w:t>
          </w:r>
        </w:p>
        <w:p>
          <w:pPr>
            <w:pStyle w:val="TOC2"/>
            <w:tabs>
              <w:tab w:val="right" w:leader="dot" w:pos="9921"/>
            </w:tabs>
            <w:ind w:left="360"/>
            <w:spacing w:before="0" w:after="30"/>
          </w:pPr>
          <w:r>
            <w:t xml:space="preserve">Contexte</w:t>
          </w:r>
          <w:r>
            <w:tab/>
            <w:t xml:space="preserve">4</w:t>
          </w:r>
        </w:p>
        <w:p>
          <w:pPr>
            <w:pStyle w:val="TOC2"/>
            <w:tabs>
              <w:tab w:val="right" w:leader="dot" w:pos="9921"/>
            </w:tabs>
            <w:ind w:left="360"/>
            <w:spacing w:before="0" w:after="30"/>
          </w:pPr>
          <w:r>
            <w:t xml:space="preserve">Structure du document</w:t>
          </w:r>
          <w:r>
            <w:tab/>
            <w:t xml:space="preserve">4</w:t>
          </w:r>
        </w:p>
        <w:p>
          <w:pPr>
            <w:pStyle w:val="TOC2"/>
            <w:tabs>
              <w:tab w:val="right" w:leader="dot" w:pos="9921"/>
            </w:tabs>
            <w:ind w:left="360"/>
            <w:spacing w:before="0" w:after="30"/>
          </w:pPr>
          <w:r>
            <w:t xml:space="preserve">Conventions de lecture</w:t>
          </w:r>
          <w:r>
            <w:tab/>
            <w:t xml:space="preserve">4</w:t>
          </w:r>
        </w:p>
        <w:p>
          <w:pPr>
            <w:pStyle w:val="TOC2"/>
            <w:tabs>
              <w:tab w:val="right" w:leader="dot" w:pos="9921"/>
            </w:tabs>
            <w:ind w:left="360"/>
            <w:spacing w:before="0" w:after="30"/>
          </w:pPr>
          <w:r>
            <w:t xml:space="preserve">Documents associés</w:t>
          </w:r>
          <w:r>
            <w:tab/>
            <w:t xml:space="preserve">4</w:t>
          </w:r>
        </w:p>
        <w:p>
          <w:pPr>
            <w:pStyle w:val="TOC1"/>
            <w:tabs>
              <w:tab w:val="right" w:leader="dot" w:pos="9921"/>
            </w:tabs>
            <w:spacing w:before="120" w:after="30"/>
          </w:pPr>
          <w:r>
            <w:rPr>
              <w:b/>
            </w:rPr>
            <w:t xml:space="preserve">Partie A — Spécifications fonctionnelles et UX</w:t>
          </w:r>
          <w:r>
            <w:tab/>
            <w:t xml:space="preserve">5</w:t>
          </w:r>
        </w:p>
        <w:p>
          <w:pPr>
            <w:pStyle w:val="TOC2"/>
            <w:tabs>
              <w:tab w:val="right" w:leader="dot" w:pos="9921"/>
            </w:tabs>
            <w:ind w:left="360"/>
            <w:spacing w:before="0" w:after="30"/>
          </w:pPr>
          <w:r>
            <w:t xml:space="preserve">1. Rôles et principes</w:t>
          </w:r>
          <w:r>
            <w:tab/>
            <w:t xml:space="preserve">5</w:t>
          </w:r>
        </w:p>
        <w:p>
          <w:pPr>
            <w:pStyle w:val="TOC2"/>
            <w:tabs>
              <w:tab w:val="right" w:leader="dot" w:pos="9921"/>
            </w:tabs>
            <w:ind w:left="360"/>
            <w:spacing w:before="0" w:after="30"/>
          </w:pPr>
          <w:r>
            <w:t xml:space="preserve">2. Navigation et architecture de l’information</w:t>
          </w:r>
          <w:r>
            <w:tab/>
            <w:t xml:space="preserve">5</w:t>
          </w:r>
        </w:p>
        <w:p>
          <w:pPr>
            <w:pStyle w:val="TOC2"/>
            <w:tabs>
              <w:tab w:val="right" w:leader="dot" w:pos="9921"/>
            </w:tabs>
            <w:ind w:left="360"/>
            <w:spacing w:before="0" w:after="30"/>
          </w:pPr>
          <w:r>
            <w:t xml:space="preserve">3. Parcours et histoires utilisateur</w:t>
          </w:r>
          <w:r>
            <w:tab/>
            <w:t xml:space="preserve">6</w:t>
          </w:r>
        </w:p>
        <w:p>
          <w:pPr>
            <w:pStyle w:val="TOC2"/>
            <w:tabs>
              <w:tab w:val="right" w:leader="dot" w:pos="9921"/>
            </w:tabs>
            <w:ind w:left="360"/>
            <w:spacing w:before="0" w:after="30"/>
          </w:pPr>
          <w:r>
            <w:t xml:space="preserve">4. Inventaire des écrans</w:t>
          </w:r>
          <w:r>
            <w:tab/>
            <w:t xml:space="preserve">8</w:t>
          </w:r>
        </w:p>
        <w:p>
          <w:pPr>
            <w:pStyle w:val="TOC2"/>
            <w:tabs>
              <w:tab w:val="right" w:leader="dot" w:pos="9921"/>
            </w:tabs>
            <w:ind w:left="360"/>
            <w:spacing w:before="0" w:after="30"/>
          </w:pPr>
          <w:r>
            <w:t xml:space="preserve">5. États et cas limites</w:t>
          </w:r>
          <w:r>
            <w:tab/>
            <w:t xml:space="preserve">9</w:t>
          </w:r>
        </w:p>
        <w:p>
          <w:pPr>
            <w:pStyle w:val="TOC2"/>
            <w:tabs>
              <w:tab w:val="right" w:leader="dot" w:pos="9921"/>
            </w:tabs>
            <w:ind w:left="360"/>
            <w:spacing w:before="0" w:after="30"/>
          </w:pPr>
          <w:r>
            <w:t xml:space="preserve">6. Accessibilité</w:t>
          </w:r>
          <w:r>
            <w:tab/>
            <w:t xml:space="preserve">10</w:t>
          </w:r>
        </w:p>
        <w:p>
          <w:pPr>
            <w:pStyle w:val="TOC2"/>
            <w:tabs>
              <w:tab w:val="right" w:leader="dot" w:pos="9921"/>
            </w:tabs>
            <w:ind w:left="360"/>
            <w:spacing w:before="0" w:after="30"/>
          </w:pPr>
          <w:r>
            <w:t xml:space="preserve">7. Localisation</w:t>
          </w:r>
          <w:r>
            <w:tab/>
            <w:t xml:space="preserve">10</w:t>
          </w:r>
        </w:p>
        <w:p>
          <w:pPr>
            <w:pStyle w:val="TOC2"/>
            <w:tabs>
              <w:tab w:val="right" w:leader="dot" w:pos="9921"/>
            </w:tabs>
            <w:ind w:left="360"/>
            <w:spacing w:before="0" w:after="30"/>
          </w:pPr>
          <w:r>
            <w:t xml:space="preserve">8. Événements analytiques suggérés</w:t>
          </w:r>
          <w:r>
            <w:tab/>
            <w:t xml:space="preserve">10</w:t>
          </w:r>
        </w:p>
        <w:p>
          <w:pPr>
            <w:pStyle w:val="TOC2"/>
            <w:tabs>
              <w:tab w:val="right" w:leader="dot" w:pos="9921"/>
            </w:tabs>
            <w:ind w:left="360"/>
            <w:spacing w:before="0" w:after="30"/>
          </w:pPr>
          <w:r>
            <w:t xml:space="preserve">9. Monétisation : exigences UX</w:t>
          </w:r>
          <w:r>
            <w:tab/>
            <w:t xml:space="preserve">11</w:t>
          </w:r>
        </w:p>
        <w:p>
          <w:pPr>
            <w:pStyle w:val="TOC1"/>
            <w:tabs>
              <w:tab w:val="right" w:leader="dot" w:pos="9921"/>
            </w:tabs>
            <w:spacing w:before="120" w:after="30"/>
          </w:pPr>
          <w:r>
            <w:rPr>
              <w:b/>
            </w:rPr>
            <w:t xml:space="preserve">Partie B — Volet technique et sécurité</w:t>
          </w:r>
          <w:r>
            <w:tab/>
            <w:t xml:space="preserve">12</w:t>
          </w:r>
        </w:p>
        <w:p>
          <w:pPr>
            <w:pStyle w:val="TOC2"/>
            <w:tabs>
              <w:tab w:val="right" w:leader="dot" w:pos="9921"/>
            </w:tabs>
            <w:ind w:left="360"/>
            <w:spacing w:before="0" w:after="30"/>
          </w:pPr>
          <w:r>
            <w:t xml:space="preserve">1. Stack technique justifiée</w:t>
          </w:r>
          <w:r>
            <w:tab/>
            <w:t xml:space="preserve">12</w:t>
          </w:r>
        </w:p>
        <w:p>
          <w:pPr>
            <w:pStyle w:val="TOC2"/>
            <w:tabs>
              <w:tab w:val="right" w:leader="dot" w:pos="9921"/>
            </w:tabs>
            <w:ind w:left="360"/>
            <w:spacing w:before="0" w:after="30"/>
          </w:pPr>
          <w:r>
            <w:t xml:space="preserve">2. Architecture</w:t>
          </w:r>
          <w:r>
            <w:tab/>
            <w:t xml:space="preserve">14</w:t>
          </w:r>
        </w:p>
        <w:p>
          <w:pPr>
            <w:pStyle w:val="TOC2"/>
            <w:tabs>
              <w:tab w:val="right" w:leader="dot" w:pos="9921"/>
            </w:tabs>
            <w:ind w:left="360"/>
            <w:spacing w:before="0" w:after="30"/>
          </w:pPr>
          <w:r>
            <w:t xml:space="preserve">3. Sécurité — exigences testables</w:t>
          </w:r>
          <w:r>
            <w:tab/>
            <w:t xml:space="preserve">17</w:t>
          </w:r>
        </w:p>
        <w:p>
          <w:pPr>
            <w:pStyle w:val="TOC2"/>
            <w:tabs>
              <w:tab w:val="right" w:leader="dot" w:pos="9921"/>
            </w:tabs>
            <w:ind w:left="360"/>
            <w:spacing w:before="0" w:after="30"/>
          </w:pPr>
          <w:r>
            <w:t xml:space="preserve">4. Monétisation — partie technique</w:t>
          </w:r>
          <w:r>
            <w:tab/>
            <w:t xml:space="preserve">20</w:t>
          </w:r>
        </w:p>
        <w:p>
          <w:pPr>
            <w:pStyle w:val="TOC2"/>
            <w:tabs>
              <w:tab w:val="right" w:leader="dot" w:pos="9921"/>
            </w:tabs>
            <w:ind w:left="360"/>
            <w:spacing w:before="0" w:after="30"/>
          </w:pPr>
          <w:r>
            <w:t xml:space="preserve">5. Exigences non fonctionnelles</w:t>
          </w:r>
          <w:r>
            <w:tab/>
            <w:t xml:space="preserve">21</w:t>
          </w:r>
        </w:p>
        <w:p>
          <w:pPr>
            <w:pStyle w:val="TOC2"/>
            <w:tabs>
              <w:tab w:val="right" w:leader="dot" w:pos="9921"/>
            </w:tabs>
            <w:ind w:left="360"/>
            <w:spacing w:before="0" w:after="30"/>
          </w:pPr>
          <w:r>
            <w:t xml:space="preserve">6. Environnements, jalons et risques</w:t>
          </w:r>
          <w:r>
            <w:tab/>
            <w:t xml:space="preserve">22</w:t>
          </w:r>
        </w:p>
        <w:p>
          <w:pPr>
            <w:pStyle w:val="TOC2"/>
            <w:tabs>
              <w:tab w:val="right" w:leader="dot" w:pos="9921"/>
            </w:tabs>
            <w:ind w:left="360"/>
            <w:spacing w:before="0" w:after="30"/>
          </w:pPr>
          <w:r>
            <w:t xml:space="preserve">Annexe — Références officielles</w:t>
          </w:r>
          <w:r>
            <w:tab/>
            <w:t xml:space="preserve">23</w:t>
          </w:r>
        </w:p>
        <w:p>
          <w:pPr>
            <w:pStyle w:val="TOC1"/>
            <w:tabs>
              <w:tab w:val="right" w:leader="dot" w:pos="9921"/>
            </w:tabs>
            <w:spacing w:before="120" w:after="30"/>
          </w:pPr>
          <w:r>
            <w:rPr>
              <w:b/>
            </w:rPr>
            <w:t xml:space="preserve">Partie C — Volet légal de la monétisation</w:t>
          </w:r>
          <w:r>
            <w:tab/>
            <w:t xml:space="preserve">25</w:t>
          </w:r>
        </w:p>
        <w:p>
          <w:pPr>
            <w:pStyle w:val="TOC2"/>
            <w:tabs>
              <w:tab w:val="right" w:leader="dot" w:pos="9921"/>
            </w:tabs>
            <w:ind w:left="360"/>
            <w:spacing w:before="0" w:after="30"/>
          </w:pPr>
          <w:r>
            <w:t xml:space="preserve">1. Sources de revenus prévues</w:t>
          </w:r>
          <w:r>
            <w:tab/>
            <w:t xml:space="preserve">25</w:t>
          </w:r>
        </w:p>
        <w:p>
          <w:pPr>
            <w:pStyle w:val="TOC2"/>
            <w:tabs>
              <w:tab w:val="right" w:leader="dot" w:pos="9921"/>
            </w:tabs>
            <w:ind w:left="360"/>
            <w:spacing w:before="0" w:after="30"/>
          </w:pPr>
          <w:r>
            <w:t xml:space="preserve">2. Prix et transparence (Loi sur la protection du consommateur et Loi sur la concurrence)</w:t>
          </w:r>
          <w:r>
            <w:tab/>
            <w:t xml:space="preserve">25</w:t>
          </w:r>
        </w:p>
        <w:p>
          <w:pPr>
            <w:pStyle w:val="TOC2"/>
            <w:tabs>
              <w:tab w:val="right" w:leader="dot" w:pos="9921"/>
            </w:tabs>
            <w:ind w:left="360"/>
            <w:spacing w:before="0" w:after="30"/>
          </w:pPr>
          <w:r>
            <w:t xml:space="preserve">3. Commission de la plateforme</w:t>
          </w:r>
          <w:r>
            <w:tab/>
            <w:t xml:space="preserve">25</w:t>
          </w:r>
        </w:p>
        <w:p>
          <w:pPr>
            <w:pStyle w:val="TOC2"/>
            <w:tabs>
              <w:tab w:val="right" w:leader="dot" w:pos="9921"/>
            </w:tabs>
            <w:ind w:left="360"/>
            <w:spacing w:before="0" w:after="30"/>
          </w:pPr>
          <w:r>
            <w:t xml:space="preserve">4. Assurance optionnelle</w:t>
          </w:r>
          <w:r>
            <w:tab/>
            <w:t xml:space="preserve">26</w:t>
          </w:r>
        </w:p>
        <w:p>
          <w:pPr>
            <w:pStyle w:val="TOC2"/>
            <w:tabs>
              <w:tab w:val="right" w:leader="dot" w:pos="9921"/>
            </w:tabs>
            <w:ind w:left="360"/>
            <w:spacing w:before="0" w:after="30"/>
          </w:pPr>
          <w:r>
            <w:t xml:space="preserve">5. Frais de versement instantané</w:t>
          </w:r>
          <w:r>
            <w:tab/>
            <w:t xml:space="preserve">26</w:t>
          </w:r>
        </w:p>
        <w:p>
          <w:pPr>
            <w:pStyle w:val="TOC2"/>
            <w:tabs>
              <w:tab w:val="right" w:leader="dot" w:pos="9921"/>
            </w:tabs>
            <w:ind w:left="360"/>
            <w:spacing w:before="0" w:after="30"/>
          </w:pPr>
          <w:r>
            <w:t xml:space="preserve">6. Paiement retenu, remboursements et litiges</w:t>
          </w:r>
          <w:r>
            <w:tab/>
            <w:t xml:space="preserve">26</w:t>
          </w:r>
        </w:p>
        <w:p>
          <w:pPr>
            <w:pStyle w:val="TOC2"/>
            <w:tabs>
              <w:tab w:val="right" w:leader="dot" w:pos="9921"/>
            </w:tabs>
            <w:ind w:left="360"/>
            <w:spacing w:before="0" w:after="30"/>
          </w:pPr>
          <w:r>
            <w:t xml:space="preserve">7. Marketing et données</w:t>
          </w:r>
          <w:r>
            <w:tab/>
            <w:t xml:space="preserve">26</w:t>
          </w:r>
        </w:p>
        <w:p>
          <w:pPr>
            <w:pStyle w:val="TOC2"/>
            <w:tabs>
              <w:tab w:val="right" w:leader="dot" w:pos="9921"/>
            </w:tabs>
            <w:ind w:left="360"/>
            <w:spacing w:before="0" w:after="30"/>
          </w:pPr>
          <w:r>
            <w:t xml:space="preserve">8. Clauses à prévoir dans les conditions d'utilisation</w:t>
          </w:r>
          <w:r>
            <w:tab/>
            <w:t xml:space="preserve">26</w:t>
          </w:r>
        </w:p>
        <w:p>
          <w:pPr>
            <w:pStyle w:val="TOC2"/>
            <w:tabs>
              <w:tab w:val="right" w:leader="dot" w:pos="9921"/>
            </w:tabs>
            <w:ind w:left="360"/>
            <w:spacing w:before="0" w:after="30"/>
          </w:pPr>
          <w:r>
            <w:t xml:space="preserve">9. À faire valider par l'avocat et le comptable</w:t>
          </w:r>
          <w:r>
            <w:tab/>
            <w:t xml:space="preserve">27</w:t>
          </w:r>
          <w:r>
            <w:fldChar w:fldCharType="end"/>
          </w:r>
        </w:p>
      </w:sdtContent>
    </w:sdt>
    <w:p>
      <w:pPr>
        <w:pStyle w:val="Heading1"/>
      </w:pPr>
      <w:r>
        <w:t xml:space="preserve">Introduction</w:t>
      </w:r>
    </w:p>
    <w:bookmarkStart w:id="10" w:name="objet-du-document"/>
    <w:p>
      <w:pPr>
        <w:pStyle w:val="Heading2"/>
      </w:pPr>
      <w:r>
        <w:t xml:space="preserve">Objet du document</w:t>
      </w:r>
    </w:p>
    <w:p>
      <w:pPr>
        <w:pStyle w:val="FirstParagraph"/>
      </w:pPr>
      <w:r>
        <w:t xml:space="preserve">Ce cahier des charges décrit l’application</w:t>
      </w:r>
      <w:r>
        <w:t xml:space="preserve"> </w:t>
      </w:r>
      <w:r>
        <w:rPr>
          <w:b/>
          <w:bCs/>
        </w:rPr>
        <w:t xml:space="preserve">Volis</w:t>
      </w:r>
      <w:r>
        <w:t xml:space="preserve"> </w:t>
      </w:r>
      <w:r>
        <w:t xml:space="preserve">(nom de travail) : une plateforme de mise en relation entre des</w:t>
      </w:r>
      <w:r>
        <w:t xml:space="preserve"> </w:t>
      </w:r>
      <w:r>
        <w:rPr>
          <w:b/>
          <w:bCs/>
        </w:rPr>
        <w:t xml:space="preserve">expéditeurs</w:t>
      </w:r>
      <w:r>
        <w:t xml:space="preserve"> </w:t>
      </w:r>
      <w:r>
        <w:t xml:space="preserve">qui veulent faire livrer un colis à l’étranger et des</w:t>
      </w:r>
      <w:r>
        <w:t xml:space="preserve"> </w:t>
      </w:r>
      <w:r>
        <w:rPr>
          <w:b/>
          <w:bCs/>
        </w:rPr>
        <w:t xml:space="preserve">voyageurs</w:t>
      </w:r>
      <w:r>
        <w:t xml:space="preserve"> </w:t>
      </w:r>
      <w:r>
        <w:t xml:space="preserve">vérifiés qui ont de la place dans leurs bagages sur un vol. Le paiement est retenu (séquestre) jusqu’à la remise au destinataire. Le document sert de référence commune pour la conception, le développement, l’estimation et la validation juridique de la première version de l’application (iOS, Android et web).</w:t>
      </w:r>
    </w:p>
    <w:bookmarkEnd w:id="10"/>
    <w:bookmarkStart w:id="11" w:name="contexte"/>
    <w:p>
      <w:pPr>
        <w:pStyle w:val="Heading2"/>
      </w:pPr>
      <w:r>
        <w:t xml:space="preserve">Contexte</w:t>
      </w:r>
    </w:p>
    <w:p>
      <w:pPr>
        <w:pStyle w:val="Compact"/>
        <w:numPr>
          <w:ilvl w:val="0"/>
          <w:numId w:val="1001"/>
        </w:numPr>
      </w:pPr>
      <w:r>
        <w:rPr>
          <w:b/>
          <w:bCs/>
        </w:rPr>
        <w:t xml:space="preserve">Porteur du projet :</w:t>
      </w:r>
      <w:r>
        <w:t xml:space="preserve"> </w:t>
      </w:r>
      <w:r>
        <w:t xml:space="preserve">Faycal Chefai (Trois-Rivières, Québec).</w:t>
      </w:r>
    </w:p>
    <w:p>
      <w:pPr>
        <w:pStyle w:val="Compact"/>
        <w:numPr>
          <w:ilvl w:val="0"/>
          <w:numId w:val="1001"/>
        </w:numPr>
      </w:pPr>
      <w:r>
        <w:rPr>
          <w:b/>
          <w:bCs/>
        </w:rPr>
        <w:t xml:space="preserve">Marché de départ :</w:t>
      </w:r>
      <w:r>
        <w:t xml:space="preserve"> </w:t>
      </w:r>
      <w:r>
        <w:t xml:space="preserve">diaspora installée au Québec qui envoie des colis vers sa famille (premiers corridors illustrés : Montréal YUL → Alger ALG, Tlemcen, Oran, Casablanca). Le service s’adresse aux particuliers (consommateurs au sens de la LPC).</w:t>
      </w:r>
    </w:p>
    <w:p>
      <w:pPr>
        <w:pStyle w:val="Compact"/>
        <w:numPr>
          <w:ilvl w:val="0"/>
          <w:numId w:val="1001"/>
        </w:numPr>
      </w:pPr>
      <w:r>
        <w:rPr>
          <w:b/>
          <w:bCs/>
        </w:rPr>
        <w:t xml:space="preserve">Promesse :</w:t>
      </w:r>
      <w:r>
        <w:t xml:space="preserve"> </w:t>
      </w:r>
      <w:r>
        <w:t xml:space="preserve">un envoi plus rapide et moins cher que les transporteurs, avec trois garanties visibles : identité vérifiée (Stripe Identity), paiement retenu jusqu’à la livraison (Stripe Connect) et preuves de remise horodatées.</w:t>
      </w:r>
    </w:p>
    <w:p>
      <w:pPr>
        <w:pStyle w:val="Compact"/>
        <w:numPr>
          <w:ilvl w:val="0"/>
          <w:numId w:val="1001"/>
        </w:numPr>
      </w:pPr>
      <w:r>
        <w:rPr>
          <w:b/>
          <w:bCs/>
        </w:rPr>
        <w:t xml:space="preserve">Plateformes :</w:t>
      </w:r>
      <w:r>
        <w:t xml:space="preserve"> </w:t>
      </w:r>
      <w:r>
        <w:t xml:space="preserve">application mobile Expo / React Native (iOS, Android) et web; backend Supabase hébergé au Canada (région Canada (Central),</w:t>
      </w:r>
      <w:r>
        <w:t xml:space="preserve"> </w:t>
      </w:r>
      <w:r>
        <w:rPr>
          <w:rStyle w:val="VerbatimChar"/>
        </w:rPr>
        <w:t xml:space="preserve">ca-central-1</w:t>
      </w:r>
      <w:r>
        <w:t xml:space="preserve">), selon la partie B.</w:t>
      </w:r>
    </w:p>
    <w:p>
      <w:pPr>
        <w:pStyle w:val="Compact"/>
        <w:numPr>
          <w:ilvl w:val="0"/>
          <w:numId w:val="1001"/>
        </w:numPr>
      </w:pPr>
      <w:r>
        <w:rPr>
          <w:b/>
          <w:bCs/>
        </w:rPr>
        <w:t xml:space="preserve">Direction visuelle retenue :</w:t>
      </w:r>
      <w:r>
        <w:t xml:space="preserve"> </w:t>
      </w:r>
      <w:r>
        <w:t xml:space="preserve">concept 1 « Carnet de voyage », avec le logo « Colis caché » et l’icône d’appli « Signature » (charte graphique fournie à part).</w:t>
      </w:r>
    </w:p>
    <w:bookmarkEnd w:id="11"/>
    <w:bookmarkStart w:id="12" w:name="structure-du-document"/>
    <w:p>
      <w:pPr>
        <w:pStyle w:val="Heading2"/>
      </w:pPr>
      <w:r>
        <w:t xml:space="preserve">Structure du document</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1835"/>
        <w:gridCol w:w="6502"/>
        <w:gridCol w:w="1583"/>
      </w:tblGrid>
      <w:tr>
        <w:trPr>
          <w:tblHeader w:val="on"/>
        </w:trPr>
        <w:tc>
          <w:tcPr>
            <w:tcW w:type="dxa" w:w="1835"/>
            <w:shd w:val="clear" w:color="auto" w:fill="0F766E"/>
          </w:tcPr>
          <w:p>
            <w:pPr>
              <w:pStyle w:val="Compact"/>
              <w:spacing w:after="20"/>
            </w:pPr>
            <w:r>
              <w:rPr>
                <w:b/>
                <w:color w:val="FFFFFF"/>
                <w:sz w:val="17"/>
              </w:rPr>
              <w:t xml:space="preserve">Partie</w:t>
            </w:r>
          </w:p>
        </w:tc>
        <w:tc>
          <w:tcPr>
            <w:tcW w:type="dxa" w:w="6502"/>
            <w:shd w:val="clear" w:color="auto" w:fill="0F766E"/>
          </w:tcPr>
          <w:p>
            <w:pPr>
              <w:pStyle w:val="Compact"/>
              <w:spacing w:after="20"/>
            </w:pPr>
            <w:r>
              <w:rPr>
                <w:b/>
                <w:color w:val="FFFFFF"/>
                <w:sz w:val="17"/>
              </w:rPr>
              <w:t xml:space="preserve">Contenu</w:t>
            </w:r>
          </w:p>
        </w:tc>
        <w:tc>
          <w:tcPr>
            <w:tcW w:type="dxa" w:w="1584"/>
            <w:shd w:val="clear" w:color="auto" w:fill="0F766E"/>
          </w:tcPr>
          <w:p>
            <w:pPr>
              <w:pStyle w:val="Compact"/>
              <w:spacing w:after="20"/>
            </w:pPr>
            <w:r>
              <w:rPr>
                <w:b/>
                <w:color w:val="FFFFFF"/>
                <w:sz w:val="17"/>
              </w:rPr>
              <w:t xml:space="preserve">Préparée par</w:t>
            </w:r>
          </w:p>
        </w:tc>
      </w:tr>
      <w:tr>
        <w:tc>
          <w:tcPr>
            <w:tcW w:type="dxa" w:w="1835"/>
          </w:tcPr>
          <w:p>
            <w:pPr>
              <w:pStyle w:val="Compact"/>
              <w:spacing w:after="20"/>
            </w:pPr>
            <w:r>
              <w:rPr>
                <w:b/>
                <w:bCs/>
                <w:sz w:val="17"/>
              </w:rPr>
              <w:t xml:space="preserve">A. Spécifications fonctionnelles et UX</w:t>
            </w:r>
          </w:p>
        </w:tc>
        <w:tc>
          <w:tcPr>
            <w:tcW w:type="dxa" w:w="6502"/>
          </w:tcPr>
          <w:p>
            <w:pPr>
              <w:pStyle w:val="Compact"/>
              <w:spacing w:after="20"/>
            </w:pPr>
            <w:r>
              <w:rPr>
                <w:sz w:val="17"/>
              </w:rPr>
              <w:t xml:space="preserve">Rôles, navigation, parcours et histoires utilisateur avec critères d’acceptation, inventaire des 50 écrans, états et cas limites, accessibilité, localisation, événements analytiques, exigences UX de monétisation.</w:t>
            </w:r>
          </w:p>
        </w:tc>
        <w:tc>
          <w:tcPr>
            <w:tcW w:type="dxa" w:w="1584"/>
          </w:tcPr>
          <w:p>
            <w:pPr>
              <w:pStyle w:val="Compact"/>
              <w:spacing w:after="20"/>
            </w:pPr>
            <w:r>
              <w:rPr>
                <w:sz w:val="17"/>
              </w:rPr>
              <w:t xml:space="preserve">Équipe UI/UX</w:t>
            </w:r>
          </w:p>
        </w:tc>
      </w:tr>
      <w:tr>
        <w:tc>
          <w:tcPr>
            <w:tcW w:type="dxa" w:w="1835"/>
          </w:tcPr>
          <w:p>
            <w:pPr>
              <w:pStyle w:val="Compact"/>
              <w:spacing w:after="20"/>
            </w:pPr>
            <w:r>
              <w:rPr>
                <w:b/>
                <w:bCs/>
                <w:sz w:val="17"/>
              </w:rPr>
              <w:t xml:space="preserve">B. Volet technique et sécurité</w:t>
            </w:r>
          </w:p>
        </w:tc>
        <w:tc>
          <w:tcPr>
            <w:tcW w:type="dxa" w:w="6502"/>
          </w:tcPr>
          <w:p>
            <w:pPr>
              <w:pStyle w:val="Compact"/>
              <w:spacing w:after="20"/>
            </w:pPr>
            <w:r>
              <w:rPr>
                <w:sz w:val="17"/>
              </w:rPr>
              <w:t xml:space="preserve">Stack, architecture, modèle de données, machine d’états, webhooks Stripe, exigences de sécurité testables (SEC-01 à SEC-25), durées de conservation, monétisation technique, exigences non fonctionnelles, jalons et risques.</w:t>
            </w:r>
          </w:p>
        </w:tc>
        <w:tc>
          <w:tcPr>
            <w:tcW w:type="dxa" w:w="1584"/>
          </w:tcPr>
          <w:p>
            <w:pPr>
              <w:pStyle w:val="Compact"/>
              <w:spacing w:after="20"/>
            </w:pPr>
            <w:r>
              <w:rPr>
                <w:sz w:val="17"/>
              </w:rPr>
              <w:t xml:space="preserve">Équipe technique</w:t>
            </w:r>
          </w:p>
        </w:tc>
      </w:tr>
      <w:tr>
        <w:tc>
          <w:tcPr>
            <w:tcW w:type="dxa" w:w="1835"/>
          </w:tcPr>
          <w:p>
            <w:pPr>
              <w:pStyle w:val="Compact"/>
              <w:spacing w:after="20"/>
            </w:pPr>
            <w:r>
              <w:rPr>
                <w:b/>
                <w:bCs/>
                <w:sz w:val="17"/>
              </w:rPr>
              <w:t xml:space="preserve">C. Volet légal de la monétisation</w:t>
            </w:r>
          </w:p>
        </w:tc>
        <w:tc>
          <w:tcPr>
            <w:tcW w:type="dxa" w:w="6502"/>
          </w:tcPr>
          <w:p>
            <w:pPr>
              <w:pStyle w:val="Compact"/>
              <w:spacing w:after="20"/>
            </w:pPr>
            <w:r>
              <w:rPr>
                <w:sz w:val="17"/>
              </w:rPr>
              <w:t xml:space="preserve">Sources de revenus, prix et transparence (LPC, Loi sur la concurrence), commission, assurance, versements, séquestre et litiges, marketing et données, clauses des conditions d’utilisation, points à faire valider.</w:t>
            </w:r>
          </w:p>
        </w:tc>
        <w:tc>
          <w:tcPr>
            <w:tcW w:type="dxa" w:w="1584"/>
          </w:tcPr>
          <w:p>
            <w:pPr>
              <w:pStyle w:val="Compact"/>
              <w:spacing w:after="20"/>
            </w:pPr>
            <w:r>
              <w:rPr>
                <w:sz w:val="17"/>
              </w:rPr>
              <w:t xml:space="preserve">Équipe juridique</w:t>
            </w:r>
          </w:p>
        </w:tc>
      </w:tr>
    </w:tbl>
    <w:p>
      <w:pPr>
        <w:pStyle w:val="BodyText"/>
      </w:pPr>
      <w:r>
        <w:t xml:space="preserve">Chaque partie garde sa propre numérotation. Les renvois prennent la forme « partie B, 4.1 » ou, dans le texte des équipes, « volet technique 4.1 » et « volet légal 2 ».</w:t>
      </w:r>
    </w:p>
    <w:bookmarkEnd w:id="12"/>
    <w:bookmarkStart w:id="13" w:name="conventions-de-lecture"/>
    <w:p>
      <w:pPr>
        <w:pStyle w:val="Heading2"/>
      </w:pPr>
      <w:r>
        <w:t xml:space="preserve">Conventions de lecture</w:t>
      </w:r>
    </w:p>
    <w:p>
      <w:pPr>
        <w:pStyle w:val="Compact"/>
        <w:numPr>
          <w:ilvl w:val="0"/>
          <w:numId w:val="1002"/>
        </w:numPr>
      </w:pPr>
      <w:r>
        <w:rPr>
          <w:b/>
          <w:bCs/>
        </w:rPr>
        <w:t xml:space="preserve">« À confirmer »</w:t>
      </w:r>
      <w:r>
        <w:t xml:space="preserve"> </w:t>
      </w:r>
      <w:r>
        <w:t xml:space="preserve">: point qui n’a pas été vérifié dans une source officielle ou qui dépend d’un fournisseur (Stripe, Supabase, assureur).</w:t>
      </w:r>
    </w:p>
    <w:p>
      <w:pPr>
        <w:pStyle w:val="Compact"/>
        <w:numPr>
          <w:ilvl w:val="0"/>
          <w:numId w:val="1002"/>
        </w:numPr>
      </w:pPr>
      <w:r>
        <w:rPr>
          <w:b/>
          <w:bCs/>
        </w:rPr>
        <w:t xml:space="preserve">« À décider (par Faycal) »</w:t>
      </w:r>
      <w:r>
        <w:t xml:space="preserve"> </w:t>
      </w:r>
      <w:r>
        <w:t xml:space="preserve">: choix d’affaires ouvert : montants, taux, délais, plafonds. Les valeurs visibles dans les maquettes sont</w:t>
      </w:r>
      <w:r>
        <w:t xml:space="preserve"> </w:t>
      </w:r>
      <w:r>
        <w:rPr>
          <w:b/>
          <w:bCs/>
        </w:rPr>
        <w:t xml:space="preserve">illustratives</w:t>
      </w:r>
      <w:r>
        <w:t xml:space="preserve">.</w:t>
      </w:r>
    </w:p>
    <w:p>
      <w:pPr>
        <w:pStyle w:val="Compact"/>
        <w:numPr>
          <w:ilvl w:val="0"/>
          <w:numId w:val="1002"/>
        </w:numPr>
      </w:pPr>
      <w:r>
        <w:rPr>
          <w:b/>
          <w:bCs/>
        </w:rPr>
        <w:t xml:space="preserve">« À faire valider par l’avocat / le comptable »</w:t>
      </w:r>
      <w:r>
        <w:t xml:space="preserve"> </w:t>
      </w:r>
      <w:r>
        <w:t xml:space="preserve">: point juridique ou fiscal qui doit être validé avant le lancement.</w:t>
      </w:r>
    </w:p>
    <w:p>
      <w:pPr>
        <w:pStyle w:val="Compact"/>
        <w:numPr>
          <w:ilvl w:val="0"/>
          <w:numId w:val="1002"/>
        </w:numPr>
      </w:pPr>
      <w:r>
        <w:t xml:space="preserve">Les noms de personnes, numéros de vol, codes et montants des exemples sont</w:t>
      </w:r>
      <w:r>
        <w:t xml:space="preserve"> </w:t>
      </w:r>
      <w:r>
        <w:rPr>
          <w:b/>
          <w:bCs/>
        </w:rPr>
        <w:t xml:space="preserve">fictifs</w:t>
      </w:r>
      <w:r>
        <w:t xml:space="preserve">.</w:t>
      </w:r>
    </w:p>
    <w:p>
      <w:pPr>
        <w:pStyle w:val="Compact"/>
        <w:numPr>
          <w:ilvl w:val="0"/>
          <w:numId w:val="1002"/>
        </w:numPr>
      </w:pPr>
      <w:r>
        <w:t xml:space="preserve">Les identifiants</w:t>
      </w:r>
      <w:r>
        <w:t xml:space="preserve"> </w:t>
      </w:r>
      <w:r>
        <w:rPr>
          <w:b/>
          <w:bCs/>
        </w:rPr>
        <w:t xml:space="preserve">US-xx</w:t>
      </w:r>
      <w:r>
        <w:t xml:space="preserve"> </w:t>
      </w:r>
      <w:r>
        <w:t xml:space="preserve">(histoires utilisateur, partie A) et</w:t>
      </w:r>
      <w:r>
        <w:t xml:space="preserve"> </w:t>
      </w:r>
      <w:r>
        <w:rPr>
          <w:b/>
          <w:bCs/>
        </w:rPr>
        <w:t xml:space="preserve">SEC-xx</w:t>
      </w:r>
      <w:r>
        <w:t xml:space="preserve"> </w:t>
      </w:r>
      <w:r>
        <w:t xml:space="preserve">(exigences de sécurité, partie B) servent à la traçabilité dans les tickets et les tests.</w:t>
      </w:r>
    </w:p>
    <w:bookmarkEnd w:id="13"/>
    <w:bookmarkStart w:id="14" w:name="documents-associés"/>
    <w:p>
      <w:pPr>
        <w:pStyle w:val="Heading2"/>
      </w:pPr>
      <w:r>
        <w:t xml:space="preserve">Documents associés</w:t>
      </w:r>
    </w:p>
    <w:p>
      <w:pPr>
        <w:pStyle w:val="Compact"/>
        <w:numPr>
          <w:ilvl w:val="0"/>
          <w:numId w:val="1003"/>
        </w:numPr>
      </w:pPr>
      <w:r>
        <w:t xml:space="preserve">Maquettes :</w:t>
      </w:r>
      <w:r>
        <w:t xml:space="preserve"> </w:t>
      </w:r>
      <w:r>
        <w:rPr>
          <w:rStyle w:val="VerbatimChar"/>
        </w:rPr>
        <w:t xml:space="preserve">volis-ecrans-concept1.pdf</w:t>
      </w:r>
      <w:r>
        <w:t xml:space="preserve"> </w:t>
      </w:r>
      <w:r>
        <w:t xml:space="preserve">(50 écrans) et planches par parcours.</w:t>
      </w:r>
    </w:p>
    <w:p>
      <w:pPr>
        <w:pStyle w:val="Compact"/>
        <w:numPr>
          <w:ilvl w:val="0"/>
          <w:numId w:val="1003"/>
        </w:numPr>
      </w:pPr>
      <w:r>
        <w:t xml:space="preserve">Charte graphique :</w:t>
      </w:r>
      <w:r>
        <w:t xml:space="preserve"> </w:t>
      </w:r>
      <w:r>
        <w:rPr>
          <w:rStyle w:val="VerbatimChar"/>
        </w:rPr>
        <w:t xml:space="preserve">volis-charte-graphique.pdf</w:t>
      </w:r>
      <w:r>
        <w:t xml:space="preserve"> </w:t>
      </w:r>
      <w:r>
        <w:t xml:space="preserve">(17 pages).</w:t>
      </w:r>
    </w:p>
    <w:p>
      <w:pPr>
        <w:pStyle w:val="Compact"/>
        <w:numPr>
          <w:ilvl w:val="0"/>
          <w:numId w:val="1003"/>
        </w:numPr>
      </w:pPr>
      <w:r>
        <w:t xml:space="preserve">Ressources développeurs :</w:t>
      </w:r>
      <w:r>
        <w:t xml:space="preserve"> </w:t>
      </w:r>
      <w:r>
        <w:rPr>
          <w:rStyle w:val="VerbatimChar"/>
        </w:rPr>
        <w:t xml:space="preserve">volis-dev-assets-partie1…3.zip</w:t>
      </w:r>
      <w:r>
        <w:t xml:space="preserve"> </w:t>
      </w:r>
      <w:r>
        <w:t xml:space="preserve">(tokens, thème React Native, icônes, illustrations, logos, icônes d’appli, polices, inventaire des écrans).</w:t>
      </w:r>
    </w:p>
    <w:bookmarkEnd w:id="14"/>
    <w:bookmarkEnd w:id="15"/>
    <w:bookmarkStart w:id="36" w:name="X9e2530ed4f62cf4481f18a9082b24f85f026c2b"/>
    <w:p>
      <w:pPr>
        <w:pStyle w:val="Heading1"/>
      </w:pPr>
      <w:r>
        <w:t xml:space="preserve">Partie A — Spécifications fonctionnelles et UX</w:t>
      </w:r>
    </w:p>
    <w:p>
      <w:pPr>
        <w:pStyle w:val="FirstParagraph"/>
      </w:pPr>
      <w:r>
        <w:rPr>
          <w:i/>
          <w:iCs/>
        </w:rPr>
        <w:t xml:space="preserve">Préparé par l’équipe UI/UX — 11 octobre 2026</w:t>
      </w:r>
    </w:p>
    <w:p>
      <w:pPr>
        <w:pStyle w:val="BlockText"/>
      </w:pPr>
      <w:r>
        <w:rPr>
          <w:b/>
          <w:bCs/>
        </w:rPr>
        <w:t xml:space="preserve">Portée de cette section.</w:t>
      </w:r>
      <w:r>
        <w:t xml:space="preserve"> </w:t>
      </w:r>
      <w:r>
        <w:t xml:space="preserve">Elle décrit ce que l’application doit faire du point de vue de l’utilisateur : rôles, parcours, histoires utilisateur, critères d’acceptation, états et cas limites, accessibilité, localisation et événements analytiques. Elle s’appuie sur les 50 maquettes du concept 1 « Carnet de voyage » (</w:t>
      </w:r>
      <w:r>
        <w:rPr>
          <w:rStyle w:val="VerbatimChar"/>
        </w:rPr>
        <w:t xml:space="preserve">volis-design/ecrans/</w:t>
      </w:r>
      <w:r>
        <w:t xml:space="preserve">, numérotées 01 à 50) et sur la charte graphique (</w:t>
      </w:r>
      <w:r>
        <w:rPr>
          <w:rStyle w:val="VerbatimChar"/>
        </w:rPr>
        <w:t xml:space="preserve">volis-charte-graphique.pdf</w:t>
      </w:r>
      <w:r>
        <w:t xml:space="preserve">). La technique (machine d’états, Stripe, sécurité) relève du volet technique; le cadre légal, du volet légal. Les renvois sont indiqués entre parenthèses.</w:t>
      </w:r>
    </w:p>
    <w:p>
      <w:pPr>
        <w:pStyle w:val="BlockText"/>
      </w:pPr>
      <w:r>
        <w:rPr>
          <w:b/>
          <w:bCs/>
        </w:rPr>
        <w:t xml:space="preserve">Convention.</w:t>
      </w:r>
      <w:r>
        <w:t xml:space="preserve"> </w:t>
      </w:r>
      <w:r>
        <w:t xml:space="preserve">Les montants, taux, délais et plafonds visibles dans les maquettes (commission de 15 %, 1,5 % pour le versement instantané, protection de base de 100 $, valeur déclarée maximale de 1 000 $, délai de signalement de 72 h, etc.) sont</w:t>
      </w:r>
      <w:r>
        <w:t xml:space="preserve"> </w:t>
      </w:r>
      <w:r>
        <w:rPr>
          <w:b/>
          <w:bCs/>
        </w:rPr>
        <w:t xml:space="preserve">illustratifs</w:t>
      </w:r>
      <w:r>
        <w:t xml:space="preserve">. Ils restent</w:t>
      </w:r>
      <w:r>
        <w:t xml:space="preserve"> </w:t>
      </w:r>
      <w:r>
        <w:rPr>
          <w:b/>
          <w:bCs/>
        </w:rPr>
        <w:t xml:space="preserve">à décider par Faycal</w:t>
      </w:r>
      <w:r>
        <w:t xml:space="preserve">, puis à faire valider par l’équipe juridique quand c’est nécessaire. Tous les noms et numéros sont fictifs.</w:t>
      </w:r>
    </w:p>
    <w:bookmarkStart w:id="18" w:name="rôles-et-principes"/>
    <w:p>
      <w:pPr>
        <w:pStyle w:val="Heading2"/>
      </w:pPr>
      <w:r>
        <w:t xml:space="preserve">1. Rôles et principes</w:t>
      </w:r>
    </w:p>
    <w:bookmarkStart w:id="16" w:name="rôles"/>
    <w:p>
      <w:pPr>
        <w:pStyle w:val="Heading3"/>
      </w:pPr>
      <w:r>
        <w:t xml:space="preserve">1.1 Rôles</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1263"/>
        <w:gridCol w:w="4395"/>
        <w:gridCol w:w="1210"/>
        <w:gridCol w:w="3052"/>
      </w:tblGrid>
      <w:tr>
        <w:trPr>
          <w:tblHeader w:val="on"/>
        </w:trPr>
        <w:tc>
          <w:tcPr>
            <w:tcW w:type="dxa" w:w="1263"/>
            <w:shd w:val="clear" w:color="auto" w:fill="0F766E"/>
          </w:tcPr>
          <w:p>
            <w:pPr>
              <w:pStyle w:val="Compact"/>
              <w:spacing w:after="20"/>
            </w:pPr>
            <w:r>
              <w:rPr>
                <w:b/>
                <w:color w:val="FFFFFF"/>
                <w:sz w:val="17"/>
              </w:rPr>
              <w:t xml:space="preserve">Rôle</w:t>
            </w:r>
          </w:p>
        </w:tc>
        <w:tc>
          <w:tcPr>
            <w:tcW w:type="dxa" w:w="4395"/>
            <w:shd w:val="clear" w:color="auto" w:fill="0F766E"/>
          </w:tcPr>
          <w:p>
            <w:pPr>
              <w:pStyle w:val="Compact"/>
              <w:spacing w:after="20"/>
            </w:pPr>
            <w:r>
              <w:rPr>
                <w:b/>
                <w:color w:val="FFFFFF"/>
                <w:sz w:val="17"/>
              </w:rPr>
              <w:t xml:space="preserve">Description</w:t>
            </w:r>
          </w:p>
        </w:tc>
        <w:tc>
          <w:tcPr>
            <w:tcW w:type="dxa" w:w="1211"/>
            <w:shd w:val="clear" w:color="auto" w:fill="0F766E"/>
          </w:tcPr>
          <w:p>
            <w:pPr>
              <w:pStyle w:val="Compact"/>
              <w:spacing w:after="20"/>
            </w:pPr>
            <w:r>
              <w:rPr>
                <w:b/>
                <w:color w:val="FFFFFF"/>
                <w:sz w:val="17"/>
              </w:rPr>
              <w:t xml:space="preserve">Compte requis</w:t>
            </w:r>
          </w:p>
        </w:tc>
        <w:tc>
          <w:tcPr>
            <w:tcW w:type="dxa" w:w="3052"/>
            <w:shd w:val="clear" w:color="auto" w:fill="0F766E"/>
          </w:tcPr>
          <w:p>
            <w:pPr>
              <w:pStyle w:val="Compact"/>
              <w:spacing w:after="20"/>
            </w:pPr>
            <w:r>
              <w:rPr>
                <w:b/>
                <w:color w:val="FFFFFF"/>
                <w:sz w:val="17"/>
              </w:rPr>
              <w:t xml:space="preserve">Vérification</w:t>
            </w:r>
          </w:p>
        </w:tc>
      </w:tr>
      <w:tr>
        <w:tc>
          <w:tcPr>
            <w:tcW w:type="dxa" w:w="1263"/>
          </w:tcPr>
          <w:p>
            <w:pPr>
              <w:pStyle w:val="Compact"/>
              <w:spacing w:after="20"/>
            </w:pPr>
            <w:r>
              <w:rPr>
                <w:b/>
                <w:bCs/>
                <w:sz w:val="17"/>
              </w:rPr>
              <w:t xml:space="preserve">Visiteur</w:t>
            </w:r>
          </w:p>
        </w:tc>
        <w:tc>
          <w:tcPr>
            <w:tcW w:type="dxa" w:w="4395"/>
          </w:tcPr>
          <w:p>
            <w:pPr>
              <w:pStyle w:val="Compact"/>
              <w:spacing w:after="20"/>
            </w:pPr>
            <w:r>
              <w:rPr>
                <w:sz w:val="17"/>
              </w:rPr>
              <w:t xml:space="preserve">Parcourt les trajets et les prix sans compte (« Explorer sans compte », écran 05).</w:t>
            </w:r>
          </w:p>
        </w:tc>
        <w:tc>
          <w:tcPr>
            <w:tcW w:type="dxa" w:w="1211"/>
          </w:tcPr>
          <w:p>
            <w:pPr>
              <w:pStyle w:val="Compact"/>
              <w:spacing w:after="20"/>
            </w:pPr>
            <w:r>
              <w:rPr>
                <w:sz w:val="17"/>
              </w:rPr>
              <w:t xml:space="preserve">Non</w:t>
            </w:r>
          </w:p>
        </w:tc>
        <w:tc>
          <w:tcPr>
            <w:tcW w:type="dxa" w:w="3052"/>
          </w:tcPr>
          <w:p>
            <w:pPr>
              <w:pStyle w:val="Compact"/>
              <w:spacing w:after="20"/>
            </w:pPr>
            <w:r>
              <w:rPr>
                <w:sz w:val="17"/>
              </w:rPr>
              <w:t xml:space="preserve">—</w:t>
            </w:r>
          </w:p>
        </w:tc>
      </w:tr>
      <w:tr>
        <w:tc>
          <w:tcPr>
            <w:tcW w:type="dxa" w:w="1263"/>
          </w:tcPr>
          <w:p>
            <w:pPr>
              <w:pStyle w:val="Compact"/>
              <w:spacing w:after="20"/>
            </w:pPr>
            <w:r>
              <w:rPr>
                <w:b/>
                <w:bCs/>
                <w:sz w:val="17"/>
              </w:rPr>
              <w:t xml:space="preserve">Expéditeur</w:t>
            </w:r>
          </w:p>
        </w:tc>
        <w:tc>
          <w:tcPr>
            <w:tcW w:type="dxa" w:w="4395"/>
          </w:tcPr>
          <w:p>
            <w:pPr>
              <w:pStyle w:val="Compact"/>
              <w:spacing w:after="20"/>
            </w:pPr>
            <w:r>
              <w:rPr>
                <w:sz w:val="17"/>
              </w:rPr>
              <w:t xml:space="preserve">Crée un envoi, choisit un voyageur, paie en séquestre, remet le colis, suit la livraison, laisse un avis.</w:t>
            </w:r>
          </w:p>
        </w:tc>
        <w:tc>
          <w:tcPr>
            <w:tcW w:type="dxa" w:w="1211"/>
          </w:tcPr>
          <w:p>
            <w:pPr>
              <w:pStyle w:val="Compact"/>
              <w:spacing w:after="20"/>
            </w:pPr>
            <w:r>
              <w:rPr>
                <w:sz w:val="17"/>
              </w:rPr>
              <w:t xml:space="preserve">Oui</w:t>
            </w:r>
          </w:p>
        </w:tc>
        <w:tc>
          <w:tcPr>
            <w:tcW w:type="dxa" w:w="3052"/>
          </w:tcPr>
          <w:p>
            <w:pPr>
              <w:pStyle w:val="Compact"/>
              <w:spacing w:after="20"/>
            </w:pPr>
            <w:r>
              <w:rPr>
                <w:sz w:val="17"/>
              </w:rPr>
              <w:t xml:space="preserve">Courriel + téléphone; identité (Stripe Identity) avant le 1er paiement (SEC-15).</w:t>
            </w:r>
          </w:p>
        </w:tc>
      </w:tr>
      <w:tr>
        <w:tc>
          <w:tcPr>
            <w:tcW w:type="dxa" w:w="1263"/>
          </w:tcPr>
          <w:p>
            <w:pPr>
              <w:pStyle w:val="Compact"/>
              <w:spacing w:after="20"/>
            </w:pPr>
            <w:r>
              <w:rPr>
                <w:b/>
                <w:bCs/>
                <w:sz w:val="17"/>
              </w:rPr>
              <w:t xml:space="preserve">Voyageur</w:t>
            </w:r>
          </w:p>
        </w:tc>
        <w:tc>
          <w:tcPr>
            <w:tcW w:type="dxa" w:w="4395"/>
          </w:tcPr>
          <w:p>
            <w:pPr>
              <w:pStyle w:val="Compact"/>
              <w:spacing w:after="20"/>
            </w:pPr>
            <w:r>
              <w:rPr>
                <w:sz w:val="17"/>
              </w:rPr>
              <w:t xml:space="preserve">Publie un voyage, accepte ou refuse les demandes, inspecte et transporte le colis, reçoit ses gains via Stripe Connect.</w:t>
            </w:r>
          </w:p>
        </w:tc>
        <w:tc>
          <w:tcPr>
            <w:tcW w:type="dxa" w:w="1211"/>
          </w:tcPr>
          <w:p>
            <w:pPr>
              <w:pStyle w:val="Compact"/>
              <w:spacing w:after="20"/>
            </w:pPr>
            <w:r>
              <w:rPr>
                <w:sz w:val="17"/>
              </w:rPr>
              <w:t xml:space="preserve">Oui</w:t>
            </w:r>
          </w:p>
        </w:tc>
        <w:tc>
          <w:tcPr>
            <w:tcW w:type="dxa" w:w="3052"/>
          </w:tcPr>
          <w:p>
            <w:pPr>
              <w:pStyle w:val="Compact"/>
              <w:spacing w:after="20"/>
            </w:pPr>
            <w:r>
              <w:rPr>
                <w:sz w:val="17"/>
              </w:rPr>
              <w:t xml:space="preserve">Courriel + téléphone + identité; vol confirmé (billet vérifié) pour le badge « Vol confirmé »; compte Stripe Connect avant le 1er versement.</w:t>
            </w:r>
          </w:p>
        </w:tc>
      </w:tr>
      <w:tr>
        <w:tc>
          <w:tcPr>
            <w:tcW w:type="dxa" w:w="1263"/>
          </w:tcPr>
          <w:p>
            <w:pPr>
              <w:pStyle w:val="Compact"/>
              <w:spacing w:after="20"/>
            </w:pPr>
            <w:r>
              <w:rPr>
                <w:b/>
                <w:bCs/>
                <w:sz w:val="17"/>
              </w:rPr>
              <w:t xml:space="preserve">Destinataire</w:t>
            </w:r>
          </w:p>
        </w:tc>
        <w:tc>
          <w:tcPr>
            <w:tcW w:type="dxa" w:w="4395"/>
          </w:tcPr>
          <w:p>
            <w:pPr>
              <w:pStyle w:val="Compact"/>
              <w:spacing w:after="20"/>
            </w:pPr>
            <w:r>
              <w:rPr>
                <w:sz w:val="17"/>
              </w:rPr>
              <w:t xml:space="preserve">Reçoit le colis à l’arrivée. Suit l’envoi par un lien web et donne le code de réception.</w:t>
            </w:r>
          </w:p>
        </w:tc>
        <w:tc>
          <w:tcPr>
            <w:tcW w:type="dxa" w:w="1211"/>
          </w:tcPr>
          <w:p>
            <w:pPr>
              <w:pStyle w:val="Compact"/>
              <w:spacing w:after="20"/>
            </w:pPr>
            <w:r>
              <w:rPr>
                <w:sz w:val="17"/>
              </w:rPr>
              <w:t xml:space="preserve">Non (lien de suivi)</w:t>
            </w:r>
          </w:p>
        </w:tc>
        <w:tc>
          <w:tcPr>
            <w:tcW w:type="dxa" w:w="3052"/>
          </w:tcPr>
          <w:p>
            <w:pPr>
              <w:pStyle w:val="Compact"/>
              <w:spacing w:after="20"/>
            </w:pPr>
            <w:r>
              <w:rPr>
                <w:sz w:val="17"/>
              </w:rPr>
              <w:t xml:space="preserve">Téléphone (reçoit le texto)</w:t>
            </w:r>
          </w:p>
        </w:tc>
      </w:tr>
      <w:tr>
        <w:tc>
          <w:tcPr>
            <w:tcW w:type="dxa" w:w="1263"/>
          </w:tcPr>
          <w:p>
            <w:pPr>
              <w:pStyle w:val="Compact"/>
              <w:spacing w:after="20"/>
            </w:pPr>
            <w:r>
              <w:rPr>
                <w:b/>
                <w:bCs/>
                <w:sz w:val="17"/>
              </w:rPr>
              <w:t xml:space="preserve">Agent soutien / modération</w:t>
            </w:r>
            <w:r>
              <w:rPr>
                <w:sz w:val="17"/>
              </w:rPr>
              <w:t xml:space="preserve"> </w:t>
            </w:r>
            <w:r>
              <w:rPr>
                <w:sz w:val="17"/>
              </w:rPr>
              <w:t xml:space="preserve">(interne)</w:t>
            </w:r>
          </w:p>
        </w:tc>
        <w:tc>
          <w:tcPr>
            <w:tcW w:type="dxa" w:w="4395"/>
          </w:tcPr>
          <w:p>
            <w:pPr>
              <w:pStyle w:val="Compact"/>
              <w:spacing w:after="20"/>
            </w:pPr>
            <w:r>
              <w:rPr>
                <w:sz w:val="17"/>
              </w:rPr>
              <w:t xml:space="preserve">Traite les litiges, signalements, vérifications manuelles.</w:t>
            </w:r>
          </w:p>
        </w:tc>
        <w:tc>
          <w:tcPr>
            <w:tcW w:type="dxa" w:w="1211"/>
          </w:tcPr>
          <w:p>
            <w:pPr>
              <w:pStyle w:val="Compact"/>
              <w:spacing w:after="20"/>
            </w:pPr>
            <w:r>
              <w:rPr>
                <w:sz w:val="17"/>
              </w:rPr>
              <w:t xml:space="preserve">Outil interne</w:t>
            </w:r>
          </w:p>
        </w:tc>
        <w:tc>
          <w:tcPr>
            <w:tcW w:type="dxa" w:w="3052"/>
          </w:tcPr>
          <w:p>
            <w:pPr>
              <w:pStyle w:val="Compact"/>
              <w:spacing w:after="20"/>
            </w:pPr>
            <w:r>
              <w:rPr>
                <w:sz w:val="17"/>
              </w:rPr>
              <w:t xml:space="preserve">MFA obligatoire</w:t>
            </w:r>
          </w:p>
        </w:tc>
      </w:tr>
    </w:tbl>
    <w:p>
      <w:pPr>
        <w:pStyle w:val="BodyText"/>
      </w:pPr>
      <w:r>
        <w:t xml:space="preserve">Un même compte peut être expéditeur et voyageur. Le rôle n’est pas un réglage : il découle de l’action (« J’envoie un colis » / « Je voyage », écran 07). Le choix de rôle à l’inscription (écran 06) sert seulement à personnaliser l’accueil.</w:t>
      </w:r>
    </w:p>
    <w:bookmarkEnd w:id="16"/>
    <w:bookmarkStart w:id="17" w:name="principes-ux-rappel-de-la-charte"/>
    <w:p>
      <w:pPr>
        <w:pStyle w:val="Heading3"/>
      </w:pPr>
      <w:r>
        <w:t xml:space="preserve">1.2 Principes UX (rappel de la charte)</w:t>
      </w:r>
    </w:p>
    <w:p>
      <w:pPr>
        <w:pStyle w:val="Compact"/>
        <w:numPr>
          <w:ilvl w:val="0"/>
          <w:numId w:val="1004"/>
        </w:numPr>
      </w:pPr>
      <w:r>
        <w:rPr>
          <w:b/>
          <w:bCs/>
        </w:rPr>
        <w:t xml:space="preserve">Confiance visible au bon moment</w:t>
      </w:r>
      <w:r>
        <w:t xml:space="preserve"> </w:t>
      </w:r>
      <w:r>
        <w:t xml:space="preserve">: identité vérifiée, séquestre et preuves de remise sont rappelés à chaque décision (paiement, remise, acceptation).</w:t>
      </w:r>
    </w:p>
    <w:p>
      <w:pPr>
        <w:pStyle w:val="Compact"/>
        <w:numPr>
          <w:ilvl w:val="0"/>
          <w:numId w:val="1004"/>
        </w:numPr>
      </w:pPr>
      <w:r>
        <w:rPr>
          <w:b/>
          <w:bCs/>
        </w:rPr>
        <w:t xml:space="preserve">Une action principale par écran</w:t>
      </w:r>
      <w:r>
        <w:t xml:space="preserve">, en bas, pleine largeur, libellée par un verbe précis (« Payer 32,06 $ »).</w:t>
      </w:r>
    </w:p>
    <w:p>
      <w:pPr>
        <w:pStyle w:val="Compact"/>
        <w:numPr>
          <w:ilvl w:val="0"/>
          <w:numId w:val="1004"/>
        </w:numPr>
      </w:pPr>
      <w:r>
        <w:rPr>
          <w:b/>
          <w:bCs/>
        </w:rPr>
        <w:t xml:space="preserve">Prix tout inclus, détail avant paiement</w:t>
      </w:r>
      <w:r>
        <w:t xml:space="preserve"> </w:t>
      </w:r>
      <w:r>
        <w:t xml:space="preserve">(volet légal 2; volet technique 4.1) : le prix affiché dans les listes inclut tous les frais obligatoires; seules les taxes s’ajoutent.</w:t>
      </w:r>
    </w:p>
    <w:p>
      <w:pPr>
        <w:pStyle w:val="Compact"/>
        <w:numPr>
          <w:ilvl w:val="0"/>
          <w:numId w:val="1004"/>
        </w:numPr>
      </w:pPr>
      <w:r>
        <w:rPr>
          <w:b/>
          <w:bCs/>
        </w:rPr>
        <w:t xml:space="preserve">Jamais de données bancaires ni biométriques dans nos écrans</w:t>
      </w:r>
      <w:r>
        <w:t xml:space="preserve"> </w:t>
      </w:r>
      <w:r>
        <w:t xml:space="preserve">: Stripe Identity et Stripe Connect sont hébergés (SEC-10, SEC-11).</w:t>
      </w:r>
    </w:p>
    <w:p>
      <w:pPr>
        <w:pStyle w:val="Compact"/>
        <w:numPr>
          <w:ilvl w:val="0"/>
          <w:numId w:val="1004"/>
        </w:numPr>
      </w:pPr>
      <w:r>
        <w:rPr>
          <w:b/>
          <w:bCs/>
        </w:rPr>
        <w:t xml:space="preserve">Accessible par défaut</w:t>
      </w:r>
      <w:r>
        <w:t xml:space="preserve"> </w:t>
      </w:r>
      <w:r>
        <w:t xml:space="preserve">: WCAG 2.2 AA, cibles 44 pt, texte dynamique (section 6).</w:t>
      </w:r>
    </w:p>
    <w:bookmarkEnd w:id="17"/>
    <w:bookmarkEnd w:id="18"/>
    <w:bookmarkStart w:id="19" w:name="X532ef8d725bf15f5b4bde5be52453cd7309dea8"/>
    <w:p>
      <w:pPr>
        <w:pStyle w:val="Heading2"/>
      </w:pPr>
      <w:r>
        <w:t xml:space="preserve">2. Navigation et architecture de l’information</w:t>
      </w:r>
    </w:p>
    <w:p>
      <w:pPr>
        <w:pStyle w:val="Compact"/>
        <w:numPr>
          <w:ilvl w:val="0"/>
          <w:numId w:val="1005"/>
        </w:numPr>
      </w:pPr>
      <w:r>
        <w:rPr>
          <w:b/>
          <w:bCs/>
        </w:rPr>
        <w:t xml:space="preserve">Barre d’onglets</w:t>
      </w:r>
      <w:r>
        <w:t xml:space="preserve"> </w:t>
      </w:r>
      <w:r>
        <w:t xml:space="preserve">(5 onglets fixes) : Accueil · Envois · Voyages · Messages · Profil. L’onglet actif est indiqué par une pilule sarcelle claire, un libellé gras et</w:t>
      </w:r>
      <w:r>
        <w:t xml:space="preserve"> </w:t>
      </w:r>
      <w:r>
        <w:rPr>
          <w:rStyle w:val="VerbatimChar"/>
        </w:rPr>
        <w:t xml:space="preserve">accessibilityState.selected</w:t>
      </w:r>
      <w:r>
        <w:t xml:space="preserve">. Une pastille corail signale du non lu (Messages, Notifications).</w:t>
      </w:r>
    </w:p>
    <w:p>
      <w:pPr>
        <w:pStyle w:val="Compact"/>
        <w:numPr>
          <w:ilvl w:val="0"/>
          <w:numId w:val="1005"/>
        </w:numPr>
      </w:pPr>
      <w:r>
        <w:rPr>
          <w:b/>
          <w:bCs/>
        </w:rPr>
        <w:t xml:space="preserve">Piles de navigation</w:t>
      </w:r>
      <w:r>
        <w:t xml:space="preserve"> </w:t>
      </w:r>
      <w:r>
        <w:t xml:space="preserve">par onglet; les flux transactionnels (créer un envoi, paiement, remise, vérification) s’ouvrent en plein écran sans barre d’onglets, avec retour et un indicateur d’étape.</w:t>
      </w:r>
    </w:p>
    <w:p>
      <w:pPr>
        <w:pStyle w:val="Compact"/>
        <w:numPr>
          <w:ilvl w:val="0"/>
          <w:numId w:val="1005"/>
        </w:numPr>
      </w:pPr>
      <w:r>
        <w:rPr>
          <w:b/>
          <w:bCs/>
        </w:rPr>
        <w:t xml:space="preserve">Feuilles modales</w:t>
      </w:r>
      <w:r>
        <w:t xml:space="preserve"> </w:t>
      </w:r>
      <w:r>
        <w:t xml:space="preserve">(bottom sheets) pour les choix secondaires : filtres (38), assurance (40), tri. Fermeture par glissement, bouton « Fermer » et geste retour Android.</w:t>
      </w:r>
    </w:p>
    <w:p>
      <w:pPr>
        <w:pStyle w:val="Compact"/>
        <w:numPr>
          <w:ilvl w:val="0"/>
          <w:numId w:val="1005"/>
        </w:numPr>
      </w:pPr>
      <w:r>
        <w:rPr>
          <w:b/>
          <w:bCs/>
        </w:rPr>
        <w:t xml:space="preserve">Liens profonds</w:t>
      </w:r>
      <w:r>
        <w:t xml:space="preserve"> </w:t>
      </w:r>
      <w:r>
        <w:t xml:space="preserve">(SEC-23) :</w:t>
      </w:r>
      <w:r>
        <w:t xml:space="preserve"> </w:t>
      </w:r>
      <w:r>
        <w:rPr>
          <w:rStyle w:val="VerbatimChar"/>
        </w:rPr>
        <w:t xml:space="preserve">volis://envoi/{id}</w:t>
      </w:r>
      <w:r>
        <w:t xml:space="preserve">,</w:t>
      </w:r>
      <w:r>
        <w:t xml:space="preserve"> </w:t>
      </w:r>
      <w:r>
        <w:rPr>
          <w:rStyle w:val="VerbatimChar"/>
        </w:rPr>
        <w:t xml:space="preserve">volis://voyage/{id}</w:t>
      </w:r>
      <w:r>
        <w:t xml:space="preserve">,</w:t>
      </w:r>
      <w:r>
        <w:t xml:space="preserve"> </w:t>
      </w:r>
      <w:r>
        <w:rPr>
          <w:rStyle w:val="VerbatimChar"/>
        </w:rPr>
        <w:t xml:space="preserve">volis://remise/{id}</w:t>
      </w:r>
      <w:r>
        <w:t xml:space="preserve">, retour Stripe Identity et Stripe Connect par Universal Links / App Links. Le lien de suivi destinataire est une page web (</w:t>
      </w:r>
      <w:r>
        <w:rPr>
          <w:rStyle w:val="VerbatimChar"/>
        </w:rPr>
        <w:t xml:space="preserve">volis.app/s/{code}</w:t>
      </w:r>
      <w:r>
        <w:t xml:space="preserve">).</w:t>
      </w:r>
    </w:p>
    <w:bookmarkEnd w:id="19"/>
    <w:bookmarkStart w:id="27" w:name="parcours-et-histoires-utilisateur"/>
    <w:p>
      <w:pPr>
        <w:pStyle w:val="Heading2"/>
      </w:pPr>
      <w:r>
        <w:t xml:space="preserve">3. Parcours et histoires utilisateur</w:t>
      </w:r>
    </w:p>
    <w:p>
      <w:pPr>
        <w:pStyle w:val="FirstParagraph"/>
      </w:pPr>
      <w:r>
        <w:t xml:space="preserve">Format :</w:t>
      </w:r>
      <w:r>
        <w:t xml:space="preserve"> </w:t>
      </w:r>
      <w:r>
        <w:rPr>
          <w:b/>
          <w:bCs/>
        </w:rPr>
        <w:t xml:space="preserve">US-xx</w:t>
      </w:r>
      <w:r>
        <w:t xml:space="preserve"> </w:t>
      </w:r>
      <w:r>
        <w:t xml:space="preserve">« En tant que…, je veux…, afin de… » puis critères d’acceptation (CA) vérifiables. Les écrans sont cités par leur numéro.</w:t>
      </w:r>
    </w:p>
    <w:bookmarkStart w:id="20" w:name="X78914680f00740108f4f94915c096621abbecc8"/>
    <w:p>
      <w:pPr>
        <w:pStyle w:val="Heading3"/>
      </w:pPr>
      <w:r>
        <w:t xml:space="preserve">3.1 Parcours A — Accueil, inscription et connexion (écrans 01–06, 23–25)</w:t>
      </w:r>
    </w:p>
    <w:p>
      <w:pPr>
        <w:pStyle w:val="FirstParagraph"/>
      </w:pPr>
      <w:r>
        <w:rPr>
          <w:b/>
          <w:bCs/>
        </w:rPr>
        <w:t xml:space="preserve">US-01 — Découvrir le service.</w:t>
      </w:r>
      <w:r>
        <w:t xml:space="preserve"> </w:t>
      </w:r>
      <w:r>
        <w:t xml:space="preserve">En tant que visiteur, je veux comprendre en trois écrans comment fonctionne Volis afin de décider si je m’inscris.</w:t>
      </w:r>
      <w:r>
        <w:t xml:space="preserve"> </w:t>
      </w:r>
      <w:r>
        <w:t xml:space="preserve">- CA1 : le splash (01) dure au plus le temps de chargement (masqué dès que les polices et la session sont prêtes, max. 2 s).</w:t>
      </w:r>
      <w:r>
        <w:t xml:space="preserve"> </w:t>
      </w:r>
      <w:r>
        <w:t xml:space="preserve">- CA2 : 3 écrans d’onboarding (02–04), pagination annoncée (« 1 sur 3 »), lien « Passer » sur chacun, glissement et boutons.</w:t>
      </w:r>
      <w:r>
        <w:t xml:space="preserve"> </w:t>
      </w:r>
      <w:r>
        <w:t xml:space="preserve">- CA3 : l’onboarding ne s’affiche qu’au premier lancement.</w:t>
      </w:r>
    </w:p>
    <w:p>
      <w:pPr>
        <w:pStyle w:val="BodyText"/>
      </w:pPr>
      <w:r>
        <w:rPr>
          <w:b/>
          <w:bCs/>
        </w:rPr>
        <w:t xml:space="preserve">US-02 — Créer un compte.</w:t>
      </w:r>
      <w:r>
        <w:t xml:space="preserve"> </w:t>
      </w:r>
      <w:r>
        <w:t xml:space="preserve">En tant que nouvel utilisateur, je veux m’inscrire avec Apple, Google ou mon courriel afin de commencer rapidement.</w:t>
      </w:r>
      <w:r>
        <w:t xml:space="preserve"> </w:t>
      </w:r>
      <w:r>
        <w:t xml:space="preserve">- CA1 : « Continuer avec Apple » est proposé sur iOS à côté de Google : la règle Apple 4.8 exige une option de connexion équivalente qui protège la vie privée dès qu’une connexion tierce est offerte.</w:t>
      </w:r>
      <w:r>
        <w:t xml:space="preserve"> </w:t>
      </w:r>
      <w:r>
        <w:t xml:space="preserve">- CA2 : champs prénom, nom, courriel, téléphone (+1 par défaut, indicatif modifiable), mot de passe avec règles visibles, case des conditions non cochée par défaut (06).</w:t>
      </w:r>
      <w:r>
        <w:t xml:space="preserve"> </w:t>
      </w:r>
      <w:r>
        <w:t xml:space="preserve">- CA3 : le téléphone est validé par un code SMS à 6 chiffres (25) : remplissage automatique (</w:t>
      </w:r>
      <w:r>
        <w:rPr>
          <w:rStyle w:val="VerbatimChar"/>
        </w:rPr>
        <w:t xml:space="preserve">oneTimeCode</w:t>
      </w:r>
      <w:r>
        <w:t xml:space="preserve">), renvoi après 30 s, option d’appel vocal, 5 essais puis blocage temporaire (SEC-14).</w:t>
      </w:r>
      <w:r>
        <w:t xml:space="preserve"> </w:t>
      </w:r>
      <w:r>
        <w:t xml:space="preserve">- CA4 : la vérification d’identité n’est pas exigée à l’inscription; elle est demandée avant la 1re transaction (US-10).</w:t>
      </w:r>
    </w:p>
    <w:p>
      <w:pPr>
        <w:pStyle w:val="BodyText"/>
      </w:pPr>
      <w:r>
        <w:rPr>
          <w:b/>
          <w:bCs/>
        </w:rPr>
        <w:t xml:space="preserve">US-03 — Se connecter.</w:t>
      </w:r>
      <w:r>
        <w:t xml:space="preserve"> </w:t>
      </w:r>
      <w:r>
        <w:t xml:space="preserve">CA1 : connexion Apple, Google, clé d’accès (passkey) ou courriel + mot de passe (05). CA2 : flux PKCE via le navigateur système, aucune WebView (SEC-01). CA3 : message d’erreur générique (« Courriel ou mot de passe incorrect ») sans révéler l’existence du compte.</w:t>
      </w:r>
    </w:p>
    <w:p>
      <w:pPr>
        <w:pStyle w:val="BodyText"/>
      </w:pPr>
      <w:r>
        <w:rPr>
          <w:b/>
          <w:bCs/>
        </w:rPr>
        <w:t xml:space="preserve">US-04 — Récupérer mon mot de passe.</w:t>
      </w:r>
      <w:r>
        <w:t xml:space="preserve"> </w:t>
      </w:r>
      <w:r>
        <w:t xml:space="preserve">CA1 : saisie du courriel (23) puis écran de confirmation neutre (24) : « Si un compte existe, un lien vous a été envoyé ». CA2 : bouton « Ouvrir Courriel », renvoi possible après 60 s. CA3 : le lien expire (durée à décider) et ne contient aucun jeton réutilisable (SEC-23).</w:t>
      </w:r>
    </w:p>
    <w:bookmarkEnd w:id="20"/>
    <w:bookmarkStart w:id="21" w:name="X07305a44827c6916c51b153c3330734c1c5a354"/>
    <w:p>
      <w:pPr>
        <w:pStyle w:val="Heading3"/>
      </w:pPr>
      <w:r>
        <w:t xml:space="preserve">3.2 Parcours B — Vérification d’identité (écrans 17–22)</w:t>
      </w:r>
    </w:p>
    <w:p>
      <w:pPr>
        <w:pStyle w:val="FirstParagraph"/>
      </w:pPr>
      <w:r>
        <w:rPr>
          <w:b/>
          <w:bCs/>
        </w:rPr>
        <w:t xml:space="preserve">US-10 — Vérifier mon identité.</w:t>
      </w:r>
      <w:r>
        <w:t xml:space="preserve"> </w:t>
      </w:r>
      <w:r>
        <w:t xml:space="preserve">En tant qu’utilisateur, je veux faire vérifier mon identité afin d’envoyer ou de transporter un colis.</w:t>
      </w:r>
      <w:r>
        <w:t xml:space="preserve"> </w:t>
      </w:r>
      <w:r>
        <w:t xml:space="preserve">- CA1 : l’intro (17) explique les 3 étapes et la durée (~2 min) avant tout traitement.</w:t>
      </w:r>
      <w:r>
        <w:t xml:space="preserve"> </w:t>
      </w:r>
      <w:r>
        <w:t xml:space="preserve">- CA2 :</w:t>
      </w:r>
      <w:r>
        <w:t xml:space="preserve"> </w:t>
      </w:r>
      <w:r>
        <w:rPr>
          <w:b/>
          <w:bCs/>
        </w:rPr>
        <w:t xml:space="preserve">consentement exprès et distinct</w:t>
      </w:r>
      <w:r>
        <w:t xml:space="preserve"> </w:t>
      </w:r>
      <w:r>
        <w:t xml:space="preserve">à la biométrie (18) : quoi, pourquoi, qui (Stripe), où (hors Québec, le cas échéant), durée (gabarit supprimé après la vérification), droits; case non cochée par défaut; bouton désactivé tant qu’elle ne l’est pas; alternative « vérification manuelle sans biométrie » toujours offerte (Loi 25; SEC-10). Le consentement est horodaté avec la version du texte (table</w:t>
      </w:r>
      <w:r>
        <w:t xml:space="preserve"> </w:t>
      </w:r>
      <w:r>
        <w:rPr>
          <w:rStyle w:val="VerbatimChar"/>
        </w:rPr>
        <w:t xml:space="preserve">consents</w:t>
      </w:r>
      <w:r>
        <w:t xml:space="preserve">).</w:t>
      </w:r>
      <w:r>
        <w:t xml:space="preserve"> </w:t>
      </w:r>
      <w:r>
        <w:t xml:space="preserve">- CA3 : la capture se fait sur la page hébergée Stripe Identity (19), présentée comme une page externe (barre d’adresse visible).</w:t>
      </w:r>
      <w:r>
        <w:t xml:space="preserve"> </w:t>
      </w:r>
      <w:r>
        <w:t xml:space="preserve">- CA4 : trois résultats :</w:t>
      </w:r>
      <w:r>
        <w:t xml:space="preserve"> </w:t>
      </w:r>
      <w:r>
        <w:rPr>
          <w:b/>
          <w:bCs/>
        </w:rPr>
        <w:t xml:space="preserve">Vérifiée</w:t>
      </w:r>
      <w:r>
        <w:t xml:space="preserve"> </w:t>
      </w:r>
      <w:r>
        <w:t xml:space="preserve">(20),</w:t>
      </w:r>
      <w:r>
        <w:t xml:space="preserve"> </w:t>
      </w:r>
      <w:r>
        <w:rPr>
          <w:b/>
          <w:bCs/>
        </w:rPr>
        <w:t xml:space="preserve">En cours d’examen</w:t>
      </w:r>
      <w:r>
        <w:t xml:space="preserve"> </w:t>
      </w:r>
      <w:r>
        <w:t xml:space="preserve">(21, notification à la fin),</w:t>
      </w:r>
      <w:r>
        <w:t xml:space="preserve"> </w:t>
      </w:r>
      <w:r>
        <w:rPr>
          <w:b/>
          <w:bCs/>
        </w:rPr>
        <w:t xml:space="preserve">Échec</w:t>
      </w:r>
      <w:r>
        <w:t xml:space="preserve"> </w:t>
      </w:r>
      <w:r>
        <w:t xml:space="preserve">(22, raison lisible issue de</w:t>
      </w:r>
      <w:r>
        <w:t xml:space="preserve"> </w:t>
      </w:r>
      <w:r>
        <w:rPr>
          <w:rStyle w:val="VerbatimChar"/>
        </w:rPr>
        <w:t xml:space="preserve">last_error.reason</w:t>
      </w:r>
      <w:r>
        <w:t xml:space="preserve">, conseils, nombre d’essais restants, voie manuelle).</w:t>
      </w:r>
      <w:r>
        <w:t xml:space="preserve"> </w:t>
      </w:r>
      <w:r>
        <w:t xml:space="preserve">- CA5 : Volis ne stocke que</w:t>
      </w:r>
      <w:r>
        <w:t xml:space="preserve"> </w:t>
      </w:r>
      <w:r>
        <w:rPr>
          <w:rStyle w:val="VerbatimChar"/>
        </w:rPr>
        <w:t xml:space="preserve">identity_status</w:t>
      </w:r>
      <w:r>
        <w:t xml:space="preserve"> </w:t>
      </w:r>
      <w:r>
        <w:t xml:space="preserve">et l’ID de session; la session est effacée (redact) dès la vérification (SEC-10, tableau 3.1).</w:t>
      </w:r>
    </w:p>
    <w:bookmarkEnd w:id="21"/>
    <w:bookmarkStart w:id="22" w:name="X3ae6dd982c49020a7a7c240e893edf71c5fac56"/>
    <w:p>
      <w:pPr>
        <w:pStyle w:val="Heading3"/>
      </w:pPr>
      <w:r>
        <w:t xml:space="preserve">3.3 Parcours C — Recherche et réservation (écrans 07–11, 36, 38–40)</w:t>
      </w:r>
    </w:p>
    <w:p>
      <w:pPr>
        <w:pStyle w:val="FirstParagraph"/>
      </w:pPr>
      <w:r>
        <w:rPr>
          <w:b/>
          <w:bCs/>
        </w:rPr>
        <w:t xml:space="preserve">US-20 — Chercher un voyageur.</w:t>
      </w:r>
      <w:r>
        <w:t xml:space="preserve"> </w:t>
      </w:r>
      <w:r>
        <w:t xml:space="preserve">En tant qu’expéditeur, je veux trouver un voyageur pour mon trajet afin d’envoyer mon colis.</w:t>
      </w:r>
      <w:r>
        <w:t xml:space="preserve"> </w:t>
      </w:r>
      <w:r>
        <w:t xml:space="preserve">- CA1 : recherche De / À (aéroport ou ville), date (exacte ou flexible), poids (07).</w:t>
      </w:r>
      <w:r>
        <w:t xml:space="preserve"> </w:t>
      </w:r>
      <w:r>
        <w:t xml:space="preserve">- CA2 : résultats (08) en cartes : nom abrégé (prénom + initiale), note et nombre d’avis, badges de vérification, date, kg disponibles,</w:t>
      </w:r>
      <w:r>
        <w:t xml:space="preserve"> </w:t>
      </w:r>
      <w:r>
        <w:rPr>
          <w:b/>
          <w:bCs/>
        </w:rPr>
        <w:t xml:space="preserve">prix total pour le poids saisi, frais inclus</w:t>
      </w:r>
      <w:r>
        <w:t xml:space="preserve"> </w:t>
      </w:r>
      <w:r>
        <w:t xml:space="preserve">(taxes en sus).</w:t>
      </w:r>
      <w:r>
        <w:t xml:space="preserve"> </w:t>
      </w:r>
      <w:r>
        <w:t xml:space="preserve">- CA3 : tri (recommandés, prix, date, note) et filtres en feuille (38) : dates ± 3/7 j, prix max, « ID vérifiée seulement », « Vol confirmé », note minimale; le bouton affiche le nombre de résultats (« Afficher 8 voyageurs »).</w:t>
      </w:r>
      <w:r>
        <w:t xml:space="preserve"> </w:t>
      </w:r>
      <w:r>
        <w:t xml:space="preserve">- CA4 : vue carte (39) : épingles par point de remise proposé (jamais l’adresse du voyageur), carte du voyageur sélectionné.</w:t>
      </w:r>
      <w:r>
        <w:t xml:space="preserve"> </w:t>
      </w:r>
      <w:r>
        <w:t xml:space="preserve">- CA5 :</w:t>
      </w:r>
      <w:r>
        <w:t xml:space="preserve"> </w:t>
      </w:r>
      <w:r>
        <w:rPr>
          <w:b/>
          <w:bCs/>
        </w:rPr>
        <w:t xml:space="preserve">aucun résultat</w:t>
      </w:r>
      <w:r>
        <w:t xml:space="preserve"> </w:t>
      </w:r>
      <w:r>
        <w:t xml:space="preserve">(36) : explication, « Créer une alerte » (dates flexibles, destinations proches), suggestion d’élargir.</w:t>
      </w:r>
    </w:p>
    <w:p>
      <w:pPr>
        <w:pStyle w:val="BodyText"/>
      </w:pPr>
      <w:r>
        <w:rPr>
          <w:b/>
          <w:bCs/>
        </w:rPr>
        <w:t xml:space="preserve">US-21 — Évaluer un voyageur.</w:t>
      </w:r>
      <w:r>
        <w:t xml:space="preserve"> </w:t>
      </w:r>
      <w:r>
        <w:t xml:space="preserve">CA1 : profil (09) : vérifications par niveau (courriel, téléphone, identité, vol), statistiques (livraisons, ponctualité, délai de réponse), avis récents. CA2 : numéro de vol et heure précise</w:t>
      </w:r>
      <w:r>
        <w:t xml:space="preserve"> </w:t>
      </w:r>
      <w:r>
        <w:rPr>
          <w:b/>
          <w:bCs/>
        </w:rPr>
        <w:t xml:space="preserve">masqués</w:t>
      </w:r>
      <w:r>
        <w:t xml:space="preserve"> </w:t>
      </w:r>
      <w:r>
        <w:t xml:space="preserve">jusqu’à l’acceptation. CA3 : boutons « Signaler » et « Bloquer » accessibles depuis le menu.</w:t>
      </w:r>
    </w:p>
    <w:p>
      <w:pPr>
        <w:pStyle w:val="BodyText"/>
      </w:pPr>
      <w:r>
        <w:rPr>
          <w:b/>
          <w:bCs/>
        </w:rPr>
        <w:t xml:space="preserve">US-22 — Décrire mon colis.</w:t>
      </w:r>
      <w:r>
        <w:t xml:space="preserve"> </w:t>
      </w:r>
      <w:r>
        <w:t xml:space="preserve">En tant qu’expéditeur, je veux déclarer le contenu, le poids et la valeur de mon colis afin d’obtenir un prix et d’être couvert.</w:t>
      </w:r>
      <w:r>
        <w:t xml:space="preserve"> </w:t>
      </w:r>
      <w:r>
        <w:t xml:space="preserve">- CA1 : formulaire en 4 étapes (Trajet, Colis, Voyageur, Paiement) avec indicateur (10).</w:t>
      </w:r>
      <w:r>
        <w:t xml:space="preserve"> </w:t>
      </w:r>
      <w:r>
        <w:t xml:space="preserve">- CA2 : 1 à 4 photos (ouvert puis fermé), poids, dimensions, catégorie de contenu,</w:t>
      </w:r>
      <w:r>
        <w:t xml:space="preserve"> </w:t>
      </w:r>
      <w:r>
        <w:rPr>
          <w:b/>
          <w:bCs/>
        </w:rPr>
        <w:t xml:space="preserve">valeur déclarée</w:t>
      </w:r>
      <w:r>
        <w:t xml:space="preserve"> </w:t>
      </w:r>
      <w:r>
        <w:t xml:space="preserve">avec plafond affiché près du champ (« sert de plafond d’indemnisation », volet légal 4).</w:t>
      </w:r>
      <w:r>
        <w:t xml:space="preserve"> </w:t>
      </w:r>
      <w:r>
        <w:t xml:space="preserve">- CA3 : rappel des objets interdits avec lien vers la liste complète (45); contrôle à la saisie</w:t>
      </w:r>
      <w:r>
        <w:t xml:space="preserve"> </w:t>
      </w:r>
      <w:r>
        <w:rPr>
          <w:b/>
          <w:bCs/>
        </w:rPr>
        <w:t xml:space="preserve">et</w:t>
      </w:r>
      <w:r>
        <w:t xml:space="preserve"> </w:t>
      </w:r>
      <w:r>
        <w:t xml:space="preserve">côté serveur.</w:t>
      </w:r>
      <w:r>
        <w:t xml:space="preserve"> </w:t>
      </w:r>
      <w:r>
        <w:t xml:space="preserve">- CA4 : attestation du contenu obligatoire, horodatée (table</w:t>
      </w:r>
      <w:r>
        <w:t xml:space="preserve"> </w:t>
      </w:r>
      <w:r>
        <w:rPr>
          <w:rStyle w:val="VerbatimChar"/>
        </w:rPr>
        <w:t xml:space="preserve">parcels</w:t>
      </w:r>
      <w:r>
        <w:t xml:space="preserve">).</w:t>
      </w:r>
    </w:p>
    <w:p>
      <w:pPr>
        <w:pStyle w:val="BodyText"/>
      </w:pPr>
      <w:r>
        <w:rPr>
          <w:b/>
          <w:bCs/>
        </w:rPr>
        <w:t xml:space="preserve">US-23 — Payer en séquestre.</w:t>
      </w:r>
      <w:r>
        <w:t xml:space="preserve"> </w:t>
      </w:r>
      <w:r>
        <w:t xml:space="preserve">En tant qu’expéditeur, je veux payer en sachant que l’argent est retenu jusqu’à la livraison afin de ne pas prendre de risque.</w:t>
      </w:r>
      <w:r>
        <w:t xml:space="preserve"> </w:t>
      </w:r>
      <w:r>
        <w:t xml:space="preserve">- CA1 : écran de paiement (11) avec résumé,</w:t>
      </w:r>
      <w:r>
        <w:t xml:space="preserve"> </w:t>
      </w:r>
      <w:r>
        <w:rPr>
          <w:b/>
          <w:bCs/>
        </w:rPr>
        <w:t xml:space="preserve">détail figé par le serveur</w:t>
      </w:r>
      <w:r>
        <w:t xml:space="preserve"> </w:t>
      </w:r>
      <w:r>
        <w:t xml:space="preserve">: transport, frais de service Volis, assurance (si choisie), taxes, total (volet technique 4.1).</w:t>
      </w:r>
      <w:r>
        <w:t xml:space="preserve"> </w:t>
      </w:r>
      <w:r>
        <w:t xml:space="preserve">- CA2 : l’assurance est une</w:t>
      </w:r>
      <w:r>
        <w:t xml:space="preserve"> </w:t>
      </w:r>
      <w:r>
        <w:rPr>
          <w:b/>
          <w:bCs/>
        </w:rPr>
        <w:t xml:space="preserve">option distincte, non cochée par défaut</w:t>
      </w:r>
      <w:r>
        <w:t xml:space="preserve">, avec prix à part, couverture, plafond, exclusions et divulgation de la rémunération reçue de l’assureur (40; volet légal 4). Si l’option A (« recommandation ») est retenue, la feuille 40 devient une redirection vers l’assureur et l’assurance disparaît du total Volis.</w:t>
      </w:r>
      <w:r>
        <w:t xml:space="preserve"> </w:t>
      </w:r>
      <w:r>
        <w:t xml:space="preserve">- CA3 : Apple Pay / Google Pay / carte via PaymentSheet (aucun champ de carte maison, SEC-11).</w:t>
      </w:r>
      <w:r>
        <w:t xml:space="preserve"> </w:t>
      </w:r>
      <w:r>
        <w:t xml:space="preserve">- CA4 : le statut « Payé / retenu » n’apparaît qu’à la réception du webhook (</w:t>
      </w:r>
      <w:r>
        <w:rPr>
          <w:rStyle w:val="VerbatimChar"/>
        </w:rPr>
        <w:t xml:space="preserve">payment_intent.succeeded</w:t>
      </w:r>
      <w:r>
        <w:t xml:space="preserve">); entre-temps : « Paiement en cours de confirmation ».</w:t>
      </w:r>
      <w:r>
        <w:t xml:space="preserve"> </w:t>
      </w:r>
      <w:r>
        <w:t xml:space="preserve">- CA5 : échec de paiement : message de la banque traduit, CTA « Réessayer » ou « Changer de moyen de paiement »; la réservation reste « Réservée ».</w:t>
      </w:r>
    </w:p>
    <w:bookmarkEnd w:id="22"/>
    <w:bookmarkStart w:id="23" w:name="Xba8f8415fe76d4161e6ca2537259aecfd1e6e52"/>
    <w:p>
      <w:pPr>
        <w:pStyle w:val="Heading3"/>
      </w:pPr>
      <w:r>
        <w:t xml:space="preserve">3.4 Parcours D — Demande, remise et suivi (écrans 12–14, 26–30, 33, 37, 43, 50)</w:t>
      </w:r>
    </w:p>
    <w:p>
      <w:pPr>
        <w:pStyle w:val="FirstParagraph"/>
      </w:pPr>
      <w:r>
        <w:rPr>
          <w:b/>
          <w:bCs/>
        </w:rPr>
        <w:t xml:space="preserve">US-30 — Envoyer une demande.</w:t>
      </w:r>
      <w:r>
        <w:t xml:space="preserve"> </w:t>
      </w:r>
      <w:r>
        <w:t xml:space="preserve">CA1 : la demande expire si le voyageur ne répond pas (délai visible, ex. 24 h) (27). CA2 : rien n’est débité tant que la demande n’est pas acceptée (pré-autorisation affichée). CA3 : en cas de refus (29), le motif est affiché s’il est fourni, sans frais, avec d’autres voyageurs pour le même trajet.</w:t>
      </w:r>
    </w:p>
    <w:p>
      <w:pPr>
        <w:pStyle w:val="BodyText"/>
      </w:pPr>
      <w:r>
        <w:rPr>
          <w:b/>
          <w:bCs/>
        </w:rPr>
        <w:t xml:space="preserve">US-31 — Répondre à une demande (voyageur).</w:t>
      </w:r>
      <w:r>
        <w:t xml:space="preserve"> </w:t>
      </w:r>
      <w:r>
        <w:t xml:space="preserve">CA1 : détail (26) : expéditeur vérifié, contenu et photos, poids, gain net, capacité restante, délai pour répondre. CA2 : « Refuser » demande un motif facultatif (liste). CA3 : « Accepter » est désactivé si la capacité est dépassée.</w:t>
      </w:r>
    </w:p>
    <w:p>
      <w:pPr>
        <w:pStyle w:val="BodyText"/>
      </w:pPr>
      <w:r>
        <w:rPr>
          <w:b/>
          <w:bCs/>
        </w:rPr>
        <w:t xml:space="preserve">US-32 — Ajouter le destinataire.</w:t>
      </w:r>
      <w:r>
        <w:t xml:space="preserve"> </w:t>
      </w:r>
      <w:r>
        <w:t xml:space="preserve">CA1 : nom, téléphone international, ville (43). CA2 : lien de suivi généré et partageable; texto envoyé au destinataire avec son accord. CA3 : la page de suivi ne montre ni le nom complet ni le téléphone du voyageur.</w:t>
      </w:r>
    </w:p>
    <w:p>
      <w:pPr>
        <w:pStyle w:val="BodyText"/>
      </w:pPr>
      <w:r>
        <w:rPr>
          <w:b/>
          <w:bCs/>
        </w:rPr>
        <w:t xml:space="preserve">US-33 — Discuter en sécurité.</w:t>
      </w:r>
      <w:r>
        <w:t xml:space="preserve"> </w:t>
      </w:r>
      <w:r>
        <w:t xml:space="preserve">CA1 : messagerie par réservation (14), bannière « Ne payez jamais en dehors de l’appli ». CA2 : numéros de téléphone et courriels détectés et masqués; liens externes signalés. CA3 : signaler un message → masqué en attente de modération (SEC-16). CA4 : carte « Remise proposée » (lieu public, date, heure) acceptable en un geste.</w:t>
      </w:r>
    </w:p>
    <w:p>
      <w:pPr>
        <w:pStyle w:val="BodyText"/>
      </w:pPr>
      <w:r>
        <w:rPr>
          <w:b/>
          <w:bCs/>
        </w:rPr>
        <w:t xml:space="preserve">US-34 — Remettre le colis au voyageur.</w:t>
      </w:r>
      <w:r>
        <w:t xml:space="preserve"> </w:t>
      </w:r>
      <w:r>
        <w:t xml:space="preserve">En tant qu’expéditeur et voyageur, nous voulons une preuve de remise afin d’éviter tout litige.</w:t>
      </w:r>
      <w:r>
        <w:t xml:space="preserve"> </w:t>
      </w:r>
      <w:r>
        <w:t xml:space="preserve">- CA1 : le voyageur doit d’abord remplir l’</w:t>
      </w:r>
      <w:r>
        <w:rPr>
          <w:b/>
          <w:bCs/>
        </w:rPr>
        <w:t xml:space="preserve">attestation douane renforcée</w:t>
      </w:r>
      <w:r>
        <w:t xml:space="preserve"> </w:t>
      </w:r>
      <w:r>
        <w:t xml:space="preserve">(49) : contenu vu ouvert, conforme, sans objet interdit; il peut refuser sans pénalité.</w:t>
      </w:r>
      <w:r>
        <w:t xml:space="preserve"> </w:t>
      </w:r>
      <w:r>
        <w:t xml:space="preserve">- CA2 : l’expéditeur affiche un QR et un code à 4 chiffres (13); le voyageur scanne ou saisit le code; photo du colis scellé; les deux confirment.</w:t>
      </w:r>
      <w:r>
        <w:t xml:space="preserve"> </w:t>
      </w:r>
      <w:r>
        <w:t xml:space="preserve">- CA3 :</w:t>
      </w:r>
      <w:r>
        <w:t xml:space="preserve"> </w:t>
      </w:r>
      <w:r>
        <w:rPr>
          <w:b/>
          <w:bCs/>
        </w:rPr>
        <w:t xml:space="preserve">mode hors ligne</w:t>
      </w:r>
      <w:r>
        <w:t xml:space="preserve"> </w:t>
      </w:r>
      <w:r>
        <w:t xml:space="preserve">(37) : le code signé est stocké sur l’appareil, la remise est horodatée localement puis synchronisée.</w:t>
      </w:r>
      <w:r>
        <w:t xml:space="preserve"> </w:t>
      </w:r>
      <w:r>
        <w:t xml:space="preserve">- CA4 : transition « Payée / retenue » → « Remise au voyageur » seulement après confirmation des deux parties (volet technique 2.5).</w:t>
      </w:r>
    </w:p>
    <w:p>
      <w:pPr>
        <w:pStyle w:val="BodyText"/>
      </w:pPr>
      <w:r>
        <w:rPr>
          <w:b/>
          <w:bCs/>
        </w:rPr>
        <w:t xml:space="preserve">US-35 — Suivre mon colis.</w:t>
      </w:r>
      <w:r>
        <w:t xml:space="preserve"> </w:t>
      </w:r>
      <w:r>
        <w:t xml:space="preserve">CA1 : frise (12) : Accepté → Paiement sécurisé → Remis au voyageur → Embarqué → Atterri → Remis au destinataire → Fonds libérés; étape en cours mise en avant. CA2 : statut du vol (à l’heure, retardé, annulé). CA3 :</w:t>
      </w:r>
      <w:r>
        <w:t xml:space="preserve"> </w:t>
      </w:r>
      <w:r>
        <w:rPr>
          <w:b/>
          <w:bCs/>
        </w:rPr>
        <w:t xml:space="preserve">Live Activity iOS / notification persistante Android</w:t>
      </w:r>
      <w:r>
        <w:t xml:space="preserve"> </w:t>
      </w:r>
      <w:r>
        <w:t xml:space="preserve">(50) pendant le vol : trajet, progression, heure d’arrivée; désactivable.</w:t>
      </w:r>
    </w:p>
    <w:p>
      <w:pPr>
        <w:pStyle w:val="BodyText"/>
      </w:pPr>
      <w:r>
        <w:rPr>
          <w:b/>
          <w:bCs/>
        </w:rPr>
        <w:t xml:space="preserve">US-36 — Confirmer la livraison et noter.</w:t>
      </w:r>
      <w:r>
        <w:t xml:space="preserve"> </w:t>
      </w:r>
      <w:r>
        <w:t xml:space="preserve">CA1 : le destinataire donne son code ou le voyageur prend une photo; l’expéditeur est notifié (33). CA2 : avis</w:t>
      </w:r>
      <w:r>
        <w:t xml:space="preserve"> </w:t>
      </w:r>
      <w:r>
        <w:rPr>
          <w:b/>
          <w:bCs/>
        </w:rPr>
        <w:t xml:space="preserve">en double aveugle</w:t>
      </w:r>
      <w:r>
        <w:t xml:space="preserve"> </w:t>
      </w:r>
      <w:r>
        <w:t xml:space="preserve">: chacun voit l’avis de l’autre seulement après avoir publié le sien ou après 14 jours. CA3 : note obligatoire, commentaire facultatif, qualités en puces. CA4 : « Signaler un problème » reste accessible pendant le délai de contestation.</w:t>
      </w:r>
    </w:p>
    <w:p>
      <w:pPr>
        <w:pStyle w:val="BodyText"/>
      </w:pPr>
      <w:r>
        <w:rPr>
          <w:b/>
          <w:bCs/>
        </w:rPr>
        <w:t xml:space="preserve">US-37 — Voir mes envois.</w:t>
      </w:r>
      <w:r>
        <w:t xml:space="preserve"> </w:t>
      </w:r>
      <w:r>
        <w:t xml:space="preserve">CA1 : liste (30) avec onglets « En cours » / « Terminés », statut en badge texte + couleur, progression. CA2 : brouillons reprenables.</w:t>
      </w:r>
    </w:p>
    <w:bookmarkEnd w:id="23"/>
    <w:bookmarkStart w:id="24" w:name="X45f2e767d86e73f599e33b267a6129a6ed9f280"/>
    <w:p>
      <w:pPr>
        <w:pStyle w:val="Heading3"/>
      </w:pPr>
      <w:r>
        <w:t xml:space="preserve">3.5 Parcours E — Côté voyageur (écrans 15, 26, 31, 49)</w:t>
      </w:r>
    </w:p>
    <w:p>
      <w:pPr>
        <w:pStyle w:val="FirstParagraph"/>
      </w:pPr>
      <w:r>
        <w:rPr>
          <w:b/>
          <w:bCs/>
        </w:rPr>
        <w:t xml:space="preserve">US-40 — Publier un voyage.</w:t>
      </w:r>
      <w:r>
        <w:t xml:space="preserve"> </w:t>
      </w:r>
      <w:r>
        <w:t xml:space="preserve">CA1 : trajet, date, vol (numéro facultatif, billet joint en privé pour le badge « Vol confirmé »), capacité en kg, catégories acceptées, prix par kg avec suggestion (15). CA2 : le billet n’est jamais visible par les expéditeurs. CA3 : publication modifiable tant qu’aucune demande n’est acceptée.</w:t>
      </w:r>
    </w:p>
    <w:p>
      <w:pPr>
        <w:pStyle w:val="BodyText"/>
      </w:pPr>
      <w:r>
        <w:rPr>
          <w:b/>
          <w:bCs/>
        </w:rPr>
        <w:t xml:space="preserve">US-41 — Gérer mes voyages.</w:t>
      </w:r>
      <w:r>
        <w:t xml:space="preserve"> </w:t>
      </w:r>
      <w:r>
        <w:t xml:space="preserve">CA1 : liste (31) : capacité acceptée / en attente / libre, demandes à traiter, gain prévu. CA2 : annuler un voyage avec demandes acceptées déclenche le parcours de réattribution pour chaque expéditeur (US-50).</w:t>
      </w:r>
    </w:p>
    <w:bookmarkEnd w:id="24"/>
    <w:bookmarkStart w:id="25" w:name="X43ee6444a7951c7ed75d4a9b3bca489530fd1bb"/>
    <w:p>
      <w:pPr>
        <w:pStyle w:val="Heading3"/>
      </w:pPr>
      <w:r>
        <w:t xml:space="preserve">3.6 Parcours F — Imprévus, litiges et aide (écrans 34, 35, 44, 45)</w:t>
      </w:r>
    </w:p>
    <w:p>
      <w:pPr>
        <w:pStyle w:val="FirstParagraph"/>
      </w:pPr>
      <w:r>
        <w:rPr>
          <w:b/>
          <w:bCs/>
        </w:rPr>
        <w:t xml:space="preserve">US-50 — Vol retardé ou annulé.</w:t>
      </w:r>
      <w:r>
        <w:t xml:space="preserve"> </w:t>
      </w:r>
      <w:r>
        <w:t xml:space="preserve">En tant qu’expéditeur, je veux savoir quoi faire si le vol est annulé afin de ne pas perdre mon argent.</w:t>
      </w:r>
      <w:r>
        <w:t xml:space="preserve"> </w:t>
      </w:r>
      <w:r>
        <w:t xml:space="preserve">- CA1 : notification immédiate; écran (34) avec le vol annulé, rappel « Votre argent est protégé ».</w:t>
      </w:r>
      <w:r>
        <w:t xml:space="preserve"> </w:t>
      </w:r>
      <w:r>
        <w:t xml:space="preserve">- CA2 : trois choix : réattribuer à un autre voyageur (prix égal ou inférieur), garder le voyageur sur son nouveau vol, remboursement total.</w:t>
      </w:r>
      <w:r>
        <w:t xml:space="preserve"> </w:t>
      </w:r>
      <w:r>
        <w:t xml:space="preserve">- CA3 : un simple retard ne demande aucune action; on avertit à chaque changement.</w:t>
      </w:r>
      <w:r>
        <w:t xml:space="preserve"> </w:t>
      </w:r>
      <w:r>
        <w:t xml:space="preserve">- CA4 : sans choix de l’expéditeur dans un délai (à décider), remboursement automatique.</w:t>
      </w:r>
    </w:p>
    <w:p>
      <w:pPr>
        <w:pStyle w:val="BodyText"/>
      </w:pPr>
      <w:r>
        <w:rPr>
          <w:b/>
          <w:bCs/>
        </w:rPr>
        <w:t xml:space="preserve">US-51 — Ouvrir un litige.</w:t>
      </w:r>
      <w:r>
        <w:t xml:space="preserve"> </w:t>
      </w:r>
      <w:r>
        <w:t xml:space="preserve">CA1 : motif (endommagé, manquant, non livré, autre), description, photos de l’utilisateur +</w:t>
      </w:r>
      <w:r>
        <w:t xml:space="preserve"> </w:t>
      </w:r>
      <w:r>
        <w:rPr>
          <w:b/>
          <w:bCs/>
        </w:rPr>
        <w:t xml:space="preserve">preuves automatiques</w:t>
      </w:r>
      <w:r>
        <w:t xml:space="preserve"> </w:t>
      </w:r>
      <w:r>
        <w:t xml:space="preserve">(photos de remise horodatées) (35). CA2 : indemnisation possible affichée : protection de base (sans assurance) ou couverture de l’assurance, plafonnée à la valeur déclarée. CA3 : délai de signalement et délai de réponse affichés; transfert au voyageur gelé pendant l’examen (</w:t>
      </w:r>
      <w:r>
        <w:rPr>
          <w:rStyle w:val="VerbatimChar"/>
        </w:rPr>
        <w:t xml:space="preserve">legal_holds</w:t>
      </w:r>
      <w:r>
        <w:t xml:space="preserve">, SEC-25). CA4 : la décision est notifiée avec explication et recours.</w:t>
      </w:r>
    </w:p>
    <w:p>
      <w:pPr>
        <w:pStyle w:val="BodyText"/>
      </w:pPr>
      <w:r>
        <w:rPr>
          <w:b/>
          <w:bCs/>
        </w:rPr>
        <w:t xml:space="preserve">US-52 — Trouver de l’aide.</w:t>
      </w:r>
      <w:r>
        <w:t xml:space="preserve"> </w:t>
      </w:r>
      <w:r>
        <w:t xml:space="preserve">CA1 : centre d’aide (44) avec recherche, catégories, FAQ, contact soutien (délai moyen affiché) et</w:t>
      </w:r>
      <w:r>
        <w:t xml:space="preserve"> </w:t>
      </w:r>
      <w:r>
        <w:rPr>
          <w:b/>
          <w:bCs/>
        </w:rPr>
        <w:t xml:space="preserve">urgence sécurité</w:t>
      </w:r>
      <w:r>
        <w:t xml:space="preserve"> </w:t>
      </w:r>
      <w:r>
        <w:t xml:space="preserve">distincte. CA2 : liste des objets interdits et sous conditions (45), aussi accessible depuis la création d’envoi et l’attestation douane.</w:t>
      </w:r>
    </w:p>
    <w:bookmarkEnd w:id="25"/>
    <w:bookmarkStart w:id="26" w:name="X91413dc15ab8b27151976b40124f5f60fbb9c0a"/>
    <w:p>
      <w:pPr>
        <w:pStyle w:val="Heading3"/>
      </w:pPr>
      <w:r>
        <w:t xml:space="preserve">3.7 Parcours G — Profil, argent et réglages (écrans 16, 32, 41, 42, 46–48)</w:t>
      </w:r>
    </w:p>
    <w:p>
      <w:pPr>
        <w:pStyle w:val="FirstParagraph"/>
      </w:pPr>
      <w:r>
        <w:rPr>
          <w:b/>
          <w:bCs/>
        </w:rPr>
        <w:t xml:space="preserve">US-60 — Recevoir mes gains.</w:t>
      </w:r>
      <w:r>
        <w:t xml:space="preserve"> </w:t>
      </w:r>
      <w:r>
        <w:t xml:space="preserve">En tant que voyageur, je veux retirer mon argent afin d’être payé pour mes trajets.</w:t>
      </w:r>
      <w:r>
        <w:t xml:space="preserve"> </w:t>
      </w:r>
      <w:r>
        <w:t xml:space="preserve">- CA1 : première fois : configuration via</w:t>
      </w:r>
      <w:r>
        <w:t xml:space="preserve"> </w:t>
      </w:r>
      <w:r>
        <w:rPr>
          <w:b/>
          <w:bCs/>
        </w:rPr>
        <w:t xml:space="preserve">Stripe Connect hébergé</w:t>
      </w:r>
      <w:r>
        <w:t xml:space="preserve"> </w:t>
      </w:r>
      <w:r>
        <w:t xml:space="preserve">(42); Volis ne voit jamais les coordonnées bancaires.</w:t>
      </w:r>
      <w:r>
        <w:t xml:space="preserve"> </w:t>
      </w:r>
      <w:r>
        <w:t xml:space="preserve">- CA2 : écran Versements (41) : solde disponible, montants en séquestre, choix</w:t>
      </w:r>
      <w:r>
        <w:t xml:space="preserve"> </w:t>
      </w:r>
      <w:r>
        <w:rPr>
          <w:b/>
          <w:bCs/>
        </w:rPr>
        <w:t xml:space="preserve">Standard (gratuit, toujours offert)</w:t>
      </w:r>
      <w:r>
        <w:t xml:space="preserve"> </w:t>
      </w:r>
      <w:r>
        <w:t xml:space="preserve">ou</w:t>
      </w:r>
      <w:r>
        <w:t xml:space="preserve"> </w:t>
      </w:r>
      <w:r>
        <w:rPr>
          <w:b/>
          <w:bCs/>
        </w:rPr>
        <w:t xml:space="preserve">Instantané</w:t>
      </w:r>
      <w:r>
        <w:t xml:space="preserve"> </w:t>
      </w:r>
      <w:r>
        <w:t xml:space="preserve">avec frais affichés avant la confirmation (volet technique 4.3; volet légal 5). Si une marge Volis existe, elle est libellée « frais Volis ».</w:t>
      </w:r>
      <w:r>
        <w:t xml:space="preserve"> </w:t>
      </w:r>
      <w:r>
        <w:t xml:space="preserve">- CA3 : historique avec statuts « En séquestre », « En cours », « Déposé », « Échoué » (webhooks</w:t>
      </w:r>
      <w:r>
        <w:t xml:space="preserve"> </w:t>
      </w:r>
      <w:r>
        <w:rPr>
          <w:rStyle w:val="VerbatimChar"/>
        </w:rPr>
        <w:t xml:space="preserve">payout.*</w:t>
      </w:r>
      <w:r>
        <w:t xml:space="preserve">).</w:t>
      </w:r>
    </w:p>
    <w:p>
      <w:pPr>
        <w:pStyle w:val="BodyText"/>
      </w:pPr>
      <w:r>
        <w:rPr>
          <w:b/>
          <w:bCs/>
        </w:rPr>
        <w:t xml:space="preserve">US-61 — Gérer mes notifications.</w:t>
      </w:r>
      <w:r>
        <w:t xml:space="preserve"> </w:t>
      </w:r>
      <w:r>
        <w:t xml:space="preserve">CA1 : centre (32) groupé par jour; non lu signalé par un point + texte masqué pour lecteur d’écran (« non lu »). CA2 : préférences par canal (push, texto, courriel) et par type; les notifications transactionnelles critiques (paiement, remise, litige) ne peuvent pas être toutes désactivées.</w:t>
      </w:r>
    </w:p>
    <w:p>
      <w:pPr>
        <w:pStyle w:val="BodyText"/>
      </w:pPr>
      <w:r>
        <w:rPr>
          <w:b/>
          <w:bCs/>
        </w:rPr>
        <w:t xml:space="preserve">US-62 — Réglages et confidentialité.</w:t>
      </w:r>
      <w:r>
        <w:t xml:space="preserve"> </w:t>
      </w:r>
      <w:r>
        <w:t xml:space="preserve">CA1 : langue (fr-CA, en-CA; arabe à évaluer), devise, notifications, moyens de paiement, versements, clé d’accès, consentements (retrait possible), visibilité du profil,</w:t>
      </w:r>
      <w:r>
        <w:t xml:space="preserve"> </w:t>
      </w:r>
      <w:r>
        <w:rPr>
          <w:b/>
          <w:bCs/>
        </w:rPr>
        <w:t xml:space="preserve">télécharger mes données</w:t>
      </w:r>
      <w:r>
        <w:t xml:space="preserve"> </w:t>
      </w:r>
      <w:r>
        <w:t xml:space="preserve">(JSON, SEC-19) (46).</w:t>
      </w:r>
    </w:p>
    <w:p>
      <w:pPr>
        <w:pStyle w:val="BodyText"/>
      </w:pPr>
      <w:r>
        <w:rPr>
          <w:b/>
          <w:bCs/>
        </w:rPr>
        <w:t xml:space="preserve">US-63 — Supprimer mon compte.</w:t>
      </w:r>
      <w:r>
        <w:t xml:space="preserve"> </w:t>
      </w:r>
      <w:r>
        <w:t xml:space="preserve">En tant qu’utilisateur, je veux supprimer mon compte depuis l’appli (règle Apple 5.1.1(v)).</w:t>
      </w:r>
      <w:r>
        <w:t xml:space="preserve"> </w:t>
      </w:r>
      <w:r>
        <w:t xml:space="preserve">- CA1 : écran d’explication (47) : ce qui est supprimé, ce qui est conservé et combien de temps (paiements 6 ans après l’année fiscale, preuves de litige 3 ans, consentements 3 ans après la fermeture : tableau 3.1 du volet technique).</w:t>
      </w:r>
      <w:r>
        <w:t xml:space="preserve"> </w:t>
      </w:r>
      <w:r>
        <w:t xml:space="preserve">- CA2 : blocages explicites : envoi en cours, litige ouvert, solde non viré, avec action pour chacun.</w:t>
      </w:r>
      <w:r>
        <w:t xml:space="preserve"> </w:t>
      </w:r>
      <w:r>
        <w:t xml:space="preserve">- CA3 : ré-authentification (SEC-02) puis confirmation forte (48 : saisir « SUPPRIMER »). Délai de grâce (ex. 30 jours)</w:t>
      </w:r>
      <w:r>
        <w:t xml:space="preserve"> </w:t>
      </w:r>
      <w:r>
        <w:rPr>
          <w:b/>
          <w:bCs/>
        </w:rPr>
        <w:t xml:space="preserve">à décider</w:t>
      </w:r>
      <w:r>
        <w:t xml:space="preserve">; courriel de confirmation.</w:t>
      </w:r>
      <w:r>
        <w:t xml:space="preserve"> </w:t>
      </w:r>
      <w:r>
        <w:t xml:space="preserve">- CA4 : après suppression : session révoquée, profil anonymisé, avis conservés sous « Membre supprimé ».</w:t>
      </w:r>
    </w:p>
    <w:bookmarkEnd w:id="26"/>
    <w:bookmarkEnd w:id="27"/>
    <w:bookmarkStart w:id="28" w:name="inventaire-des-écrans"/>
    <w:p>
      <w:pPr>
        <w:pStyle w:val="Heading2"/>
      </w:pPr>
      <w:r>
        <w:t xml:space="preserve">4. Inventaire des écrans</w:t>
      </w:r>
    </w:p>
    <w:p>
      <w:pPr>
        <w:pStyle w:val="FirstParagraph"/>
      </w:pPr>
      <w:r>
        <w:t xml:space="preserve">Inventaire complet (id, fichier, parcours, objectif, composants clés, onglet) :</w:t>
      </w:r>
      <w:r>
        <w:t xml:space="preserve"> </w:t>
      </w:r>
      <w:r>
        <w:rPr>
          <w:rStyle w:val="VerbatimChar"/>
        </w:rPr>
        <w:t xml:space="preserve">dev-assets/screens/inventaire-ecrans.csv</w:t>
      </w:r>
      <w:r>
        <w:t xml:space="preserve">. Résumé :</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2272"/>
        <w:gridCol w:w="6022"/>
        <w:gridCol w:w="1626"/>
      </w:tblGrid>
      <w:tr>
        <w:trPr>
          <w:tblHeader w:val="on"/>
        </w:trPr>
        <w:tc>
          <w:tcPr>
            <w:tcW w:type="dxa" w:w="2272"/>
            <w:shd w:val="clear" w:color="auto" w:fill="0F766E"/>
          </w:tcPr>
          <w:p>
            <w:pPr>
              <w:pStyle w:val="Compact"/>
              <w:spacing w:after="20"/>
            </w:pPr>
            <w:r>
              <w:rPr>
                <w:b/>
                <w:color w:val="FFFFFF"/>
                <w:sz w:val="17"/>
              </w:rPr>
              <w:t xml:space="preserve">Parcours</w:t>
            </w:r>
          </w:p>
        </w:tc>
        <w:tc>
          <w:tcPr>
            <w:tcW w:type="dxa" w:w="6023"/>
            <w:shd w:val="clear" w:color="auto" w:fill="0F766E"/>
          </w:tcPr>
          <w:p>
            <w:pPr>
              <w:pStyle w:val="Compact"/>
              <w:spacing w:after="20"/>
            </w:pPr>
            <w:r>
              <w:rPr>
                <w:b/>
                <w:color w:val="FFFFFF"/>
                <w:sz w:val="17"/>
              </w:rPr>
              <w:t xml:space="preserve">Écrans</w:t>
            </w:r>
          </w:p>
        </w:tc>
        <w:tc>
          <w:tcPr>
            <w:tcW w:type="dxa" w:w="1626"/>
            <w:shd w:val="clear" w:color="auto" w:fill="0F766E"/>
          </w:tcPr>
          <w:p>
            <w:pPr>
              <w:pStyle w:val="Compact"/>
              <w:spacing w:after="20"/>
            </w:pPr>
            <w:r>
              <w:rPr>
                <w:b/>
                <w:color w:val="FFFFFF"/>
                <w:sz w:val="17"/>
              </w:rPr>
              <w:t xml:space="preserve">Histoires</w:t>
            </w:r>
          </w:p>
        </w:tc>
      </w:tr>
      <w:tr>
        <w:tc>
          <w:tcPr>
            <w:tcW w:type="dxa" w:w="2272"/>
          </w:tcPr>
          <w:p>
            <w:pPr>
              <w:pStyle w:val="Compact"/>
              <w:spacing w:after="20"/>
            </w:pPr>
            <w:r>
              <w:rPr>
                <w:sz w:val="17"/>
              </w:rPr>
              <w:t xml:space="preserve">A · Accueil, connexion et compte</w:t>
            </w:r>
          </w:p>
        </w:tc>
        <w:tc>
          <w:tcPr>
            <w:tcW w:type="dxa" w:w="6023"/>
          </w:tcPr>
          <w:p>
            <w:pPr>
              <w:pStyle w:val="Compact"/>
              <w:spacing w:after="20"/>
            </w:pPr>
            <w:r>
              <w:rPr>
                <w:sz w:val="17"/>
              </w:rPr>
              <w:t xml:space="preserve">01 Splash · 02–04 Onboarding · 05 Connexion · 06 Inscription · 23 Mot de passe oublié · 24 Lien envoyé · 25 Code SMS</w:t>
            </w:r>
          </w:p>
        </w:tc>
        <w:tc>
          <w:tcPr>
            <w:tcW w:type="dxa" w:w="1626"/>
          </w:tcPr>
          <w:p>
            <w:pPr>
              <w:pStyle w:val="Compact"/>
              <w:spacing w:after="20"/>
            </w:pPr>
            <w:r>
              <w:rPr>
                <w:sz w:val="17"/>
              </w:rPr>
              <w:t xml:space="preserve">US-01 à US-04</w:t>
            </w:r>
          </w:p>
        </w:tc>
      </w:tr>
      <w:tr>
        <w:tc>
          <w:tcPr>
            <w:tcW w:type="dxa" w:w="2272"/>
          </w:tcPr>
          <w:p>
            <w:pPr>
              <w:pStyle w:val="Compact"/>
              <w:spacing w:after="20"/>
            </w:pPr>
            <w:r>
              <w:rPr>
                <w:sz w:val="17"/>
              </w:rPr>
              <w:t xml:space="preserve">B · Vérification d’identité</w:t>
            </w:r>
          </w:p>
        </w:tc>
        <w:tc>
          <w:tcPr>
            <w:tcW w:type="dxa" w:w="6023"/>
          </w:tcPr>
          <w:p>
            <w:pPr>
              <w:pStyle w:val="Compact"/>
              <w:spacing w:after="20"/>
            </w:pPr>
            <w:r>
              <w:rPr>
                <w:sz w:val="17"/>
              </w:rPr>
              <w:t xml:space="preserve">17 Intro · 18 Consentement biométrique · 19 Stripe Identity · 20 Vérifiée · 21 En attente · 22 Échec</w:t>
            </w:r>
          </w:p>
        </w:tc>
        <w:tc>
          <w:tcPr>
            <w:tcW w:type="dxa" w:w="1626"/>
          </w:tcPr>
          <w:p>
            <w:pPr>
              <w:pStyle w:val="Compact"/>
              <w:spacing w:after="20"/>
            </w:pPr>
            <w:r>
              <w:rPr>
                <w:sz w:val="17"/>
              </w:rPr>
              <w:t xml:space="preserve">US-10</w:t>
            </w:r>
          </w:p>
        </w:tc>
      </w:tr>
      <w:tr>
        <w:tc>
          <w:tcPr>
            <w:tcW w:type="dxa" w:w="2272"/>
          </w:tcPr>
          <w:p>
            <w:pPr>
              <w:pStyle w:val="Compact"/>
              <w:spacing w:after="20"/>
            </w:pPr>
            <w:r>
              <w:rPr>
                <w:sz w:val="17"/>
              </w:rPr>
              <w:t xml:space="preserve">C · Recherche et réservation</w:t>
            </w:r>
          </w:p>
        </w:tc>
        <w:tc>
          <w:tcPr>
            <w:tcW w:type="dxa" w:w="6023"/>
          </w:tcPr>
          <w:p>
            <w:pPr>
              <w:pStyle w:val="Compact"/>
              <w:spacing w:after="20"/>
            </w:pPr>
            <w:r>
              <w:rPr>
                <w:sz w:val="17"/>
              </w:rPr>
              <w:t xml:space="preserve">07 Accueil · 08 Résultats · 38 Filtres · 39 Carte · 36 Aucun résultat · 09 Profil voyageur · 10 Créer un envoi · 11 Paiement · 40 Assurance</w:t>
            </w:r>
          </w:p>
        </w:tc>
        <w:tc>
          <w:tcPr>
            <w:tcW w:type="dxa" w:w="1626"/>
          </w:tcPr>
          <w:p>
            <w:pPr>
              <w:pStyle w:val="Compact"/>
              <w:spacing w:after="20"/>
            </w:pPr>
            <w:r>
              <w:rPr>
                <w:sz w:val="17"/>
              </w:rPr>
              <w:t xml:space="preserve">US-20 à US-23</w:t>
            </w:r>
          </w:p>
        </w:tc>
      </w:tr>
      <w:tr>
        <w:tc>
          <w:tcPr>
            <w:tcW w:type="dxa" w:w="2272"/>
          </w:tcPr>
          <w:p>
            <w:pPr>
              <w:pStyle w:val="Compact"/>
              <w:spacing w:after="20"/>
            </w:pPr>
            <w:r>
              <w:rPr>
                <w:sz w:val="17"/>
              </w:rPr>
              <w:t xml:space="preserve">D · Envoi, remise et suivi</w:t>
            </w:r>
          </w:p>
        </w:tc>
        <w:tc>
          <w:tcPr>
            <w:tcW w:type="dxa" w:w="6023"/>
          </w:tcPr>
          <w:p>
            <w:pPr>
              <w:pStyle w:val="Compact"/>
              <w:spacing w:after="20"/>
            </w:pPr>
            <w:r>
              <w:rPr>
                <w:sz w:val="17"/>
              </w:rPr>
              <w:t xml:space="preserve">30 Mes envois · 27/28/29 Détail (en attente / accepté / refusé) · 43 Destinataire · 14 Messages · 13 Remise · 37 Remise hors ligne · 12 Suivi · 50 Live Activity · 33 Livraison et avis</w:t>
            </w:r>
          </w:p>
        </w:tc>
        <w:tc>
          <w:tcPr>
            <w:tcW w:type="dxa" w:w="1626"/>
          </w:tcPr>
          <w:p>
            <w:pPr>
              <w:pStyle w:val="Compact"/>
              <w:spacing w:after="20"/>
            </w:pPr>
            <w:r>
              <w:rPr>
                <w:sz w:val="17"/>
              </w:rPr>
              <w:t xml:space="preserve">US-30 à US-37</w:t>
            </w:r>
          </w:p>
        </w:tc>
      </w:tr>
      <w:tr>
        <w:tc>
          <w:tcPr>
            <w:tcW w:type="dxa" w:w="2272"/>
          </w:tcPr>
          <w:p>
            <w:pPr>
              <w:pStyle w:val="Compact"/>
              <w:spacing w:after="20"/>
            </w:pPr>
            <w:r>
              <w:rPr>
                <w:sz w:val="17"/>
              </w:rPr>
              <w:t xml:space="preserve">E · Côté voyageur</w:t>
            </w:r>
          </w:p>
        </w:tc>
        <w:tc>
          <w:tcPr>
            <w:tcW w:type="dxa" w:w="6023"/>
          </w:tcPr>
          <w:p>
            <w:pPr>
              <w:pStyle w:val="Compact"/>
              <w:spacing w:after="20"/>
            </w:pPr>
            <w:r>
              <w:rPr>
                <w:sz w:val="17"/>
              </w:rPr>
              <w:t xml:space="preserve">15 Publier · 31 Mes voyages · 26 Demande reçue · 49 Attestation douane</w:t>
            </w:r>
          </w:p>
        </w:tc>
        <w:tc>
          <w:tcPr>
            <w:tcW w:type="dxa" w:w="1626"/>
          </w:tcPr>
          <w:p>
            <w:pPr>
              <w:pStyle w:val="Compact"/>
              <w:spacing w:after="20"/>
            </w:pPr>
            <w:r>
              <w:rPr>
                <w:sz w:val="17"/>
              </w:rPr>
              <w:t xml:space="preserve">US-31, US-34, US-40, US-41</w:t>
            </w:r>
          </w:p>
        </w:tc>
      </w:tr>
      <w:tr>
        <w:tc>
          <w:tcPr>
            <w:tcW w:type="dxa" w:w="2272"/>
          </w:tcPr>
          <w:p>
            <w:pPr>
              <w:pStyle w:val="Compact"/>
              <w:spacing w:after="20"/>
            </w:pPr>
            <w:r>
              <w:rPr>
                <w:sz w:val="17"/>
              </w:rPr>
              <w:t xml:space="preserve">F · Imprévus, litiges et aide</w:t>
            </w:r>
          </w:p>
        </w:tc>
        <w:tc>
          <w:tcPr>
            <w:tcW w:type="dxa" w:w="6023"/>
          </w:tcPr>
          <w:p>
            <w:pPr>
              <w:pStyle w:val="Compact"/>
              <w:spacing w:after="20"/>
            </w:pPr>
            <w:r>
              <w:rPr>
                <w:sz w:val="17"/>
              </w:rPr>
              <w:t xml:space="preserve">34 Vol annulé · 35 Litige · 44 Centre d’aide · 45 Objets interdits</w:t>
            </w:r>
          </w:p>
        </w:tc>
        <w:tc>
          <w:tcPr>
            <w:tcW w:type="dxa" w:w="1626"/>
          </w:tcPr>
          <w:p>
            <w:pPr>
              <w:pStyle w:val="Compact"/>
              <w:spacing w:after="20"/>
            </w:pPr>
            <w:r>
              <w:rPr>
                <w:sz w:val="17"/>
              </w:rPr>
              <w:t xml:space="preserve">US-50 à US-52</w:t>
            </w:r>
          </w:p>
        </w:tc>
      </w:tr>
      <w:tr>
        <w:tc>
          <w:tcPr>
            <w:tcW w:type="dxa" w:w="2272"/>
          </w:tcPr>
          <w:p>
            <w:pPr>
              <w:pStyle w:val="Compact"/>
              <w:spacing w:after="20"/>
            </w:pPr>
            <w:r>
              <w:rPr>
                <w:sz w:val="17"/>
              </w:rPr>
              <w:t xml:space="preserve">G · Profil, argent et réglages</w:t>
            </w:r>
          </w:p>
        </w:tc>
        <w:tc>
          <w:tcPr>
            <w:tcW w:type="dxa" w:w="6023"/>
          </w:tcPr>
          <w:p>
            <w:pPr>
              <w:pStyle w:val="Compact"/>
              <w:spacing w:after="20"/>
            </w:pPr>
            <w:r>
              <w:rPr>
                <w:sz w:val="17"/>
              </w:rPr>
              <w:t xml:space="preserve">16 Profil / Portefeuille · 41 Versements · 42 Stripe Connect · 32 Notifications · 46 Réglages · 47–48 Suppression</w:t>
            </w:r>
          </w:p>
        </w:tc>
        <w:tc>
          <w:tcPr>
            <w:tcW w:type="dxa" w:w="1626"/>
          </w:tcPr>
          <w:p>
            <w:pPr>
              <w:pStyle w:val="Compact"/>
              <w:spacing w:after="20"/>
            </w:pPr>
            <w:r>
              <w:rPr>
                <w:sz w:val="17"/>
              </w:rPr>
              <w:t xml:space="preserve">US-60 à US-63</w:t>
            </w:r>
          </w:p>
        </w:tc>
      </w:tr>
    </w:tbl>
    <w:p>
      <w:pPr>
        <w:pStyle w:val="BodyText"/>
      </w:pPr>
      <w:r>
        <w:rPr>
          <w:b/>
          <w:bCs/>
        </w:rPr>
        <w:t xml:space="preserve">Écrans à concevoir en phase 2</w:t>
      </w:r>
      <w:r>
        <w:t xml:space="preserve"> </w:t>
      </w:r>
      <w:r>
        <w:t xml:space="preserve">(non maquettés) : édition du profil, modifier / annuler un voyage, ajout d’une carte (feuille Stripe), reçu détaillé, page web de suivi destinataire, mise à jour forcée (SEC-21), outil interne de modération.</w:t>
      </w:r>
    </w:p>
    <w:bookmarkEnd w:id="28"/>
    <w:bookmarkStart w:id="31" w:name="états-et-cas-limites"/>
    <w:p>
      <w:pPr>
        <w:pStyle w:val="Heading2"/>
      </w:pPr>
      <w:r>
        <w:t xml:space="preserve">5. États et cas limites</w:t>
      </w:r>
    </w:p>
    <w:bookmarkStart w:id="29" w:name="X49290ee05fda5430b34a6a333785cd10843783f"/>
    <w:p>
      <w:pPr>
        <w:pStyle w:val="Heading3"/>
      </w:pPr>
      <w:r>
        <w:t xml:space="preserve">5.1 États transverses (tous les écrans de données)</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2357"/>
        <w:gridCol w:w="7563"/>
      </w:tblGrid>
      <w:tr>
        <w:trPr>
          <w:tblHeader w:val="on"/>
        </w:trPr>
        <w:tc>
          <w:tcPr>
            <w:tcW w:type="dxa" w:w="2358"/>
            <w:shd w:val="clear" w:color="auto" w:fill="0F766E"/>
          </w:tcPr>
          <w:p>
            <w:pPr>
              <w:pStyle w:val="Compact"/>
              <w:spacing w:after="20"/>
            </w:pPr>
            <w:r>
              <w:rPr>
                <w:b/>
                <w:color w:val="FFFFFF"/>
                <w:sz w:val="17"/>
              </w:rPr>
              <w:t xml:space="preserve">État</w:t>
            </w:r>
          </w:p>
        </w:tc>
        <w:tc>
          <w:tcPr>
            <w:tcW w:type="dxa" w:w="7563"/>
            <w:shd w:val="clear" w:color="auto" w:fill="0F766E"/>
          </w:tcPr>
          <w:p>
            <w:pPr>
              <w:pStyle w:val="Compact"/>
              <w:spacing w:after="20"/>
            </w:pPr>
            <w:r>
              <w:rPr>
                <w:b/>
                <w:color w:val="FFFFFF"/>
                <w:sz w:val="17"/>
              </w:rPr>
              <w:t xml:space="preserve">Traitement</w:t>
            </w:r>
          </w:p>
        </w:tc>
      </w:tr>
      <w:tr>
        <w:tc>
          <w:tcPr>
            <w:tcW w:type="dxa" w:w="2358"/>
          </w:tcPr>
          <w:p>
            <w:pPr>
              <w:pStyle w:val="Compact"/>
              <w:spacing w:after="20"/>
            </w:pPr>
            <w:r>
              <w:rPr>
                <w:sz w:val="17"/>
              </w:rPr>
              <w:t xml:space="preserve">Chargement</w:t>
            </w:r>
          </w:p>
        </w:tc>
        <w:tc>
          <w:tcPr>
            <w:tcW w:type="dxa" w:w="7563"/>
          </w:tcPr>
          <w:p>
            <w:pPr>
              <w:pStyle w:val="Compact"/>
              <w:spacing w:after="20"/>
            </w:pPr>
            <w:r>
              <w:rPr>
                <w:sz w:val="17"/>
              </w:rPr>
              <w:t xml:space="preserve">Squelettes aux dimensions du contenu (pas de spinner plein écran au-delà de 300 ms); boutons en état « chargement » pendant une action.</w:t>
            </w:r>
          </w:p>
        </w:tc>
      </w:tr>
      <w:tr>
        <w:tc>
          <w:tcPr>
            <w:tcW w:type="dxa" w:w="2358"/>
          </w:tcPr>
          <w:p>
            <w:pPr>
              <w:pStyle w:val="Compact"/>
              <w:spacing w:after="20"/>
            </w:pPr>
            <w:r>
              <w:rPr>
                <w:sz w:val="17"/>
              </w:rPr>
              <w:t xml:space="preserve">Vide</w:t>
            </w:r>
          </w:p>
        </w:tc>
        <w:tc>
          <w:tcPr>
            <w:tcW w:type="dxa" w:w="7563"/>
          </w:tcPr>
          <w:p>
            <w:pPr>
              <w:pStyle w:val="Compact"/>
              <w:spacing w:after="20"/>
            </w:pPr>
            <w:r>
              <w:rPr>
                <w:sz w:val="17"/>
              </w:rPr>
              <w:t xml:space="preserve">Illustration + explication + action utile (36). Jamais un écran blanc.</w:t>
            </w:r>
          </w:p>
        </w:tc>
      </w:tr>
      <w:tr>
        <w:tc>
          <w:tcPr>
            <w:tcW w:type="dxa" w:w="2358"/>
          </w:tcPr>
          <w:p>
            <w:pPr>
              <w:pStyle w:val="Compact"/>
              <w:spacing w:after="20"/>
            </w:pPr>
            <w:r>
              <w:rPr>
                <w:sz w:val="17"/>
              </w:rPr>
              <w:t xml:space="preserve">Erreur réseau</w:t>
            </w:r>
          </w:p>
        </w:tc>
        <w:tc>
          <w:tcPr>
            <w:tcW w:type="dxa" w:w="7563"/>
          </w:tcPr>
          <w:p>
            <w:pPr>
              <w:pStyle w:val="Compact"/>
              <w:spacing w:after="20"/>
            </w:pPr>
            <w:r>
              <w:rPr>
                <w:sz w:val="17"/>
              </w:rPr>
              <w:t xml:space="preserve">Toast « Hors ligne · on réessaie automatiquement »; données en cache affichées avec la date de dernière synchro; actions d’argent bloquées hors ligne (sauf code de remise, 37).</w:t>
            </w:r>
          </w:p>
        </w:tc>
      </w:tr>
      <w:tr>
        <w:tc>
          <w:tcPr>
            <w:tcW w:type="dxa" w:w="2358"/>
          </w:tcPr>
          <w:p>
            <w:pPr>
              <w:pStyle w:val="Compact"/>
              <w:spacing w:after="20"/>
            </w:pPr>
            <w:r>
              <w:rPr>
                <w:sz w:val="17"/>
              </w:rPr>
              <w:t xml:space="preserve">Erreur serveur</w:t>
            </w:r>
          </w:p>
        </w:tc>
        <w:tc>
          <w:tcPr>
            <w:tcW w:type="dxa" w:w="7563"/>
          </w:tcPr>
          <w:p>
            <w:pPr>
              <w:pStyle w:val="Compact"/>
              <w:spacing w:after="20"/>
            </w:pPr>
            <w:r>
              <w:rPr>
                <w:sz w:val="17"/>
              </w:rPr>
              <w:t xml:space="preserve">Message humain + « Réessayer »; identifiant de corrélation dans « Détails » pour le soutien.</w:t>
            </w:r>
          </w:p>
        </w:tc>
      </w:tr>
      <w:tr>
        <w:tc>
          <w:tcPr>
            <w:tcW w:type="dxa" w:w="2358"/>
          </w:tcPr>
          <w:p>
            <w:pPr>
              <w:pStyle w:val="Compact"/>
              <w:spacing w:after="20"/>
            </w:pPr>
            <w:r>
              <w:rPr>
                <w:sz w:val="17"/>
              </w:rPr>
              <w:t xml:space="preserve">Permission refusée</w:t>
            </w:r>
          </w:p>
        </w:tc>
        <w:tc>
          <w:tcPr>
            <w:tcW w:type="dxa" w:w="7563"/>
          </w:tcPr>
          <w:p>
            <w:pPr>
              <w:pStyle w:val="Compact"/>
              <w:spacing w:after="20"/>
            </w:pPr>
            <w:r>
              <w:rPr>
                <w:sz w:val="17"/>
              </w:rPr>
              <w:t xml:space="preserve">Expliquer l’utilité, proposer « Ouvrir les réglages »; ne pas redemander en boucle (SEC-24).</w:t>
            </w:r>
          </w:p>
        </w:tc>
      </w:tr>
      <w:tr>
        <w:tc>
          <w:tcPr>
            <w:tcW w:type="dxa" w:w="2358"/>
          </w:tcPr>
          <w:p>
            <w:pPr>
              <w:pStyle w:val="Compact"/>
              <w:spacing w:after="20"/>
            </w:pPr>
            <w:r>
              <w:rPr>
                <w:sz w:val="17"/>
              </w:rPr>
              <w:t xml:space="preserve">Session expirée</w:t>
            </w:r>
          </w:p>
        </w:tc>
        <w:tc>
          <w:tcPr>
            <w:tcW w:type="dxa" w:w="7563"/>
          </w:tcPr>
          <w:p>
            <w:pPr>
              <w:pStyle w:val="Compact"/>
              <w:spacing w:after="20"/>
            </w:pPr>
            <w:r>
              <w:rPr>
                <w:sz w:val="17"/>
              </w:rPr>
              <w:t xml:space="preserve">Ré-authentification en feuille, retour à l’écran en cours sans perte de saisie.</w:t>
            </w:r>
          </w:p>
        </w:tc>
      </w:tr>
      <w:tr>
        <w:tc>
          <w:tcPr>
            <w:tcW w:type="dxa" w:w="2358"/>
          </w:tcPr>
          <w:p>
            <w:pPr>
              <w:pStyle w:val="Compact"/>
              <w:spacing w:after="20"/>
            </w:pPr>
            <w:r>
              <w:rPr>
                <w:sz w:val="17"/>
              </w:rPr>
              <w:t xml:space="preserve">Version obsolète</w:t>
            </w:r>
          </w:p>
        </w:tc>
        <w:tc>
          <w:tcPr>
            <w:tcW w:type="dxa" w:w="7563"/>
          </w:tcPr>
          <w:p>
            <w:pPr>
              <w:pStyle w:val="Compact"/>
              <w:spacing w:after="20"/>
            </w:pPr>
            <w:r>
              <w:rPr>
                <w:sz w:val="17"/>
              </w:rPr>
              <w:t xml:space="preserve">Écran de mise à jour bloquant (SEC-21).</w:t>
            </w:r>
          </w:p>
        </w:tc>
      </w:tr>
    </w:tbl>
    <w:bookmarkEnd w:id="29"/>
    <w:bookmarkStart w:id="30" w:name="cas-limites-métier"/>
    <w:p>
      <w:pPr>
        <w:pStyle w:val="Heading3"/>
      </w:pPr>
      <w:r>
        <w:t xml:space="preserve">5.2 Cas limites métier</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3393"/>
        <w:gridCol w:w="6528"/>
      </w:tblGrid>
      <w:tr>
        <w:trPr>
          <w:tblHeader w:val="on"/>
        </w:trPr>
        <w:tc>
          <w:tcPr>
            <w:tcW w:type="dxa" w:w="3393"/>
            <w:shd w:val="clear" w:color="auto" w:fill="0F766E"/>
          </w:tcPr>
          <w:p>
            <w:pPr>
              <w:pStyle w:val="Compact"/>
              <w:spacing w:after="20"/>
            </w:pPr>
            <w:r>
              <w:rPr>
                <w:b/>
                <w:color w:val="FFFFFF"/>
                <w:sz w:val="17"/>
              </w:rPr>
              <w:t xml:space="preserve">Cas</w:t>
            </w:r>
          </w:p>
        </w:tc>
        <w:tc>
          <w:tcPr>
            <w:tcW w:type="dxa" w:w="6528"/>
            <w:shd w:val="clear" w:color="auto" w:fill="0F766E"/>
          </w:tcPr>
          <w:p>
            <w:pPr>
              <w:pStyle w:val="Compact"/>
              <w:spacing w:after="20"/>
            </w:pPr>
            <w:r>
              <w:rPr>
                <w:b/>
                <w:color w:val="FFFFFF"/>
                <w:sz w:val="17"/>
              </w:rPr>
              <w:t xml:space="preserve">Comportement attendu</w:t>
            </w:r>
          </w:p>
        </w:tc>
      </w:tr>
      <w:tr>
        <w:tc>
          <w:tcPr>
            <w:tcW w:type="dxa" w:w="3393"/>
          </w:tcPr>
          <w:p>
            <w:pPr>
              <w:pStyle w:val="Compact"/>
              <w:spacing w:after="20"/>
            </w:pPr>
            <w:r>
              <w:rPr>
                <w:sz w:val="17"/>
              </w:rPr>
              <w:t xml:space="preserve">Deux expéditeurs dépassent ensemble la capacité du voyageur</w:t>
            </w:r>
          </w:p>
        </w:tc>
        <w:tc>
          <w:tcPr>
            <w:tcW w:type="dxa" w:w="6528"/>
          </w:tcPr>
          <w:p>
            <w:pPr>
              <w:pStyle w:val="Compact"/>
              <w:spacing w:after="20"/>
            </w:pPr>
            <w:r>
              <w:rPr>
                <w:sz w:val="17"/>
              </w:rPr>
              <w:t xml:space="preserve">La 2e acceptation est refusée par le serveur (verrou de version); message « capacité atteinte ».</w:t>
            </w:r>
          </w:p>
        </w:tc>
      </w:tr>
      <w:tr>
        <w:tc>
          <w:tcPr>
            <w:tcW w:type="dxa" w:w="3393"/>
          </w:tcPr>
          <w:p>
            <w:pPr>
              <w:pStyle w:val="Compact"/>
              <w:spacing w:after="20"/>
            </w:pPr>
            <w:r>
              <w:rPr>
                <w:sz w:val="17"/>
              </w:rPr>
              <w:t xml:space="preserve">Paiement confirmé par l’app mais webhook absent</w:t>
            </w:r>
          </w:p>
        </w:tc>
        <w:tc>
          <w:tcPr>
            <w:tcW w:type="dxa" w:w="6528"/>
          </w:tcPr>
          <w:p>
            <w:pPr>
              <w:pStyle w:val="Compact"/>
              <w:spacing w:after="20"/>
            </w:pPr>
            <w:r>
              <w:rPr>
                <w:sz w:val="17"/>
              </w:rPr>
              <w:t xml:space="preserve">Statut « Paiement en cours de confirmation »; relance serveur; jamais « Payé » sans webhook.</w:t>
            </w:r>
          </w:p>
        </w:tc>
      </w:tr>
      <w:tr>
        <w:tc>
          <w:tcPr>
            <w:tcW w:type="dxa" w:w="3393"/>
          </w:tcPr>
          <w:p>
            <w:pPr>
              <w:pStyle w:val="Compact"/>
              <w:spacing w:after="20"/>
            </w:pPr>
            <w:r>
              <w:rPr>
                <w:sz w:val="17"/>
              </w:rPr>
              <w:t xml:space="preserve">Le voyageur ne se présente pas à la remise</w:t>
            </w:r>
          </w:p>
        </w:tc>
        <w:tc>
          <w:tcPr>
            <w:tcW w:type="dxa" w:w="6528"/>
          </w:tcPr>
          <w:p>
            <w:pPr>
              <w:pStyle w:val="Compact"/>
              <w:spacing w:after="20"/>
            </w:pPr>
            <w:r>
              <w:rPr>
                <w:sz w:val="17"/>
              </w:rPr>
              <w:t xml:space="preserve">Bouton « Il n’est pas venu » après l’heure + 30 min → réattribution ou remboursement (comme 34).</w:t>
            </w:r>
          </w:p>
        </w:tc>
      </w:tr>
      <w:tr>
        <w:tc>
          <w:tcPr>
            <w:tcW w:type="dxa" w:w="3393"/>
          </w:tcPr>
          <w:p>
            <w:pPr>
              <w:pStyle w:val="Compact"/>
              <w:spacing w:after="20"/>
            </w:pPr>
            <w:r>
              <w:rPr>
                <w:sz w:val="17"/>
              </w:rPr>
              <w:t xml:space="preserve">Colis non conforme à la déclaration</w:t>
            </w:r>
          </w:p>
        </w:tc>
        <w:tc>
          <w:tcPr>
            <w:tcW w:type="dxa" w:w="6528"/>
          </w:tcPr>
          <w:p>
            <w:pPr>
              <w:pStyle w:val="Compact"/>
              <w:spacing w:after="20"/>
            </w:pPr>
            <w:r>
              <w:rPr>
                <w:sz w:val="17"/>
              </w:rPr>
              <w:t xml:space="preserve">Le voyageur refuse à l’attestation (49) : aucune pénalité pour lui; l’expéditeur est remboursé selon la politique (frais non remboursables à décider, volet légal 6).</w:t>
            </w:r>
          </w:p>
        </w:tc>
      </w:tr>
      <w:tr>
        <w:tc>
          <w:tcPr>
            <w:tcW w:type="dxa" w:w="3393"/>
          </w:tcPr>
          <w:p>
            <w:pPr>
              <w:pStyle w:val="Compact"/>
              <w:spacing w:after="20"/>
            </w:pPr>
            <w:r>
              <w:rPr>
                <w:sz w:val="17"/>
              </w:rPr>
              <w:t xml:space="preserve">Saisie ou refus par la douane</w:t>
            </w:r>
          </w:p>
        </w:tc>
        <w:tc>
          <w:tcPr>
            <w:tcW w:type="dxa" w:w="6528"/>
          </w:tcPr>
          <w:p>
            <w:pPr>
              <w:pStyle w:val="Compact"/>
              <w:spacing w:after="20"/>
            </w:pPr>
            <w:r>
              <w:rPr>
                <w:sz w:val="17"/>
              </w:rPr>
              <w:t xml:space="preserve">Litige spécial; non couvert par l’assurance (40); le voyageur fournit la preuve de la douane.</w:t>
            </w:r>
          </w:p>
        </w:tc>
      </w:tr>
      <w:tr>
        <w:tc>
          <w:tcPr>
            <w:tcW w:type="dxa" w:w="3393"/>
          </w:tcPr>
          <w:p>
            <w:pPr>
              <w:pStyle w:val="Compact"/>
              <w:spacing w:after="20"/>
            </w:pPr>
            <w:r>
              <w:rPr>
                <w:sz w:val="17"/>
              </w:rPr>
              <w:t xml:space="preserve">Destinataire injoignable à l’arrivée</w:t>
            </w:r>
          </w:p>
        </w:tc>
        <w:tc>
          <w:tcPr>
            <w:tcW w:type="dxa" w:w="6528"/>
          </w:tcPr>
          <w:p>
            <w:pPr>
              <w:pStyle w:val="Compact"/>
              <w:spacing w:after="20"/>
            </w:pPr>
            <w:r>
              <w:rPr>
                <w:sz w:val="17"/>
              </w:rPr>
              <w:t xml:space="preserve">Le voyageur garde le colis 48 h (à décider), messagerie à trois, puis procédure de retour.</w:t>
            </w:r>
          </w:p>
        </w:tc>
      </w:tr>
      <w:tr>
        <w:tc>
          <w:tcPr>
            <w:tcW w:type="dxa" w:w="3393"/>
          </w:tcPr>
          <w:p>
            <w:pPr>
              <w:pStyle w:val="Compact"/>
              <w:spacing w:after="20"/>
            </w:pPr>
            <w:r>
              <w:rPr>
                <w:sz w:val="17"/>
              </w:rPr>
              <w:t xml:space="preserve">Rétrofacturation bancaire</w:t>
            </w:r>
          </w:p>
        </w:tc>
        <w:tc>
          <w:tcPr>
            <w:tcW w:type="dxa" w:w="6528"/>
          </w:tcPr>
          <w:p>
            <w:pPr>
              <w:pStyle w:val="Compact"/>
              <w:spacing w:after="20"/>
            </w:pPr>
            <w:r>
              <w:rPr>
                <w:sz w:val="17"/>
              </w:rPr>
              <w:t xml:space="preserve">Réservation → « Litige » quel que soit l’état; transfert gelé; preuves assemblées automatiquement (volet technique 4.6).</w:t>
            </w:r>
          </w:p>
        </w:tc>
      </w:tr>
      <w:tr>
        <w:tc>
          <w:tcPr>
            <w:tcW w:type="dxa" w:w="3393"/>
          </w:tcPr>
          <w:p>
            <w:pPr>
              <w:pStyle w:val="Compact"/>
              <w:spacing w:after="20"/>
            </w:pPr>
            <w:r>
              <w:rPr>
                <w:sz w:val="17"/>
              </w:rPr>
              <w:t xml:space="preserve">Vérification d’identité en échec définitif</w:t>
            </w:r>
          </w:p>
        </w:tc>
        <w:tc>
          <w:tcPr>
            <w:tcW w:type="dxa" w:w="6528"/>
          </w:tcPr>
          <w:p>
            <w:pPr>
              <w:pStyle w:val="Compact"/>
              <w:spacing w:after="20"/>
            </w:pPr>
            <w:r>
              <w:rPr>
                <w:sz w:val="17"/>
              </w:rPr>
              <w:t xml:space="preserve">Voie manuelle; impossible de payer ou de transporter tant qu’elle n’est pas réglée.</w:t>
            </w:r>
          </w:p>
        </w:tc>
      </w:tr>
      <w:tr>
        <w:tc>
          <w:tcPr>
            <w:tcW w:type="dxa" w:w="3393"/>
          </w:tcPr>
          <w:p>
            <w:pPr>
              <w:pStyle w:val="Compact"/>
              <w:spacing w:after="20"/>
            </w:pPr>
            <w:r>
              <w:rPr>
                <w:sz w:val="17"/>
              </w:rPr>
              <w:t xml:space="preserve">Suppression demandée avec envoi en cours</w:t>
            </w:r>
          </w:p>
        </w:tc>
        <w:tc>
          <w:tcPr>
            <w:tcW w:type="dxa" w:w="6528"/>
          </w:tcPr>
          <w:p>
            <w:pPr>
              <w:pStyle w:val="Compact"/>
              <w:spacing w:after="20"/>
            </w:pPr>
            <w:r>
              <w:rPr>
                <w:sz w:val="17"/>
              </w:rPr>
              <w:t xml:space="preserve">Bloquée avec explication (47).</w:t>
            </w:r>
          </w:p>
        </w:tc>
      </w:tr>
      <w:tr>
        <w:tc>
          <w:tcPr>
            <w:tcW w:type="dxa" w:w="3393"/>
          </w:tcPr>
          <w:p>
            <w:pPr>
              <w:pStyle w:val="Compact"/>
              <w:spacing w:after="20"/>
            </w:pPr>
            <w:r>
              <w:rPr>
                <w:sz w:val="17"/>
              </w:rPr>
              <w:t xml:space="preserve">Changement de fuseau horaire</w:t>
            </w:r>
          </w:p>
        </w:tc>
        <w:tc>
          <w:tcPr>
            <w:tcW w:type="dxa" w:w="6528"/>
          </w:tcPr>
          <w:p>
            <w:pPr>
              <w:pStyle w:val="Compact"/>
              <w:spacing w:after="20"/>
            </w:pPr>
            <w:r>
              <w:rPr>
                <w:sz w:val="17"/>
              </w:rPr>
              <w:t xml:space="preserve">Heures affichées dans le fuseau du lieu de l’événement, avec mention (« 21 h 40, heure d’Alger »).</w:t>
            </w:r>
          </w:p>
        </w:tc>
      </w:tr>
    </w:tbl>
    <w:bookmarkEnd w:id="30"/>
    <w:bookmarkEnd w:id="31"/>
    <w:bookmarkStart w:id="32" w:name="accessibilité"/>
    <w:p>
      <w:pPr>
        <w:pStyle w:val="Heading2"/>
      </w:pPr>
      <w:r>
        <w:t xml:space="preserve">6. Accessibilité</w:t>
      </w:r>
    </w:p>
    <w:p>
      <w:pPr>
        <w:pStyle w:val="FirstParagraph"/>
      </w:pPr>
      <w:r>
        <w:t xml:space="preserve">Objectif :</w:t>
      </w:r>
      <w:r>
        <w:t xml:space="preserve"> </w:t>
      </w:r>
      <w:r>
        <w:rPr>
          <w:b/>
          <w:bCs/>
        </w:rPr>
        <w:t xml:space="preserve">WCAG 2.2 niveau AA</w:t>
      </w:r>
      <w:r>
        <w:t xml:space="preserve">, lignes directrices Apple et Android. Critères vérifiables :</w:t>
      </w:r>
    </w:p>
    <w:p>
      <w:pPr>
        <w:pStyle w:val="Compact"/>
        <w:numPr>
          <w:ilvl w:val="0"/>
          <w:numId w:val="1006"/>
        </w:numPr>
      </w:pPr>
      <w:r>
        <w:t xml:space="preserve">Contraste : texte ≥ 4,5:1, grand texte et composants ≥ 3:1 (tableau de la charte, page 6). Texte blanc interdit sur corail.</w:t>
      </w:r>
    </w:p>
    <w:p>
      <w:pPr>
        <w:pStyle w:val="Compact"/>
        <w:numPr>
          <w:ilvl w:val="0"/>
          <w:numId w:val="1006"/>
        </w:numPr>
      </w:pPr>
      <w:r>
        <w:t xml:space="preserve">Cibles tactiles ≥ 44 × 44 pt, espacées de 8 pt.</w:t>
      </w:r>
    </w:p>
    <w:p>
      <w:pPr>
        <w:pStyle w:val="Compact"/>
        <w:numPr>
          <w:ilvl w:val="0"/>
          <w:numId w:val="1006"/>
        </w:numPr>
      </w:pPr>
      <w:r>
        <w:t xml:space="preserve">Texte dynamique jusqu’à 200 % sans perte d’information : montants, codes et statuts jamais tronqués; mise en page en colonne à grande taille.</w:t>
      </w:r>
    </w:p>
    <w:p>
      <w:pPr>
        <w:pStyle w:val="Compact"/>
        <w:numPr>
          <w:ilvl w:val="0"/>
          <w:numId w:val="1006"/>
        </w:numPr>
      </w:pPr>
      <w:r>
        <w:t xml:space="preserve">Lecteurs d’écran : chaque élément interactif a un libellé français, un rôle et un état; les illustrations sont décoratives (</w:t>
      </w:r>
      <w:r>
        <w:rPr>
          <w:rStyle w:val="VerbatimChar"/>
        </w:rPr>
        <w:t xml:space="preserve">accessible={false}</w:t>
      </w:r>
      <w:r>
        <w:t xml:space="preserve">); les codes sont lus chiffre par chiffre; les montants sont lus en entier (« trente-deux dollars et six cents »).</w:t>
      </w:r>
    </w:p>
    <w:p>
      <w:pPr>
        <w:pStyle w:val="Compact"/>
        <w:numPr>
          <w:ilvl w:val="0"/>
          <w:numId w:val="1006"/>
        </w:numPr>
      </w:pPr>
      <w:r>
        <w:t xml:space="preserve">Statuts et erreurs : couleur + icône/pastille + texte; erreurs de formulaire annoncées (</w:t>
      </w:r>
      <w:r>
        <w:rPr>
          <w:rStyle w:val="VerbatimChar"/>
        </w:rPr>
        <w:t xml:space="preserve">accessibilityLiveRegion</w:t>
      </w:r>
      <w:r>
        <w:t xml:space="preserve"> </w:t>
      </w:r>
      <w:r>
        <w:t xml:space="preserve">/</w:t>
      </w:r>
      <w:r>
        <w:t xml:space="preserve"> </w:t>
      </w:r>
      <w:r>
        <w:rPr>
          <w:rStyle w:val="VerbatimChar"/>
        </w:rPr>
        <w:t xml:space="preserve">announceForAccessibility</w:t>
      </w:r>
      <w:r>
        <w:t xml:space="preserve">).</w:t>
      </w:r>
    </w:p>
    <w:p>
      <w:pPr>
        <w:pStyle w:val="Compact"/>
        <w:numPr>
          <w:ilvl w:val="0"/>
          <w:numId w:val="1006"/>
        </w:numPr>
      </w:pPr>
      <w:r>
        <w:t xml:space="preserve">Ordre de focus logique; focus visible sur web et clavier externe.</w:t>
      </w:r>
    </w:p>
    <w:p>
      <w:pPr>
        <w:pStyle w:val="Compact"/>
        <w:numPr>
          <w:ilvl w:val="0"/>
          <w:numId w:val="1006"/>
        </w:numPr>
      </w:pPr>
      <w:r>
        <w:t xml:space="preserve">« Réduire les animations » respecté; aucune information transmise seulement par le mouvement.</w:t>
      </w:r>
    </w:p>
    <w:p>
      <w:pPr>
        <w:pStyle w:val="Compact"/>
        <w:numPr>
          <w:ilvl w:val="0"/>
          <w:numId w:val="1006"/>
        </w:numPr>
      </w:pPr>
      <w:r>
        <w:t xml:space="preserve">Minuteries visibles et prolongeables (code SMS, expiration de demande).</w:t>
      </w:r>
    </w:p>
    <w:p>
      <w:pPr>
        <w:pStyle w:val="Compact"/>
        <w:numPr>
          <w:ilvl w:val="0"/>
          <w:numId w:val="1006"/>
        </w:numPr>
      </w:pPr>
      <w:r>
        <w:t xml:space="preserve">Formulaires : étiquettes visibles,</w:t>
      </w:r>
      <w:r>
        <w:t xml:space="preserve"> </w:t>
      </w:r>
      <w:r>
        <w:rPr>
          <w:rStyle w:val="VerbatimChar"/>
        </w:rPr>
        <w:t xml:space="preserve">textContentType</w:t>
      </w:r>
      <w:r>
        <w:t xml:space="preserve">/</w:t>
      </w:r>
      <w:r>
        <w:rPr>
          <w:rStyle w:val="VerbatimChar"/>
        </w:rPr>
        <w:t xml:space="preserve">autoComplete</w:t>
      </w:r>
      <w:r>
        <w:t xml:space="preserve"> </w:t>
      </w:r>
      <w:r>
        <w:t xml:space="preserve">corrects, clavier adapté.</w:t>
      </w:r>
    </w:p>
    <w:p>
      <w:pPr>
        <w:pStyle w:val="Compact"/>
        <w:numPr>
          <w:ilvl w:val="0"/>
          <w:numId w:val="1006"/>
        </w:numPr>
      </w:pPr>
      <w:r>
        <w:t xml:space="preserve">Tests : audit VoiceOver + TalkBack de chaque parcours avant chaque version majeure; vérification automatique (axe sur web,</w:t>
      </w:r>
      <w:r>
        <w:t xml:space="preserve"> </w:t>
      </w:r>
      <w:r>
        <w:rPr>
          <w:rStyle w:val="VerbatimChar"/>
        </w:rPr>
        <w:t xml:space="preserve">eslint-plugin-react-native-a11y</w:t>
      </w:r>
      <w:r>
        <w:t xml:space="preserve">).</w:t>
      </w:r>
    </w:p>
    <w:bookmarkEnd w:id="32"/>
    <w:bookmarkStart w:id="33" w:name="localisation"/>
    <w:p>
      <w:pPr>
        <w:pStyle w:val="Heading2"/>
      </w:pPr>
      <w:r>
        <w:t xml:space="preserve">7. Localisation</w:t>
      </w:r>
    </w:p>
    <w:p>
      <w:pPr>
        <w:pStyle w:val="Compact"/>
        <w:numPr>
          <w:ilvl w:val="0"/>
          <w:numId w:val="1007"/>
        </w:numPr>
      </w:pPr>
      <w:r>
        <w:rPr>
          <w:b/>
          <w:bCs/>
        </w:rPr>
        <w:t xml:space="preserve">Langue par défaut : français (Canada)</w:t>
      </w:r>
      <w:r>
        <w:t xml:space="preserve">; anglais (Canada) au lancement; arabe (RTL) à évaluer selon les corridors (Algérie, Maroc). Toutes les chaînes dans des fichiers de traduction (i18next +</w:t>
      </w:r>
      <w:r>
        <w:t xml:space="preserve"> </w:t>
      </w:r>
      <w:r>
        <w:rPr>
          <w:rStyle w:val="VerbatimChar"/>
        </w:rPr>
        <w:t xml:space="preserve">expo-localization</w:t>
      </w:r>
      <w:r>
        <w:t xml:space="preserve">); aucune chaîne en dur.</w:t>
      </w:r>
    </w:p>
    <w:p>
      <w:pPr>
        <w:pStyle w:val="Compact"/>
        <w:numPr>
          <w:ilvl w:val="0"/>
          <w:numId w:val="1007"/>
        </w:numPr>
      </w:pPr>
      <w:r>
        <w:rPr>
          <w:b/>
          <w:bCs/>
        </w:rPr>
        <w:t xml:space="preserve">Formats fr-CA</w:t>
      </w:r>
      <w:r>
        <w:t xml:space="preserve"> </w:t>
      </w:r>
      <w:r>
        <w:t xml:space="preserve">:</w:t>
      </w:r>
      <w:r>
        <w:t xml:space="preserve"> </w:t>
      </w:r>
      <w:r>
        <w:rPr>
          <w:rStyle w:val="VerbatimChar"/>
        </w:rPr>
        <w:t xml:space="preserve">32,06 $</w:t>
      </w:r>
      <w:r>
        <w:t xml:space="preserve">,</w:t>
      </w:r>
      <w:r>
        <w:t xml:space="preserve"> </w:t>
      </w:r>
      <w:r>
        <w:rPr>
          <w:rStyle w:val="VerbatimChar"/>
        </w:rPr>
        <w:t xml:space="preserve">21 h 40</w:t>
      </w:r>
      <w:r>
        <w:t xml:space="preserve">,</w:t>
      </w:r>
      <w:r>
        <w:t xml:space="preserve"> </w:t>
      </w:r>
      <w:r>
        <w:rPr>
          <w:rStyle w:val="VerbatimChar"/>
        </w:rPr>
        <w:t xml:space="preserve">ven. 14 nov.</w:t>
      </w:r>
      <w:r>
        <w:t xml:space="preserve">, séparateur de milliers espace insécable (</w:t>
      </w:r>
      <w:r>
        <w:rPr>
          <w:rStyle w:val="VerbatimChar"/>
        </w:rPr>
        <w:t xml:space="preserve">1 000 $</w:t>
      </w:r>
      <w:r>
        <w:t xml:space="preserve">). Utiliser</w:t>
      </w:r>
      <w:r>
        <w:t xml:space="preserve"> </w:t>
      </w:r>
      <w:r>
        <w:rPr>
          <w:rStyle w:val="VerbatimChar"/>
        </w:rPr>
        <w:t xml:space="preserve">Intl.NumberFormat('fr-CA', { style: 'currency', currency: 'CAD' })</w:t>
      </w:r>
      <w:r>
        <w:t xml:space="preserve"> </w:t>
      </w:r>
      <w:r>
        <w:t xml:space="preserve">et</w:t>
      </w:r>
      <w:r>
        <w:t xml:space="preserve"> </w:t>
      </w:r>
      <w:r>
        <w:rPr>
          <w:rStyle w:val="VerbatimChar"/>
        </w:rPr>
        <w:t xml:space="preserve">Intl.DateTimeFormat</w:t>
      </w:r>
      <w:r>
        <w:t xml:space="preserve">.</w:t>
      </w:r>
    </w:p>
    <w:p>
      <w:pPr>
        <w:pStyle w:val="Compact"/>
        <w:numPr>
          <w:ilvl w:val="0"/>
          <w:numId w:val="1007"/>
        </w:numPr>
      </w:pPr>
      <w:r>
        <w:rPr>
          <w:b/>
          <w:bCs/>
        </w:rPr>
        <w:t xml:space="preserve">Termes</w:t>
      </w:r>
      <w:r>
        <w:t xml:space="preserve"> </w:t>
      </w:r>
      <w:r>
        <w:t xml:space="preserve">: courriel, texto, égoportrait, clé d’accès, séquestre (guide de ton, charte p. 16). Vouvoiement.</w:t>
      </w:r>
    </w:p>
    <w:p>
      <w:pPr>
        <w:pStyle w:val="Compact"/>
        <w:numPr>
          <w:ilvl w:val="0"/>
          <w:numId w:val="1007"/>
        </w:numPr>
      </w:pPr>
      <w:r>
        <w:rPr>
          <w:b/>
          <w:bCs/>
        </w:rPr>
        <w:t xml:space="preserve">Pluriels et genres</w:t>
      </w:r>
      <w:r>
        <w:t xml:space="preserve"> </w:t>
      </w:r>
      <w:r>
        <w:t xml:space="preserve">gérés par ICU MessageFormat (« 1 voyageur », « 8 voyageurs »).</w:t>
      </w:r>
    </w:p>
    <w:p>
      <w:pPr>
        <w:pStyle w:val="Compact"/>
        <w:numPr>
          <w:ilvl w:val="0"/>
          <w:numId w:val="1007"/>
        </w:numPr>
      </w:pPr>
      <w:r>
        <w:rPr>
          <w:b/>
          <w:bCs/>
        </w:rPr>
        <w:t xml:space="preserve">RTL</w:t>
      </w:r>
      <w:r>
        <w:t xml:space="preserve"> </w:t>
      </w:r>
      <w:r>
        <w:t xml:space="preserve">: utiliser</w:t>
      </w:r>
      <w:r>
        <w:t xml:space="preserve"> </w:t>
      </w:r>
      <w:r>
        <w:rPr>
          <w:rStyle w:val="VerbatimChar"/>
        </w:rPr>
        <w:t xml:space="preserve">start</w:t>
      </w:r>
      <w:r>
        <w:t xml:space="preserve">/</w:t>
      </w:r>
      <w:r>
        <w:rPr>
          <w:rStyle w:val="VerbatimChar"/>
        </w:rPr>
        <w:t xml:space="preserve">end</w:t>
      </w:r>
      <w:r>
        <w:t xml:space="preserve">, icônes directionnelles miroir, codes et montants restent LTR.</w:t>
      </w:r>
    </w:p>
    <w:p>
      <w:pPr>
        <w:pStyle w:val="Compact"/>
        <w:numPr>
          <w:ilvl w:val="0"/>
          <w:numId w:val="1007"/>
        </w:numPr>
      </w:pPr>
      <w:r>
        <w:rPr>
          <w:b/>
          <w:bCs/>
        </w:rPr>
        <w:t xml:space="preserve">Fuseaux</w:t>
      </w:r>
      <w:r>
        <w:t xml:space="preserve"> </w:t>
      </w:r>
      <w:r>
        <w:t xml:space="preserve">: stocker en UTC, afficher dans le fuseau pertinent avec la ville.</w:t>
      </w:r>
    </w:p>
    <w:p>
      <w:pPr>
        <w:pStyle w:val="Compact"/>
        <w:numPr>
          <w:ilvl w:val="0"/>
          <w:numId w:val="1007"/>
        </w:numPr>
      </w:pPr>
      <w:r>
        <w:rPr>
          <w:b/>
          <w:bCs/>
        </w:rPr>
        <w:t xml:space="preserve">Expansion</w:t>
      </w:r>
      <w:r>
        <w:t xml:space="preserve"> </w:t>
      </w:r>
      <w:r>
        <w:t xml:space="preserve">: prévoir +30 % de longueur (anglais → français); boutons sur deux lignes interdits, préférer un libellé plus court.</w:t>
      </w:r>
    </w:p>
    <w:p>
      <w:pPr>
        <w:pStyle w:val="Compact"/>
        <w:numPr>
          <w:ilvl w:val="0"/>
          <w:numId w:val="1007"/>
        </w:numPr>
      </w:pPr>
      <w:r>
        <w:t xml:space="preserve">Les reçus et contrats sont en français (volet légal 2).</w:t>
      </w:r>
    </w:p>
    <w:bookmarkEnd w:id="33"/>
    <w:bookmarkStart w:id="34" w:name="événements-analytiques-suggérés"/>
    <w:p>
      <w:pPr>
        <w:pStyle w:val="Heading2"/>
      </w:pPr>
      <w:r>
        <w:t xml:space="preserve">8. Événements analytiques suggérés</w:t>
      </w:r>
    </w:p>
    <w:p>
      <w:pPr>
        <w:pStyle w:val="FirstParagraph"/>
      </w:pPr>
      <w:r>
        <w:t xml:space="preserve">Respect de la Loi 25 : consentement explicite pour les mesures non essentielles; aucun nom, courriel, téléphone, adresse, contenu de message ou montant exact lié à une personne dans les événements (SEC-13). Identifiant pseudonyme, propriétés catégorielles.</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4930"/>
        <w:gridCol w:w="1617"/>
        <w:gridCol w:w="3373"/>
      </w:tblGrid>
      <w:tr>
        <w:trPr>
          <w:tblHeader w:val="on"/>
        </w:trPr>
        <w:tc>
          <w:tcPr>
            <w:tcW w:type="dxa" w:w="4930"/>
            <w:shd w:val="clear" w:color="auto" w:fill="0F766E"/>
          </w:tcPr>
          <w:p>
            <w:pPr>
              <w:pStyle w:val="Compact"/>
              <w:spacing w:after="20"/>
            </w:pPr>
            <w:r>
              <w:rPr>
                <w:b/>
                <w:color w:val="FFFFFF"/>
                <w:sz w:val="17"/>
              </w:rPr>
              <w:t xml:space="preserve">Événement</w:t>
            </w:r>
          </w:p>
        </w:tc>
        <w:tc>
          <w:tcPr>
            <w:tcW w:type="dxa" w:w="1618"/>
            <w:shd w:val="clear" w:color="auto" w:fill="0F766E"/>
          </w:tcPr>
          <w:p>
            <w:pPr>
              <w:pStyle w:val="Compact"/>
              <w:spacing w:after="20"/>
            </w:pPr>
            <w:r>
              <w:rPr>
                <w:b/>
                <w:color w:val="FFFFFF"/>
                <w:sz w:val="17"/>
              </w:rPr>
              <w:t xml:space="preserve">Déclencheur</w:t>
            </w:r>
          </w:p>
        </w:tc>
        <w:tc>
          <w:tcPr>
            <w:tcW w:type="dxa" w:w="3373"/>
            <w:shd w:val="clear" w:color="auto" w:fill="0F766E"/>
          </w:tcPr>
          <w:p>
            <w:pPr>
              <w:pStyle w:val="Compact"/>
              <w:spacing w:after="20"/>
            </w:pPr>
            <w:r>
              <w:rPr>
                <w:b/>
                <w:color w:val="FFFFFF"/>
                <w:sz w:val="17"/>
              </w:rPr>
              <w:t xml:space="preserve">Propriétés</w:t>
            </w:r>
          </w:p>
        </w:tc>
      </w:tr>
      <w:tr>
        <w:tc>
          <w:tcPr>
            <w:tcW w:type="dxa" w:w="4930"/>
          </w:tcPr>
          <w:p>
            <w:pPr>
              <w:pStyle w:val="Compact"/>
              <w:spacing w:after="20"/>
            </w:pPr>
            <w:r>
              <w:rPr>
                <w:rStyle w:val="VerbatimChar"/>
                <w:sz w:val="17"/>
              </w:rPr>
              <w:t xml:space="preserve">onboarding_completed</w:t>
            </w:r>
            <w:r>
              <w:rPr>
                <w:sz w:val="17"/>
              </w:rPr>
              <w:t xml:space="preserve"> </w:t>
            </w:r>
            <w:r>
              <w:rPr>
                <w:sz w:val="17"/>
              </w:rPr>
              <w:t xml:space="preserve">/</w:t>
            </w:r>
            <w:r>
              <w:rPr>
                <w:sz w:val="17"/>
              </w:rPr>
              <w:t xml:space="preserve"> </w:t>
            </w:r>
            <w:r>
              <w:rPr>
                <w:rStyle w:val="VerbatimChar"/>
                <w:sz w:val="17"/>
              </w:rPr>
              <w:t xml:space="preserve">onboarding_skipped</w:t>
            </w:r>
          </w:p>
        </w:tc>
        <w:tc>
          <w:tcPr>
            <w:tcW w:type="dxa" w:w="1618"/>
          </w:tcPr>
          <w:p>
            <w:pPr>
              <w:pStyle w:val="Compact"/>
              <w:spacing w:after="20"/>
            </w:pPr>
            <w:r>
              <w:rPr>
                <w:sz w:val="17"/>
              </w:rPr>
              <w:t xml:space="preserve">Fin ou « Passer » (02–04)</w:t>
            </w:r>
          </w:p>
        </w:tc>
        <w:tc>
          <w:tcPr>
            <w:tcW w:type="dxa" w:w="3373"/>
          </w:tcPr>
          <w:p>
            <w:pPr>
              <w:pStyle w:val="Compact"/>
              <w:spacing w:after="20"/>
            </w:pPr>
            <w:r>
              <w:rPr>
                <w:rStyle w:val="VerbatimChar"/>
                <w:sz w:val="17"/>
              </w:rPr>
              <w:t xml:space="preserve">step</w:t>
            </w:r>
          </w:p>
        </w:tc>
      </w:tr>
      <w:tr>
        <w:tc>
          <w:tcPr>
            <w:tcW w:type="dxa" w:w="4930"/>
          </w:tcPr>
          <w:p>
            <w:pPr>
              <w:pStyle w:val="Compact"/>
              <w:spacing w:after="20"/>
            </w:pPr>
            <w:r>
              <w:rPr>
                <w:rStyle w:val="VerbatimChar"/>
                <w:sz w:val="17"/>
              </w:rPr>
              <w:t xml:space="preserve">signup_started</w:t>
            </w:r>
            <w:r>
              <w:rPr>
                <w:sz w:val="17"/>
              </w:rPr>
              <w:t xml:space="preserve"> </w:t>
            </w:r>
            <w:r>
              <w:rPr>
                <w:sz w:val="17"/>
              </w:rPr>
              <w:t xml:space="preserve">/</w:t>
            </w:r>
            <w:r>
              <w:rPr>
                <w:sz w:val="17"/>
              </w:rPr>
              <w:t xml:space="preserve"> </w:t>
            </w:r>
            <w:r>
              <w:rPr>
                <w:rStyle w:val="VerbatimChar"/>
                <w:sz w:val="17"/>
              </w:rPr>
              <w:t xml:space="preserve">signup_completed</w:t>
            </w:r>
          </w:p>
        </w:tc>
        <w:tc>
          <w:tcPr>
            <w:tcW w:type="dxa" w:w="1618"/>
          </w:tcPr>
          <w:p>
            <w:pPr>
              <w:pStyle w:val="Compact"/>
              <w:spacing w:after="20"/>
            </w:pPr>
            <w:r>
              <w:rPr>
                <w:sz w:val="17"/>
              </w:rPr>
              <w:t xml:space="preserve">06</w:t>
            </w:r>
          </w:p>
        </w:tc>
        <w:tc>
          <w:tcPr>
            <w:tcW w:type="dxa" w:w="3373"/>
          </w:tcPr>
          <w:p>
            <w:pPr>
              <w:pStyle w:val="Compact"/>
              <w:spacing w:after="20"/>
            </w:pPr>
            <w:r>
              <w:rPr>
                <w:rStyle w:val="VerbatimChar"/>
                <w:sz w:val="17"/>
              </w:rPr>
              <w:t xml:space="preserve">method</w:t>
            </w:r>
            <w:r>
              <w:rPr>
                <w:sz w:val="17"/>
              </w:rPr>
              <w:t xml:space="preserve"> </w:t>
            </w:r>
            <w:r>
              <w:rPr>
                <w:sz w:val="17"/>
              </w:rPr>
              <w:t xml:space="preserve">(apple, google, email),</w:t>
            </w:r>
            <w:r>
              <w:rPr>
                <w:sz w:val="17"/>
              </w:rPr>
              <w:t xml:space="preserve"> </w:t>
            </w:r>
            <w:r>
              <w:rPr>
                <w:rStyle w:val="VerbatimChar"/>
                <w:sz w:val="17"/>
              </w:rPr>
              <w:t xml:space="preserve">role_hint</w:t>
            </w:r>
          </w:p>
        </w:tc>
      </w:tr>
      <w:tr>
        <w:tc>
          <w:tcPr>
            <w:tcW w:type="dxa" w:w="4930"/>
          </w:tcPr>
          <w:p>
            <w:pPr>
              <w:pStyle w:val="Compact"/>
              <w:spacing w:after="20"/>
            </w:pPr>
            <w:r>
              <w:rPr>
                <w:rStyle w:val="VerbatimChar"/>
                <w:sz w:val="17"/>
              </w:rPr>
              <w:t xml:space="preserve">phone_verified</w:t>
            </w:r>
          </w:p>
        </w:tc>
        <w:tc>
          <w:tcPr>
            <w:tcW w:type="dxa" w:w="1618"/>
          </w:tcPr>
          <w:p>
            <w:pPr>
              <w:pStyle w:val="Compact"/>
              <w:spacing w:after="20"/>
            </w:pPr>
            <w:r>
              <w:rPr>
                <w:sz w:val="17"/>
              </w:rPr>
              <w:t xml:space="preserve">25</w:t>
            </w:r>
          </w:p>
        </w:tc>
        <w:tc>
          <w:tcPr>
            <w:tcW w:type="dxa" w:w="3373"/>
          </w:tcPr>
          <w:p>
            <w:pPr>
              <w:pStyle w:val="Compact"/>
              <w:spacing w:after="20"/>
            </w:pPr>
            <w:r>
              <w:rPr>
                <w:rStyle w:val="VerbatimChar"/>
                <w:sz w:val="17"/>
              </w:rPr>
              <w:t xml:space="preserve">attempts</w:t>
            </w:r>
          </w:p>
        </w:tc>
      </w:tr>
      <w:tr>
        <w:tc>
          <w:tcPr>
            <w:tcW w:type="dxa" w:w="4930"/>
          </w:tcPr>
          <w:p>
            <w:pPr>
              <w:pStyle w:val="Compact"/>
              <w:spacing w:after="20"/>
            </w:pPr>
            <w:r>
              <w:rPr>
                <w:rStyle w:val="VerbatimChar"/>
                <w:sz w:val="17"/>
              </w:rPr>
              <w:t xml:space="preserve">identity_started</w:t>
            </w:r>
            <w:r>
              <w:rPr>
                <w:sz w:val="17"/>
              </w:rPr>
              <w:t xml:space="preserve"> </w:t>
            </w:r>
            <w:r>
              <w:rPr>
                <w:sz w:val="17"/>
              </w:rPr>
              <w:t xml:space="preserve">/</w:t>
            </w:r>
            <w:r>
              <w:rPr>
                <w:sz w:val="17"/>
              </w:rPr>
              <w:t xml:space="preserve"> </w:t>
            </w:r>
            <w:r>
              <w:rPr>
                <w:rStyle w:val="VerbatimChar"/>
                <w:sz w:val="17"/>
              </w:rPr>
              <w:t xml:space="preserve">identity_consent_given</w:t>
            </w:r>
            <w:r>
              <w:rPr>
                <w:sz w:val="17"/>
              </w:rPr>
              <w:t xml:space="preserve"> </w:t>
            </w:r>
            <w:r>
              <w:rPr>
                <w:sz w:val="17"/>
              </w:rPr>
              <w:t xml:space="preserve">/</w:t>
            </w:r>
            <w:r>
              <w:rPr>
                <w:sz w:val="17"/>
              </w:rPr>
              <w:t xml:space="preserve"> </w:t>
            </w:r>
            <w:r>
              <w:rPr>
                <w:rStyle w:val="VerbatimChar"/>
                <w:sz w:val="17"/>
              </w:rPr>
              <w:t xml:space="preserve">identity_result</w:t>
            </w:r>
          </w:p>
        </w:tc>
        <w:tc>
          <w:tcPr>
            <w:tcW w:type="dxa" w:w="1618"/>
          </w:tcPr>
          <w:p>
            <w:pPr>
              <w:pStyle w:val="Compact"/>
              <w:spacing w:after="20"/>
            </w:pPr>
            <w:r>
              <w:rPr>
                <w:sz w:val="17"/>
              </w:rPr>
              <w:t xml:space="preserve">17, 18, 20–22</w:t>
            </w:r>
          </w:p>
        </w:tc>
        <w:tc>
          <w:tcPr>
            <w:tcW w:type="dxa" w:w="3373"/>
          </w:tcPr>
          <w:p>
            <w:pPr>
              <w:pStyle w:val="Compact"/>
              <w:spacing w:after="20"/>
            </w:pPr>
            <w:r>
              <w:rPr>
                <w:rStyle w:val="VerbatimChar"/>
                <w:sz w:val="17"/>
              </w:rPr>
              <w:t xml:space="preserve">result</w:t>
            </w:r>
            <w:r>
              <w:rPr>
                <w:sz w:val="17"/>
              </w:rPr>
              <w:t xml:space="preserve"> </w:t>
            </w:r>
            <w:r>
              <w:rPr>
                <w:sz w:val="17"/>
              </w:rPr>
              <w:t xml:space="preserve">(verified, processing, failed),</w:t>
            </w:r>
            <w:r>
              <w:rPr>
                <w:sz w:val="17"/>
              </w:rPr>
              <w:t xml:space="preserve"> </w:t>
            </w:r>
            <w:r>
              <w:rPr>
                <w:rStyle w:val="VerbatimChar"/>
                <w:sz w:val="17"/>
              </w:rPr>
              <w:t xml:space="preserve">reason_code</w:t>
            </w:r>
          </w:p>
        </w:tc>
      </w:tr>
      <w:tr>
        <w:tc>
          <w:tcPr>
            <w:tcW w:type="dxa" w:w="4930"/>
          </w:tcPr>
          <w:p>
            <w:pPr>
              <w:pStyle w:val="Compact"/>
              <w:spacing w:after="20"/>
            </w:pPr>
            <w:r>
              <w:rPr>
                <w:rStyle w:val="VerbatimChar"/>
                <w:sz w:val="17"/>
              </w:rPr>
              <w:t xml:space="preserve">search_performed</w:t>
            </w:r>
          </w:p>
        </w:tc>
        <w:tc>
          <w:tcPr>
            <w:tcW w:type="dxa" w:w="1618"/>
          </w:tcPr>
          <w:p>
            <w:pPr>
              <w:pStyle w:val="Compact"/>
              <w:spacing w:after="20"/>
            </w:pPr>
            <w:r>
              <w:rPr>
                <w:sz w:val="17"/>
              </w:rPr>
              <w:t xml:space="preserve">07</w:t>
            </w:r>
          </w:p>
        </w:tc>
        <w:tc>
          <w:tcPr>
            <w:tcW w:type="dxa" w:w="3373"/>
          </w:tcPr>
          <w:p>
            <w:pPr>
              <w:pStyle w:val="Compact"/>
              <w:spacing w:after="20"/>
            </w:pPr>
            <w:r>
              <w:rPr>
                <w:rStyle w:val="VerbatimChar"/>
                <w:sz w:val="17"/>
              </w:rPr>
              <w:t xml:space="preserve">corridor</w:t>
            </w:r>
            <w:r>
              <w:rPr>
                <w:sz w:val="17"/>
              </w:rPr>
              <w:t xml:space="preserve"> </w:t>
            </w:r>
            <w:r>
              <w:rPr>
                <w:sz w:val="17"/>
              </w:rPr>
              <w:t xml:space="preserve">(YUL-ALG),</w:t>
            </w:r>
            <w:r>
              <w:rPr>
                <w:sz w:val="17"/>
              </w:rPr>
              <w:t xml:space="preserve"> </w:t>
            </w:r>
            <w:r>
              <w:rPr>
                <w:rStyle w:val="VerbatimChar"/>
                <w:sz w:val="17"/>
              </w:rPr>
              <w:t xml:space="preserve">date_flex</w:t>
            </w:r>
            <w:r>
              <w:rPr>
                <w:sz w:val="17"/>
              </w:rPr>
              <w:t xml:space="preserve">,</w:t>
            </w:r>
            <w:r>
              <w:rPr>
                <w:sz w:val="17"/>
              </w:rPr>
              <w:t xml:space="preserve"> </w:t>
            </w:r>
            <w:r>
              <w:rPr>
                <w:rStyle w:val="VerbatimChar"/>
                <w:sz w:val="17"/>
              </w:rPr>
              <w:t xml:space="preserve">weight_bucket</w:t>
            </w:r>
          </w:p>
        </w:tc>
      </w:tr>
      <w:tr>
        <w:tc>
          <w:tcPr>
            <w:tcW w:type="dxa" w:w="4930"/>
          </w:tcPr>
          <w:p>
            <w:pPr>
              <w:pStyle w:val="Compact"/>
              <w:spacing w:after="20"/>
            </w:pPr>
            <w:r>
              <w:rPr>
                <w:rStyle w:val="VerbatimChar"/>
                <w:sz w:val="17"/>
              </w:rPr>
              <w:t xml:space="preserve">search_no_results</w:t>
            </w:r>
            <w:r>
              <w:rPr>
                <w:sz w:val="17"/>
              </w:rPr>
              <w:t xml:space="preserve"> </w:t>
            </w:r>
            <w:r>
              <w:rPr>
                <w:sz w:val="17"/>
              </w:rPr>
              <w:t xml:space="preserve">/</w:t>
            </w:r>
            <w:r>
              <w:rPr>
                <w:sz w:val="17"/>
              </w:rPr>
              <w:t xml:space="preserve"> </w:t>
            </w:r>
            <w:r>
              <w:rPr>
                <w:rStyle w:val="VerbatimChar"/>
                <w:sz w:val="17"/>
              </w:rPr>
              <w:t xml:space="preserve">alert_created</w:t>
            </w:r>
          </w:p>
        </w:tc>
        <w:tc>
          <w:tcPr>
            <w:tcW w:type="dxa" w:w="1618"/>
          </w:tcPr>
          <w:p>
            <w:pPr>
              <w:pStyle w:val="Compact"/>
              <w:spacing w:after="20"/>
            </w:pPr>
            <w:r>
              <w:rPr>
                <w:sz w:val="17"/>
              </w:rPr>
              <w:t xml:space="preserve">36</w:t>
            </w:r>
          </w:p>
        </w:tc>
        <w:tc>
          <w:tcPr>
            <w:tcW w:type="dxa" w:w="3373"/>
          </w:tcPr>
          <w:p>
            <w:pPr>
              <w:pStyle w:val="Compact"/>
              <w:spacing w:after="20"/>
            </w:pPr>
            <w:r>
              <w:rPr>
                <w:rStyle w:val="VerbatimChar"/>
                <w:sz w:val="17"/>
              </w:rPr>
              <w:t xml:space="preserve">corridor</w:t>
            </w:r>
          </w:p>
        </w:tc>
      </w:tr>
      <w:tr>
        <w:tc>
          <w:tcPr>
            <w:tcW w:type="dxa" w:w="4930"/>
          </w:tcPr>
          <w:p>
            <w:pPr>
              <w:pStyle w:val="Compact"/>
              <w:spacing w:after="20"/>
            </w:pPr>
            <w:r>
              <w:rPr>
                <w:rStyle w:val="VerbatimChar"/>
                <w:sz w:val="17"/>
              </w:rPr>
              <w:t xml:space="preserve">filters_applied</w:t>
            </w:r>
            <w:r>
              <w:rPr>
                <w:sz w:val="17"/>
              </w:rPr>
              <w:t xml:space="preserve"> </w:t>
            </w:r>
            <w:r>
              <w:rPr>
                <w:sz w:val="17"/>
              </w:rPr>
              <w:t xml:space="preserve">/</w:t>
            </w:r>
            <w:r>
              <w:rPr>
                <w:sz w:val="17"/>
              </w:rPr>
              <w:t xml:space="preserve"> </w:t>
            </w:r>
            <w:r>
              <w:rPr>
                <w:rStyle w:val="VerbatimChar"/>
                <w:sz w:val="17"/>
              </w:rPr>
              <w:t xml:space="preserve">map_opened</w:t>
            </w:r>
          </w:p>
        </w:tc>
        <w:tc>
          <w:tcPr>
            <w:tcW w:type="dxa" w:w="1618"/>
          </w:tcPr>
          <w:p>
            <w:pPr>
              <w:pStyle w:val="Compact"/>
              <w:spacing w:after="20"/>
            </w:pPr>
            <w:r>
              <w:rPr>
                <w:sz w:val="17"/>
              </w:rPr>
              <w:t xml:space="preserve">38, 39</w:t>
            </w:r>
          </w:p>
        </w:tc>
        <w:tc>
          <w:tcPr>
            <w:tcW w:type="dxa" w:w="3373"/>
          </w:tcPr>
          <w:p>
            <w:pPr>
              <w:pStyle w:val="Compact"/>
              <w:spacing w:after="20"/>
            </w:pPr>
            <w:r>
              <w:rPr>
                <w:rStyle w:val="VerbatimChar"/>
                <w:sz w:val="17"/>
              </w:rPr>
              <w:t xml:space="preserve">filters_count</w:t>
            </w:r>
            <w:r>
              <w:rPr>
                <w:sz w:val="17"/>
              </w:rPr>
              <w:t xml:space="preserve">,</w:t>
            </w:r>
            <w:r>
              <w:rPr>
                <w:sz w:val="17"/>
              </w:rPr>
              <w:t xml:space="preserve"> </w:t>
            </w:r>
            <w:r>
              <w:rPr>
                <w:rStyle w:val="VerbatimChar"/>
                <w:sz w:val="17"/>
              </w:rPr>
              <w:t xml:space="preserve">sort</w:t>
            </w:r>
          </w:p>
        </w:tc>
      </w:tr>
      <w:tr>
        <w:tc>
          <w:tcPr>
            <w:tcW w:type="dxa" w:w="4930"/>
          </w:tcPr>
          <w:p>
            <w:pPr>
              <w:pStyle w:val="Compact"/>
              <w:spacing w:after="20"/>
            </w:pPr>
            <w:r>
              <w:rPr>
                <w:rStyle w:val="VerbatimChar"/>
                <w:sz w:val="17"/>
              </w:rPr>
              <w:t xml:space="preserve">traveler_profile_viewed</w:t>
            </w:r>
          </w:p>
        </w:tc>
        <w:tc>
          <w:tcPr>
            <w:tcW w:type="dxa" w:w="1618"/>
          </w:tcPr>
          <w:p>
            <w:pPr>
              <w:pStyle w:val="Compact"/>
              <w:spacing w:after="20"/>
            </w:pPr>
            <w:r>
              <w:rPr>
                <w:sz w:val="17"/>
              </w:rPr>
              <w:t xml:space="preserve">09</w:t>
            </w:r>
          </w:p>
        </w:tc>
        <w:tc>
          <w:tcPr>
            <w:tcW w:type="dxa" w:w="3373"/>
          </w:tcPr>
          <w:p>
            <w:pPr>
              <w:pStyle w:val="Compact"/>
              <w:spacing w:after="20"/>
            </w:pPr>
            <w:r>
              <w:rPr>
                <w:rStyle w:val="VerbatimChar"/>
                <w:sz w:val="17"/>
              </w:rPr>
              <w:t xml:space="preserve">trust_level</w:t>
            </w:r>
          </w:p>
        </w:tc>
      </w:tr>
      <w:tr>
        <w:tc>
          <w:tcPr>
            <w:tcW w:type="dxa" w:w="4930"/>
          </w:tcPr>
          <w:p>
            <w:pPr>
              <w:pStyle w:val="Compact"/>
              <w:spacing w:after="20"/>
            </w:pPr>
            <w:r>
              <w:rPr>
                <w:rStyle w:val="VerbatimChar"/>
                <w:sz w:val="17"/>
              </w:rPr>
              <w:t xml:space="preserve">shipment_draft_step</w:t>
            </w:r>
          </w:p>
        </w:tc>
        <w:tc>
          <w:tcPr>
            <w:tcW w:type="dxa" w:w="1618"/>
          </w:tcPr>
          <w:p>
            <w:pPr>
              <w:pStyle w:val="Compact"/>
              <w:spacing w:after="20"/>
            </w:pPr>
            <w:r>
              <w:rPr>
                <w:sz w:val="17"/>
              </w:rPr>
              <w:t xml:space="preserve">10</w:t>
            </w:r>
          </w:p>
        </w:tc>
        <w:tc>
          <w:tcPr>
            <w:tcW w:type="dxa" w:w="3373"/>
          </w:tcPr>
          <w:p>
            <w:pPr>
              <w:pStyle w:val="Compact"/>
              <w:spacing w:after="20"/>
            </w:pPr>
            <w:r>
              <w:rPr>
                <w:rStyle w:val="VerbatimChar"/>
                <w:sz w:val="17"/>
              </w:rPr>
              <w:t xml:space="preserve">step</w:t>
            </w:r>
            <w:r>
              <w:rPr>
                <w:sz w:val="17"/>
              </w:rPr>
              <w:t xml:space="preserve"> </w:t>
            </w:r>
            <w:r>
              <w:rPr>
                <w:sz w:val="17"/>
              </w:rPr>
              <w:t xml:space="preserve">(1–4)</w:t>
            </w:r>
          </w:p>
        </w:tc>
      </w:tr>
      <w:tr>
        <w:tc>
          <w:tcPr>
            <w:tcW w:type="dxa" w:w="4930"/>
          </w:tcPr>
          <w:p>
            <w:pPr>
              <w:pStyle w:val="Compact"/>
              <w:spacing w:after="20"/>
            </w:pPr>
            <w:r>
              <w:rPr>
                <w:rStyle w:val="VerbatimChar"/>
                <w:sz w:val="17"/>
              </w:rPr>
              <w:t xml:space="preserve">insurance_viewed</w:t>
            </w:r>
            <w:r>
              <w:rPr>
                <w:sz w:val="17"/>
              </w:rPr>
              <w:t xml:space="preserve"> </w:t>
            </w:r>
            <w:r>
              <w:rPr>
                <w:sz w:val="17"/>
              </w:rPr>
              <w:t xml:space="preserve">/</w:t>
            </w:r>
            <w:r>
              <w:rPr>
                <w:sz w:val="17"/>
              </w:rPr>
              <w:t xml:space="preserve"> </w:t>
            </w:r>
            <w:r>
              <w:rPr>
                <w:rStyle w:val="VerbatimChar"/>
                <w:sz w:val="17"/>
              </w:rPr>
              <w:t xml:space="preserve">insurance_added</w:t>
            </w:r>
          </w:p>
        </w:tc>
        <w:tc>
          <w:tcPr>
            <w:tcW w:type="dxa" w:w="1618"/>
          </w:tcPr>
          <w:p>
            <w:pPr>
              <w:pStyle w:val="Compact"/>
              <w:spacing w:after="20"/>
            </w:pPr>
            <w:r>
              <w:rPr>
                <w:sz w:val="17"/>
              </w:rPr>
              <w:t xml:space="preserve">40, 11</w:t>
            </w:r>
          </w:p>
        </w:tc>
        <w:tc>
          <w:tcPr>
            <w:tcW w:type="dxa" w:w="3373"/>
          </w:tcPr>
          <w:p>
            <w:pPr>
              <w:pStyle w:val="Compact"/>
              <w:spacing w:after="20"/>
            </w:pPr>
            <w:r>
              <w:rPr>
                <w:rStyle w:val="VerbatimChar"/>
                <w:sz w:val="17"/>
              </w:rPr>
              <w:t xml:space="preserve">value_bucket</w:t>
            </w:r>
          </w:p>
        </w:tc>
      </w:tr>
      <w:tr>
        <w:tc>
          <w:tcPr>
            <w:tcW w:type="dxa" w:w="4930"/>
          </w:tcPr>
          <w:p>
            <w:pPr>
              <w:pStyle w:val="Compact"/>
              <w:spacing w:after="20"/>
            </w:pPr>
            <w:r>
              <w:rPr>
                <w:rStyle w:val="VerbatimChar"/>
                <w:sz w:val="17"/>
              </w:rPr>
              <w:t xml:space="preserve">checkout_started</w:t>
            </w:r>
            <w:r>
              <w:rPr>
                <w:sz w:val="17"/>
              </w:rPr>
              <w:t xml:space="preserve"> </w:t>
            </w:r>
            <w:r>
              <w:rPr>
                <w:sz w:val="17"/>
              </w:rPr>
              <w:t xml:space="preserve">/</w:t>
            </w:r>
            <w:r>
              <w:rPr>
                <w:sz w:val="17"/>
              </w:rPr>
              <w:t xml:space="preserve"> </w:t>
            </w:r>
            <w:r>
              <w:rPr>
                <w:rStyle w:val="VerbatimChar"/>
                <w:sz w:val="17"/>
              </w:rPr>
              <w:t xml:space="preserve">payment_succeeded</w:t>
            </w:r>
            <w:r>
              <w:rPr>
                <w:sz w:val="17"/>
              </w:rPr>
              <w:t xml:space="preserve"> </w:t>
            </w:r>
            <w:r>
              <w:rPr>
                <w:sz w:val="17"/>
              </w:rPr>
              <w:t xml:space="preserve">/</w:t>
            </w:r>
            <w:r>
              <w:rPr>
                <w:sz w:val="17"/>
              </w:rPr>
              <w:t xml:space="preserve"> </w:t>
            </w:r>
            <w:r>
              <w:rPr>
                <w:rStyle w:val="VerbatimChar"/>
                <w:sz w:val="17"/>
              </w:rPr>
              <w:t xml:space="preserve">payment_failed</w:t>
            </w:r>
          </w:p>
        </w:tc>
        <w:tc>
          <w:tcPr>
            <w:tcW w:type="dxa" w:w="1618"/>
          </w:tcPr>
          <w:p>
            <w:pPr>
              <w:pStyle w:val="Compact"/>
              <w:spacing w:after="20"/>
            </w:pPr>
            <w:r>
              <w:rPr>
                <w:sz w:val="17"/>
              </w:rPr>
              <w:t xml:space="preserve">11</w:t>
            </w:r>
          </w:p>
        </w:tc>
        <w:tc>
          <w:tcPr>
            <w:tcW w:type="dxa" w:w="3373"/>
          </w:tcPr>
          <w:p>
            <w:pPr>
              <w:pStyle w:val="Compact"/>
              <w:spacing w:after="20"/>
            </w:pPr>
            <w:r>
              <w:rPr>
                <w:rStyle w:val="VerbatimChar"/>
                <w:sz w:val="17"/>
              </w:rPr>
              <w:t xml:space="preserve">method</w:t>
            </w:r>
            <w:r>
              <w:rPr>
                <w:sz w:val="17"/>
              </w:rPr>
              <w:t xml:space="preserve">,</w:t>
            </w:r>
            <w:r>
              <w:rPr>
                <w:sz w:val="17"/>
              </w:rPr>
              <w:t xml:space="preserve"> </w:t>
            </w:r>
            <w:r>
              <w:rPr>
                <w:rStyle w:val="VerbatimChar"/>
                <w:sz w:val="17"/>
              </w:rPr>
              <w:t xml:space="preserve">error_code</w:t>
            </w:r>
          </w:p>
        </w:tc>
      </w:tr>
      <w:tr>
        <w:tc>
          <w:tcPr>
            <w:tcW w:type="dxa" w:w="4930"/>
          </w:tcPr>
          <w:p>
            <w:pPr>
              <w:pStyle w:val="Compact"/>
              <w:spacing w:after="20"/>
            </w:pPr>
            <w:r>
              <w:rPr>
                <w:rStyle w:val="VerbatimChar"/>
                <w:sz w:val="17"/>
              </w:rPr>
              <w:t xml:space="preserve">request_sent</w:t>
            </w:r>
            <w:r>
              <w:rPr>
                <w:sz w:val="17"/>
              </w:rPr>
              <w:t xml:space="preserve"> </w:t>
            </w:r>
            <w:r>
              <w:rPr>
                <w:sz w:val="17"/>
              </w:rPr>
              <w:t xml:space="preserve">/</w:t>
            </w:r>
            <w:r>
              <w:rPr>
                <w:sz w:val="17"/>
              </w:rPr>
              <w:t xml:space="preserve"> </w:t>
            </w:r>
            <w:r>
              <w:rPr>
                <w:rStyle w:val="VerbatimChar"/>
                <w:sz w:val="17"/>
              </w:rPr>
              <w:t xml:space="preserve">request_accepted</w:t>
            </w:r>
            <w:r>
              <w:rPr>
                <w:sz w:val="17"/>
              </w:rPr>
              <w:t xml:space="preserve"> </w:t>
            </w:r>
            <w:r>
              <w:rPr>
                <w:sz w:val="17"/>
              </w:rPr>
              <w:t xml:space="preserve">/</w:t>
            </w:r>
            <w:r>
              <w:rPr>
                <w:sz w:val="17"/>
              </w:rPr>
              <w:t xml:space="preserve"> </w:t>
            </w:r>
            <w:r>
              <w:rPr>
                <w:rStyle w:val="VerbatimChar"/>
                <w:sz w:val="17"/>
              </w:rPr>
              <w:t xml:space="preserve">request_declined</w:t>
            </w:r>
            <w:r>
              <w:rPr>
                <w:sz w:val="17"/>
              </w:rPr>
              <w:t xml:space="preserve"> </w:t>
            </w:r>
            <w:r>
              <w:rPr>
                <w:sz w:val="17"/>
              </w:rPr>
              <w:t xml:space="preserve">/</w:t>
            </w:r>
            <w:r>
              <w:rPr>
                <w:sz w:val="17"/>
              </w:rPr>
              <w:t xml:space="preserve"> </w:t>
            </w:r>
            <w:r>
              <w:rPr>
                <w:rStyle w:val="VerbatimChar"/>
                <w:sz w:val="17"/>
              </w:rPr>
              <w:t xml:space="preserve">request_expired</w:t>
            </w:r>
          </w:p>
        </w:tc>
        <w:tc>
          <w:tcPr>
            <w:tcW w:type="dxa" w:w="1618"/>
          </w:tcPr>
          <w:p>
            <w:pPr>
              <w:pStyle w:val="Compact"/>
              <w:spacing w:after="20"/>
            </w:pPr>
            <w:r>
              <w:rPr>
                <w:sz w:val="17"/>
              </w:rPr>
              <w:t xml:space="preserve">26–29</w:t>
            </w:r>
          </w:p>
        </w:tc>
        <w:tc>
          <w:tcPr>
            <w:tcW w:type="dxa" w:w="3373"/>
          </w:tcPr>
          <w:p>
            <w:pPr>
              <w:pStyle w:val="Compact"/>
              <w:spacing w:after="20"/>
            </w:pPr>
            <w:r>
              <w:rPr>
                <w:rStyle w:val="VerbatimChar"/>
                <w:sz w:val="17"/>
              </w:rPr>
              <w:t xml:space="preserve">decline_reason</w:t>
            </w:r>
          </w:p>
        </w:tc>
      </w:tr>
      <w:tr>
        <w:tc>
          <w:tcPr>
            <w:tcW w:type="dxa" w:w="4930"/>
          </w:tcPr>
          <w:p>
            <w:pPr>
              <w:pStyle w:val="Compact"/>
              <w:spacing w:after="20"/>
            </w:pPr>
            <w:r>
              <w:rPr>
                <w:rStyle w:val="VerbatimChar"/>
                <w:sz w:val="17"/>
              </w:rPr>
              <w:t xml:space="preserve">handover_completed</w:t>
            </w:r>
          </w:p>
        </w:tc>
        <w:tc>
          <w:tcPr>
            <w:tcW w:type="dxa" w:w="1618"/>
          </w:tcPr>
          <w:p>
            <w:pPr>
              <w:pStyle w:val="Compact"/>
              <w:spacing w:after="20"/>
            </w:pPr>
            <w:r>
              <w:rPr>
                <w:sz w:val="17"/>
              </w:rPr>
              <w:t xml:space="preserve">13, 37</w:t>
            </w:r>
          </w:p>
        </w:tc>
        <w:tc>
          <w:tcPr>
            <w:tcW w:type="dxa" w:w="3373"/>
          </w:tcPr>
          <w:p>
            <w:pPr>
              <w:pStyle w:val="Compact"/>
              <w:spacing w:after="20"/>
            </w:pPr>
            <w:r>
              <w:rPr>
                <w:rStyle w:val="VerbatimChar"/>
                <w:sz w:val="17"/>
              </w:rPr>
              <w:t xml:space="preserve">offline</w:t>
            </w:r>
            <w:r>
              <w:rPr>
                <w:sz w:val="17"/>
              </w:rPr>
              <w:t xml:space="preserve"> </w:t>
            </w:r>
            <w:r>
              <w:rPr>
                <w:sz w:val="17"/>
              </w:rPr>
              <w:t xml:space="preserve">(bool)</w:t>
            </w:r>
          </w:p>
        </w:tc>
      </w:tr>
      <w:tr>
        <w:tc>
          <w:tcPr>
            <w:tcW w:type="dxa" w:w="4930"/>
          </w:tcPr>
          <w:p>
            <w:pPr>
              <w:pStyle w:val="Compact"/>
              <w:spacing w:after="20"/>
            </w:pPr>
            <w:r>
              <w:rPr>
                <w:rStyle w:val="VerbatimChar"/>
                <w:sz w:val="17"/>
              </w:rPr>
              <w:t xml:space="preserve">customs_attestation_refused</w:t>
            </w:r>
          </w:p>
        </w:tc>
        <w:tc>
          <w:tcPr>
            <w:tcW w:type="dxa" w:w="1618"/>
          </w:tcPr>
          <w:p>
            <w:pPr>
              <w:pStyle w:val="Compact"/>
              <w:spacing w:after="20"/>
            </w:pPr>
            <w:r>
              <w:rPr>
                <w:sz w:val="17"/>
              </w:rPr>
              <w:t xml:space="preserve">49</w:t>
            </w:r>
          </w:p>
        </w:tc>
        <w:tc>
          <w:tcPr>
            <w:tcW w:type="dxa" w:w="3373"/>
          </w:tcPr>
          <w:p>
            <w:pPr>
              <w:pStyle w:val="Compact"/>
              <w:spacing w:after="20"/>
            </w:pPr>
            <w:r>
              <w:rPr>
                <w:rStyle w:val="VerbatimChar"/>
                <w:sz w:val="17"/>
              </w:rPr>
              <w:t xml:space="preserve">reason</w:t>
            </w:r>
          </w:p>
        </w:tc>
      </w:tr>
      <w:tr>
        <w:tc>
          <w:tcPr>
            <w:tcW w:type="dxa" w:w="4930"/>
          </w:tcPr>
          <w:p>
            <w:pPr>
              <w:pStyle w:val="Compact"/>
              <w:spacing w:after="20"/>
            </w:pPr>
            <w:r>
              <w:rPr>
                <w:rStyle w:val="VerbatimChar"/>
                <w:sz w:val="17"/>
              </w:rPr>
              <w:t xml:space="preserve">flight_disruption_choice</w:t>
            </w:r>
          </w:p>
        </w:tc>
        <w:tc>
          <w:tcPr>
            <w:tcW w:type="dxa" w:w="1618"/>
          </w:tcPr>
          <w:p>
            <w:pPr>
              <w:pStyle w:val="Compact"/>
              <w:spacing w:after="20"/>
            </w:pPr>
            <w:r>
              <w:rPr>
                <w:sz w:val="17"/>
              </w:rPr>
              <w:t xml:space="preserve">34</w:t>
            </w:r>
          </w:p>
        </w:tc>
        <w:tc>
          <w:tcPr>
            <w:tcW w:type="dxa" w:w="3373"/>
          </w:tcPr>
          <w:p>
            <w:pPr>
              <w:pStyle w:val="Compact"/>
              <w:spacing w:after="20"/>
            </w:pPr>
            <w:r>
              <w:rPr>
                <w:rStyle w:val="VerbatimChar"/>
                <w:sz w:val="17"/>
              </w:rPr>
              <w:t xml:space="preserve">choice</w:t>
            </w:r>
            <w:r>
              <w:rPr>
                <w:sz w:val="17"/>
              </w:rPr>
              <w:t xml:space="preserve"> </w:t>
            </w:r>
            <w:r>
              <w:rPr>
                <w:sz w:val="17"/>
              </w:rPr>
              <w:t xml:space="preserve">(reassign, keep, refund)</w:t>
            </w:r>
          </w:p>
        </w:tc>
      </w:tr>
      <w:tr>
        <w:tc>
          <w:tcPr>
            <w:tcW w:type="dxa" w:w="4930"/>
          </w:tcPr>
          <w:p>
            <w:pPr>
              <w:pStyle w:val="Compact"/>
              <w:spacing w:after="20"/>
            </w:pPr>
            <w:r>
              <w:rPr>
                <w:rStyle w:val="VerbatimChar"/>
                <w:sz w:val="17"/>
              </w:rPr>
              <w:t xml:space="preserve">dispute_opened</w:t>
            </w:r>
          </w:p>
        </w:tc>
        <w:tc>
          <w:tcPr>
            <w:tcW w:type="dxa" w:w="1618"/>
          </w:tcPr>
          <w:p>
            <w:pPr>
              <w:pStyle w:val="Compact"/>
              <w:spacing w:after="20"/>
            </w:pPr>
            <w:r>
              <w:rPr>
                <w:sz w:val="17"/>
              </w:rPr>
              <w:t xml:space="preserve">35</w:t>
            </w:r>
          </w:p>
        </w:tc>
        <w:tc>
          <w:tcPr>
            <w:tcW w:type="dxa" w:w="3373"/>
          </w:tcPr>
          <w:p>
            <w:pPr>
              <w:pStyle w:val="Compact"/>
              <w:spacing w:after="20"/>
            </w:pPr>
            <w:r>
              <w:rPr>
                <w:rStyle w:val="VerbatimChar"/>
                <w:sz w:val="17"/>
              </w:rPr>
              <w:t xml:space="preserve">reason</w:t>
            </w:r>
          </w:p>
        </w:tc>
      </w:tr>
      <w:tr>
        <w:tc>
          <w:tcPr>
            <w:tcW w:type="dxa" w:w="4930"/>
          </w:tcPr>
          <w:p>
            <w:pPr>
              <w:pStyle w:val="Compact"/>
              <w:spacing w:after="20"/>
            </w:pPr>
            <w:r>
              <w:rPr>
                <w:rStyle w:val="VerbatimChar"/>
                <w:sz w:val="17"/>
              </w:rPr>
              <w:t xml:space="preserve">delivery_confirmed</w:t>
            </w:r>
            <w:r>
              <w:rPr>
                <w:sz w:val="17"/>
              </w:rPr>
              <w:t xml:space="preserve"> </w:t>
            </w:r>
            <w:r>
              <w:rPr>
                <w:sz w:val="17"/>
              </w:rPr>
              <w:t xml:space="preserve">/</w:t>
            </w:r>
            <w:r>
              <w:rPr>
                <w:sz w:val="17"/>
              </w:rPr>
              <w:t xml:space="preserve"> </w:t>
            </w:r>
            <w:r>
              <w:rPr>
                <w:rStyle w:val="VerbatimChar"/>
                <w:sz w:val="17"/>
              </w:rPr>
              <w:t xml:space="preserve">review_submitted</w:t>
            </w:r>
          </w:p>
        </w:tc>
        <w:tc>
          <w:tcPr>
            <w:tcW w:type="dxa" w:w="1618"/>
          </w:tcPr>
          <w:p>
            <w:pPr>
              <w:pStyle w:val="Compact"/>
              <w:spacing w:after="20"/>
            </w:pPr>
            <w:r>
              <w:rPr>
                <w:sz w:val="17"/>
              </w:rPr>
              <w:t xml:space="preserve">33</w:t>
            </w:r>
          </w:p>
        </w:tc>
        <w:tc>
          <w:tcPr>
            <w:tcW w:type="dxa" w:w="3373"/>
          </w:tcPr>
          <w:p>
            <w:pPr>
              <w:pStyle w:val="Compact"/>
              <w:spacing w:after="20"/>
            </w:pPr>
            <w:r>
              <w:rPr>
                <w:rStyle w:val="VerbatimChar"/>
                <w:sz w:val="17"/>
              </w:rPr>
              <w:t xml:space="preserve">rating</w:t>
            </w:r>
            <w:r>
              <w:rPr>
                <w:sz w:val="17"/>
              </w:rPr>
              <w:t xml:space="preserve">,</w:t>
            </w:r>
            <w:r>
              <w:rPr>
                <w:sz w:val="17"/>
              </w:rPr>
              <w:t xml:space="preserve"> </w:t>
            </w:r>
            <w:r>
              <w:rPr>
                <w:rStyle w:val="VerbatimChar"/>
                <w:sz w:val="17"/>
              </w:rPr>
              <w:t xml:space="preserve">tags_count</w:t>
            </w:r>
          </w:p>
        </w:tc>
      </w:tr>
      <w:tr>
        <w:tc>
          <w:tcPr>
            <w:tcW w:type="dxa" w:w="4930"/>
          </w:tcPr>
          <w:p>
            <w:pPr>
              <w:pStyle w:val="Compact"/>
              <w:spacing w:after="20"/>
            </w:pPr>
            <w:r>
              <w:rPr>
                <w:rStyle w:val="VerbatimChar"/>
                <w:sz w:val="17"/>
              </w:rPr>
              <w:t xml:space="preserve">trip_published</w:t>
            </w:r>
          </w:p>
        </w:tc>
        <w:tc>
          <w:tcPr>
            <w:tcW w:type="dxa" w:w="1618"/>
          </w:tcPr>
          <w:p>
            <w:pPr>
              <w:pStyle w:val="Compact"/>
              <w:spacing w:after="20"/>
            </w:pPr>
            <w:r>
              <w:rPr>
                <w:sz w:val="17"/>
              </w:rPr>
              <w:t xml:space="preserve">15</w:t>
            </w:r>
          </w:p>
        </w:tc>
        <w:tc>
          <w:tcPr>
            <w:tcW w:type="dxa" w:w="3373"/>
          </w:tcPr>
          <w:p>
            <w:pPr>
              <w:pStyle w:val="Compact"/>
              <w:spacing w:after="20"/>
            </w:pPr>
            <w:r>
              <w:rPr>
                <w:rStyle w:val="VerbatimChar"/>
                <w:sz w:val="17"/>
              </w:rPr>
              <w:t xml:space="preserve">corridor</w:t>
            </w:r>
            <w:r>
              <w:rPr>
                <w:sz w:val="17"/>
              </w:rPr>
              <w:t xml:space="preserve">,</w:t>
            </w:r>
            <w:r>
              <w:rPr>
                <w:sz w:val="17"/>
              </w:rPr>
              <w:t xml:space="preserve"> </w:t>
            </w:r>
            <w:r>
              <w:rPr>
                <w:rStyle w:val="VerbatimChar"/>
                <w:sz w:val="17"/>
              </w:rPr>
              <w:t xml:space="preserve">capacity_bucket</w:t>
            </w:r>
          </w:p>
        </w:tc>
      </w:tr>
      <w:tr>
        <w:tc>
          <w:tcPr>
            <w:tcW w:type="dxa" w:w="4930"/>
          </w:tcPr>
          <w:p>
            <w:pPr>
              <w:pStyle w:val="Compact"/>
              <w:spacing w:after="20"/>
            </w:pPr>
            <w:r>
              <w:rPr>
                <w:rStyle w:val="VerbatimChar"/>
                <w:sz w:val="17"/>
              </w:rPr>
              <w:t xml:space="preserve">payout_onboarding_started</w:t>
            </w:r>
            <w:r>
              <w:rPr>
                <w:sz w:val="17"/>
              </w:rPr>
              <w:t xml:space="preserve"> </w:t>
            </w:r>
            <w:r>
              <w:rPr>
                <w:sz w:val="17"/>
              </w:rPr>
              <w:t xml:space="preserve">/</w:t>
            </w:r>
            <w:r>
              <w:rPr>
                <w:sz w:val="17"/>
              </w:rPr>
              <w:t xml:space="preserve"> </w:t>
            </w:r>
            <w:r>
              <w:rPr>
                <w:rStyle w:val="VerbatimChar"/>
                <w:sz w:val="17"/>
              </w:rPr>
              <w:t xml:space="preserve">payout_requested</w:t>
            </w:r>
          </w:p>
        </w:tc>
        <w:tc>
          <w:tcPr>
            <w:tcW w:type="dxa" w:w="1618"/>
          </w:tcPr>
          <w:p>
            <w:pPr>
              <w:pStyle w:val="Compact"/>
              <w:spacing w:after="20"/>
            </w:pPr>
            <w:r>
              <w:rPr>
                <w:sz w:val="17"/>
              </w:rPr>
              <w:t xml:space="preserve">42, 41</w:t>
            </w:r>
          </w:p>
        </w:tc>
        <w:tc>
          <w:tcPr>
            <w:tcW w:type="dxa" w:w="3373"/>
          </w:tcPr>
          <w:p>
            <w:pPr>
              <w:pStyle w:val="Compact"/>
              <w:spacing w:after="20"/>
            </w:pPr>
            <w:r>
              <w:rPr>
                <w:rStyle w:val="VerbatimChar"/>
                <w:sz w:val="17"/>
              </w:rPr>
              <w:t xml:space="preserve">type</w:t>
            </w:r>
            <w:r>
              <w:rPr>
                <w:sz w:val="17"/>
              </w:rPr>
              <w:t xml:space="preserve"> </w:t>
            </w:r>
            <w:r>
              <w:rPr>
                <w:sz w:val="17"/>
              </w:rPr>
              <w:t xml:space="preserve">(standard, instant)</w:t>
            </w:r>
          </w:p>
        </w:tc>
      </w:tr>
      <w:tr>
        <w:tc>
          <w:tcPr>
            <w:tcW w:type="dxa" w:w="4930"/>
          </w:tcPr>
          <w:p>
            <w:pPr>
              <w:pStyle w:val="Compact"/>
              <w:spacing w:after="20"/>
            </w:pPr>
            <w:r>
              <w:rPr>
                <w:rStyle w:val="VerbatimChar"/>
                <w:sz w:val="17"/>
              </w:rPr>
              <w:t xml:space="preserve">account_deletion_started</w:t>
            </w:r>
            <w:r>
              <w:rPr>
                <w:sz w:val="17"/>
              </w:rPr>
              <w:t xml:space="preserve"> </w:t>
            </w:r>
            <w:r>
              <w:rPr>
                <w:sz w:val="17"/>
              </w:rPr>
              <w:t xml:space="preserve">/</w:t>
            </w:r>
            <w:r>
              <w:rPr>
                <w:sz w:val="17"/>
              </w:rPr>
              <w:t xml:space="preserve"> </w:t>
            </w:r>
            <w:r>
              <w:rPr>
                <w:rStyle w:val="VerbatimChar"/>
                <w:sz w:val="17"/>
              </w:rPr>
              <w:t xml:space="preserve">account_deleted</w:t>
            </w:r>
          </w:p>
        </w:tc>
        <w:tc>
          <w:tcPr>
            <w:tcW w:type="dxa" w:w="1618"/>
          </w:tcPr>
          <w:p>
            <w:pPr>
              <w:pStyle w:val="Compact"/>
              <w:spacing w:after="20"/>
            </w:pPr>
            <w:r>
              <w:rPr>
                <w:sz w:val="17"/>
              </w:rPr>
              <w:t xml:space="preserve">47, 48</w:t>
            </w:r>
          </w:p>
        </w:tc>
        <w:tc>
          <w:tcPr>
            <w:tcW w:type="dxa" w:w="3373"/>
          </w:tcPr>
          <w:p>
            <w:pPr>
              <w:pStyle w:val="Compact"/>
              <w:spacing w:after="20"/>
            </w:pPr>
            <w:r>
              <w:rPr>
                <w:rStyle w:val="VerbatimChar"/>
                <w:sz w:val="17"/>
              </w:rPr>
              <w:t xml:space="preserve">reason</w:t>
            </w:r>
          </w:p>
        </w:tc>
      </w:tr>
    </w:tbl>
    <w:p>
      <w:pPr>
        <w:pStyle w:val="BodyText"/>
      </w:pPr>
      <w:r>
        <w:t xml:space="preserve">Indicateurs clés : conversion recherche → paiement, délai de 1re réponse du voyageur, taux d’acceptation, taux de litige pour 100 livraisons, réussite de la vérification d’identité, part des versements instantanés, NPS après livraison.</w:t>
      </w:r>
    </w:p>
    <w:bookmarkEnd w:id="34"/>
    <w:bookmarkStart w:id="35" w:name="monétisation-exigences-ux"/>
    <w:p>
      <w:pPr>
        <w:pStyle w:val="Heading2"/>
      </w:pPr>
      <w:r>
        <w:t xml:space="preserve">9. Monétisation : exigences UX</w:t>
      </w:r>
    </w:p>
    <w:p>
      <w:pPr>
        <w:pStyle w:val="FirstParagraph"/>
      </w:pPr>
      <w:r>
        <w:t xml:space="preserve">Le cadre légal est dans le volet légal (sections 1 à 6) et la mise en œuvre dans le volet technique (section 4). Les règles d’interface :</w:t>
      </w:r>
    </w:p>
    <w:p>
      <w:pPr>
        <w:pStyle w:val="Compact"/>
        <w:numPr>
          <w:ilvl w:val="0"/>
          <w:numId w:val="1008"/>
        </w:numPr>
      </w:pPr>
      <w:r>
        <w:rPr>
          <w:b/>
          <w:bCs/>
        </w:rPr>
        <w:t xml:space="preserve">Prix tout inclus partout</w:t>
      </w:r>
      <w:r>
        <w:t xml:space="preserve"> </w:t>
      </w:r>
      <w:r>
        <w:t xml:space="preserve">: les cartes de résultats, le profil voyageur et la carte affichent le prix pour le poids saisi,</w:t>
      </w:r>
      <w:r>
        <w:t xml:space="preserve"> </w:t>
      </w:r>
      <w:r>
        <w:rPr>
          <w:b/>
          <w:bCs/>
        </w:rPr>
        <w:t xml:space="preserve">frais de service inclus</w:t>
      </w:r>
      <w:r>
        <w:t xml:space="preserve">, avec la mention « frais inclus » ; seules les taxes s’ajoutent au paiement. Exemple des maquettes : transport 24,00 $ + frais 3,60 $ =</w:t>
      </w:r>
      <w:r>
        <w:t xml:space="preserve"> </w:t>
      </w:r>
      <w:r>
        <w:rPr>
          <w:b/>
          <w:bCs/>
        </w:rPr>
        <w:t xml:space="preserve">27,60 $</w:t>
      </w:r>
      <w:r>
        <w:t xml:space="preserve"> </w:t>
      </w:r>
      <w:r>
        <w:t xml:space="preserve">affiché (08, 09, 39).</w:t>
      </w:r>
    </w:p>
    <w:p>
      <w:pPr>
        <w:pStyle w:val="Compact"/>
        <w:numPr>
          <w:ilvl w:val="0"/>
          <w:numId w:val="1008"/>
        </w:numPr>
      </w:pPr>
      <w:r>
        <w:rPr>
          <w:b/>
          <w:bCs/>
        </w:rPr>
        <w:t xml:space="preserve">Détail avant paiement</w:t>
      </w:r>
      <w:r>
        <w:t xml:space="preserve"> </w:t>
      </w:r>
      <w:r>
        <w:t xml:space="preserve">(11) : transport, frais de service Volis (taux affiché), assurance si choisie, taxes (TPS, TVQ, taxe sur la prime), total. Le bouton reprend le total exact (« Payer 32,06 $ »). Sans assurance, le total de l’exemple est de 28,14 $.</w:t>
      </w:r>
    </w:p>
    <w:p>
      <w:pPr>
        <w:pStyle w:val="Compact"/>
        <w:numPr>
          <w:ilvl w:val="0"/>
          <w:numId w:val="1008"/>
        </w:numPr>
      </w:pPr>
      <w:r>
        <w:rPr>
          <w:b/>
          <w:bCs/>
        </w:rPr>
        <w:t xml:space="preserve">Assurance optionnelle</w:t>
      </w:r>
      <w:r>
        <w:t xml:space="preserve"> </w:t>
      </w:r>
      <w:r>
        <w:t xml:space="preserve">(40) : jamais présélectionnée, jamais obligatoire; prix séparé; couvert / non couvert; plafond = valeur déclarée; nom de l’assureur partenaire; divulgation de la rémunération reçue par Volis; lien vers le résumé de la police. Les mots « assuré » ou « garanti » ne s’affichent que si l’assurance est choisie (volet légal 2).</w:t>
      </w:r>
    </w:p>
    <w:p>
      <w:pPr>
        <w:pStyle w:val="Compact"/>
        <w:numPr>
          <w:ilvl w:val="0"/>
          <w:numId w:val="1008"/>
        </w:numPr>
      </w:pPr>
      <w:r>
        <w:rPr>
          <w:b/>
          <w:bCs/>
        </w:rPr>
        <w:t xml:space="preserve">Protection de base</w:t>
      </w:r>
      <w:r>
        <w:t xml:space="preserve"> </w:t>
      </w:r>
      <w:r>
        <w:t xml:space="preserve">: sans assurance, le plafond d’indemnisation Volis est affiché près de la valeur déclarée (10) et dans le litige (35). Le texte ne doit pas laisser croire à une exclusion de responsabilité (volet légal 4).</w:t>
      </w:r>
    </w:p>
    <w:p>
      <w:pPr>
        <w:pStyle w:val="Compact"/>
        <w:numPr>
          <w:ilvl w:val="0"/>
          <w:numId w:val="1008"/>
        </w:numPr>
      </w:pPr>
      <w:r>
        <w:rPr>
          <w:b/>
          <w:bCs/>
        </w:rPr>
        <w:t xml:space="preserve">Gain du voyageur</w:t>
      </w:r>
      <w:r>
        <w:t xml:space="preserve"> </w:t>
      </w:r>
      <w:r>
        <w:t xml:space="preserve">affiché net (26, 31) : ce qu’il recevra, sans ambiguïté sur la commission.</w:t>
      </w:r>
    </w:p>
    <w:p>
      <w:pPr>
        <w:pStyle w:val="Compact"/>
        <w:numPr>
          <w:ilvl w:val="0"/>
          <w:numId w:val="1008"/>
        </w:numPr>
      </w:pPr>
      <w:r>
        <w:rPr>
          <w:b/>
          <w:bCs/>
        </w:rPr>
        <w:t xml:space="preserve">Versement instantané</w:t>
      </w:r>
      <w:r>
        <w:t xml:space="preserve"> </w:t>
      </w:r>
      <w:r>
        <w:t xml:space="preserve">(41) : frais visibles avant le choix; standard gratuit toujours offert et présélectionné.</w:t>
      </w:r>
    </w:p>
    <w:p>
      <w:pPr>
        <w:pStyle w:val="Compact"/>
        <w:numPr>
          <w:ilvl w:val="0"/>
          <w:numId w:val="1008"/>
        </w:numPr>
      </w:pPr>
      <w:r>
        <w:rPr>
          <w:b/>
          <w:bCs/>
        </w:rPr>
        <w:t xml:space="preserve">Remboursements</w:t>
      </w:r>
      <w:r>
        <w:t xml:space="preserve"> </w:t>
      </w:r>
      <w:r>
        <w:t xml:space="preserve">: montant et délai affichés au moment du choix (34 : « 100 % remboursé en 3 à 5 jours ouvrables »); frais non remboursables indiqués avant le paiement s’il y en a.</w:t>
      </w:r>
    </w:p>
    <w:p>
      <w:pPr>
        <w:pStyle w:val="Compact"/>
        <w:numPr>
          <w:ilvl w:val="0"/>
          <w:numId w:val="1008"/>
        </w:numPr>
      </w:pPr>
      <w:r>
        <w:rPr>
          <w:b/>
          <w:bCs/>
        </w:rPr>
        <w:t xml:space="preserve">Mises en avant ou abonnement</w:t>
      </w:r>
      <w:r>
        <w:t xml:space="preserve"> </w:t>
      </w:r>
      <w:r>
        <w:t xml:space="preserve">(phase ultérieure) : étiquette « Commandité » sur toute annonce mise en avant; prix et renouvellement clairs; résiliation en 2 gestes depuis Réglages.</w:t>
      </w:r>
    </w:p>
    <w:p>
      <w:pPr>
        <w:pStyle w:val="Compact"/>
        <w:numPr>
          <w:ilvl w:val="0"/>
          <w:numId w:val="1008"/>
        </w:numPr>
      </w:pPr>
      <w:r>
        <w:rPr>
          <w:b/>
          <w:bCs/>
        </w:rPr>
        <w:t xml:space="preserve">Reçus</w:t>
      </w:r>
      <w:r>
        <w:t xml:space="preserve"> </w:t>
      </w:r>
      <w:r>
        <w:t xml:space="preserve">en français, accessibles depuis le détail de l’envoi et le portefeuille.</w:t>
      </w:r>
    </w:p>
    <w:bookmarkEnd w:id="35"/>
    <w:bookmarkEnd w:id="36"/>
    <w:bookmarkStart w:id="68" w:name="partie-b-volet-technique-et-sécurité"/>
    <w:p>
      <w:pPr>
        <w:pStyle w:val="Heading1"/>
      </w:pPr>
      <w:r>
        <w:t xml:space="preserve">Partie B — Volet technique et sécurité</w:t>
      </w:r>
    </w:p>
    <w:p>
      <w:pPr>
        <w:pStyle w:val="FirstParagraph"/>
      </w:pPr>
      <w:r>
        <w:rPr>
          <w:i/>
          <w:iCs/>
        </w:rPr>
        <w:t xml:space="preserve">Préparé pour Faycal Chefai (Trois-Rivières, QC) — 11 octobre 2026</w:t>
      </w:r>
    </w:p>
    <w:p>
      <w:pPr>
        <w:pStyle w:val="BlockText"/>
      </w:pPr>
      <w:r>
        <w:rPr>
          <w:b/>
          <w:bCs/>
        </w:rPr>
        <w:t xml:space="preserve">Portée de cette section.</w:t>
      </w:r>
      <w:r>
        <w:t xml:space="preserve"> </w:t>
      </w:r>
      <w:r>
        <w:t xml:space="preserve">Ce document couvre la partie technique du cahier des charges de Volis (application de mise en relation entre expéditeurs de colis et voyageurs, sur iOS, Android et web). Il est assemblé avec la partie A (spécifications fonctionnelles et UX) et la partie C (volet légal de la monétisation) du présent cahier des charges. Les aspects légaux et fiscaux relèvent de l'équipe juridique et d'un avocat membre du Barreau du Québec. Ils ne sont repris ici que pour en déduire des exigences techniques.</w:t>
      </w:r>
    </w:p>
    <w:p>
      <w:pPr>
        <w:pStyle w:val="BlockText"/>
      </w:pPr>
      <w:r>
        <w:rPr>
          <w:b/>
          <w:bCs/>
        </w:rPr>
        <w:t xml:space="preserve">Sources :</w:t>
      </w:r>
      <w:r>
        <w:t xml:space="preserve"> </w:t>
      </w:r>
      <w:r>
        <w:t xml:space="preserve">fiche « Projet Volis — Fiche de recherche » (11 octobre 2026), « Guide sécurité et architecture mobile » (déjà fourni), documentation officielle Expo, Stripe et OWASP MASVS v2.1.0.</w:t>
      </w:r>
      <w:r>
        <w:t xml:space="preserve"> </w:t>
      </w:r>
      <w:r>
        <w:rPr>
          <w:b/>
          <w:bCs/>
        </w:rPr>
        <w:t xml:space="preserve">Convention :</w:t>
      </w:r>
      <w:r>
        <w:t xml:space="preserve"> </w:t>
      </w:r>
      <w:r>
        <w:t xml:space="preserve">tout ce qui n'a pas été vérifié dans une source officielle est marqué</w:t>
      </w:r>
      <w:r>
        <w:t xml:space="preserve"> </w:t>
      </w:r>
      <w:r>
        <w:rPr>
          <w:b/>
          <w:bCs/>
        </w:rPr>
        <w:t xml:space="preserve">« à confirmer »</w:t>
      </w:r>
      <w:r>
        <w:t xml:space="preserve">. Aucun montant, taux ni objectif chiffré n'est fixé ici : ils restent</w:t>
      </w:r>
      <w:r>
        <w:t xml:space="preserve"> </w:t>
      </w:r>
      <w:r>
        <w:rPr>
          <w:b/>
          <w:bCs/>
        </w:rPr>
        <w:t xml:space="preserve">à décider par Faycal</w:t>
      </w:r>
      <w:r>
        <w:t xml:space="preserve">.</w:t>
      </w:r>
    </w:p>
    <w:bookmarkStart w:id="39" w:name="stack-technique-justifiée"/>
    <w:p>
      <w:pPr>
        <w:pStyle w:val="Heading2"/>
      </w:pPr>
      <w:r>
        <w:t xml:space="preserve">1. Stack technique justifiée</w:t>
      </w:r>
    </w:p>
    <w:bookmarkStart w:id="37" w:name="vue-densemble"/>
    <w:p>
      <w:pPr>
        <w:pStyle w:val="Heading3"/>
      </w:pPr>
      <w:r>
        <w:t xml:space="preserve">1.1 Vue d'ensemble</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1286"/>
        <w:gridCol w:w="3086"/>
        <w:gridCol w:w="4336"/>
        <w:gridCol w:w="1211"/>
      </w:tblGrid>
      <w:tr>
        <w:trPr>
          <w:tblHeader w:val="on"/>
        </w:trPr>
        <w:tc>
          <w:tcPr>
            <w:tcW w:type="dxa" w:w="1287"/>
            <w:shd w:val="clear" w:color="auto" w:fill="0F766E"/>
          </w:tcPr>
          <w:p>
            <w:pPr>
              <w:pStyle w:val="Compact"/>
              <w:spacing w:after="20"/>
            </w:pPr>
            <w:r>
              <w:rPr>
                <w:b/>
                <w:color w:val="FFFFFF"/>
                <w:sz w:val="17"/>
              </w:rPr>
              <w:t xml:space="preserve">Besoin</w:t>
            </w:r>
          </w:p>
        </w:tc>
        <w:tc>
          <w:tcPr>
            <w:tcW w:type="dxa" w:w="3087"/>
            <w:shd w:val="clear" w:color="auto" w:fill="0F766E"/>
          </w:tcPr>
          <w:p>
            <w:pPr>
              <w:pStyle w:val="Compact"/>
              <w:spacing w:after="20"/>
            </w:pPr>
            <w:r>
              <w:rPr>
                <w:b/>
                <w:color w:val="FFFFFF"/>
                <w:sz w:val="17"/>
              </w:rPr>
              <w:t xml:space="preserve">Choix</w:t>
            </w:r>
          </w:p>
        </w:tc>
        <w:tc>
          <w:tcPr>
            <w:tcW w:type="dxa" w:w="4336"/>
            <w:shd w:val="clear" w:color="auto" w:fill="0F766E"/>
          </w:tcPr>
          <w:p>
            <w:pPr>
              <w:pStyle w:val="Compact"/>
              <w:spacing w:after="20"/>
            </w:pPr>
            <w:r>
              <w:rPr>
                <w:b/>
                <w:color w:val="FFFFFF"/>
                <w:sz w:val="17"/>
              </w:rPr>
              <w:t xml:space="preserve">Justification</w:t>
            </w:r>
          </w:p>
        </w:tc>
        <w:tc>
          <w:tcPr>
            <w:tcW w:type="dxa" w:w="1211"/>
            <w:shd w:val="clear" w:color="auto" w:fill="0F766E"/>
          </w:tcPr>
          <w:p>
            <w:pPr>
              <w:pStyle w:val="Compact"/>
              <w:spacing w:after="20"/>
            </w:pPr>
            <w:r>
              <w:rPr>
                <w:b/>
                <w:color w:val="FFFFFF"/>
                <w:sz w:val="17"/>
              </w:rPr>
              <w:t xml:space="preserve">Statut</w:t>
            </w:r>
          </w:p>
        </w:tc>
      </w:tr>
      <w:tr>
        <w:tc>
          <w:tcPr>
            <w:tcW w:type="dxa" w:w="1287"/>
          </w:tcPr>
          <w:p>
            <w:pPr>
              <w:pStyle w:val="Compact"/>
              <w:spacing w:after="20"/>
            </w:pPr>
            <w:r>
              <w:rPr>
                <w:sz w:val="17"/>
              </w:rPr>
              <w:t xml:space="preserve">App iOS, Android, web</w:t>
            </w:r>
          </w:p>
        </w:tc>
        <w:tc>
          <w:tcPr>
            <w:tcW w:type="dxa" w:w="3087"/>
          </w:tcPr>
          <w:p>
            <w:pPr>
              <w:pStyle w:val="Compact"/>
              <w:spacing w:after="20"/>
            </w:pPr>
            <w:r>
              <w:rPr>
                <w:b/>
                <w:bCs/>
                <w:sz w:val="17"/>
              </w:rPr>
              <w:t xml:space="preserve">Expo (React Native) + Expo Router + TypeScript</w:t>
            </w:r>
          </w:p>
        </w:tc>
        <w:tc>
          <w:tcPr>
            <w:tcW w:type="dxa" w:w="4336"/>
          </w:tcPr>
          <w:p>
            <w:pPr>
              <w:pStyle w:val="Compact"/>
              <w:spacing w:after="20"/>
            </w:pPr>
            <w:r>
              <w:rPr>
                <w:sz w:val="17"/>
              </w:rPr>
              <w:t xml:space="preserve">Un seul code pour les trois plateformes, routage par fichiers commun au mobile et au web, maquettes déjà prêtes pour cette approche, TypeScript pour typer le domaine et les contrats d'API.</w:t>
            </w:r>
          </w:p>
        </w:tc>
        <w:tc>
          <w:tcPr>
            <w:tcW w:type="dxa" w:w="1211"/>
          </w:tcPr>
          <w:p>
            <w:pPr>
              <w:pStyle w:val="Compact"/>
              <w:spacing w:after="20"/>
            </w:pPr>
            <w:r>
              <w:rPr>
                <w:sz w:val="17"/>
              </w:rPr>
              <w:t xml:space="preserve">Retenu (fiche de recherche)</w:t>
            </w:r>
          </w:p>
        </w:tc>
      </w:tr>
      <w:tr>
        <w:tc>
          <w:tcPr>
            <w:tcW w:type="dxa" w:w="1287"/>
          </w:tcPr>
          <w:p>
            <w:pPr>
              <w:pStyle w:val="Compact"/>
              <w:spacing w:after="20"/>
            </w:pPr>
            <w:r>
              <w:rPr>
                <w:sz w:val="17"/>
              </w:rPr>
              <w:t xml:space="preserve">Backend</w:t>
            </w:r>
          </w:p>
        </w:tc>
        <w:tc>
          <w:tcPr>
            <w:tcW w:type="dxa" w:w="3087"/>
          </w:tcPr>
          <w:p>
            <w:pPr>
              <w:pStyle w:val="Compact"/>
              <w:spacing w:after="20"/>
            </w:pPr>
            <w:r>
              <w:rPr>
                <w:b/>
                <w:bCs/>
                <w:sz w:val="17"/>
              </w:rPr>
              <w:t xml:space="preserve">Supabase</w:t>
            </w:r>
            <w:r>
              <w:rPr>
                <w:sz w:val="17"/>
              </w:rPr>
              <w:t xml:space="preserve"> </w:t>
            </w:r>
            <w:r>
              <w:rPr>
                <w:sz w:val="17"/>
              </w:rPr>
              <w:t xml:space="preserve">(recommandé, voir 1.2)</w:t>
            </w:r>
          </w:p>
        </w:tc>
        <w:tc>
          <w:tcPr>
            <w:tcW w:type="dxa" w:w="4336"/>
          </w:tcPr>
          <w:p>
            <w:pPr>
              <w:pStyle w:val="Compact"/>
              <w:spacing w:after="20"/>
            </w:pPr>
            <w:r>
              <w:rPr>
                <w:sz w:val="17"/>
              </w:rPr>
              <w:t xml:space="preserve">Auth, PostgreSQL, sécurité par ligne (RLS), stockage, temps réel et fonctions serveur réunis, ce qui convient à une petite équipe.</w:t>
            </w:r>
          </w:p>
        </w:tc>
        <w:tc>
          <w:tcPr>
            <w:tcW w:type="dxa" w:w="1211"/>
          </w:tcPr>
          <w:p>
            <w:pPr>
              <w:pStyle w:val="Compact"/>
              <w:spacing w:after="20"/>
            </w:pPr>
            <w:r>
              <w:rPr>
                <w:sz w:val="17"/>
              </w:rPr>
              <w:t xml:space="preserve">Recommandé</w:t>
            </w:r>
          </w:p>
        </w:tc>
      </w:tr>
      <w:tr>
        <w:tc>
          <w:tcPr>
            <w:tcW w:type="dxa" w:w="1287"/>
          </w:tcPr>
          <w:p>
            <w:pPr>
              <w:pStyle w:val="Compact"/>
              <w:spacing w:after="20"/>
            </w:pPr>
            <w:r>
              <w:rPr>
                <w:sz w:val="17"/>
              </w:rPr>
              <w:t xml:space="preserve">Vérification d'identité</w:t>
            </w:r>
          </w:p>
        </w:tc>
        <w:tc>
          <w:tcPr>
            <w:tcW w:type="dxa" w:w="3087"/>
          </w:tcPr>
          <w:p>
            <w:pPr>
              <w:pStyle w:val="Compact"/>
              <w:spacing w:after="20"/>
            </w:pPr>
            <w:r>
              <w:rPr>
                <w:b/>
                <w:bCs/>
                <w:sz w:val="17"/>
              </w:rPr>
              <w:t xml:space="preserve">Stripe Identity</w:t>
            </w:r>
            <w:r>
              <w:rPr>
                <w:sz w:val="17"/>
              </w:rPr>
              <w:t xml:space="preserve"> </w:t>
            </w:r>
            <w:r>
              <w:rPr>
                <w:sz w:val="17"/>
              </w:rPr>
              <w:t xml:space="preserve">(pièce d'identité + égoportrait)</w:t>
            </w:r>
          </w:p>
        </w:tc>
        <w:tc>
          <w:tcPr>
            <w:tcW w:type="dxa" w:w="4336"/>
          </w:tcPr>
          <w:p>
            <w:pPr>
              <w:pStyle w:val="Compact"/>
              <w:spacing w:after="20"/>
            </w:pPr>
            <w:r>
              <w:rPr>
                <w:sz w:val="17"/>
              </w:rPr>
              <w:t xml:space="preserve">Vérification déléguée à Stripe ; Volis ne stocke que le statut et l'ID de session.</w:t>
            </w:r>
          </w:p>
        </w:tc>
        <w:tc>
          <w:tcPr>
            <w:tcW w:type="dxa" w:w="1211"/>
          </w:tcPr>
          <w:p>
            <w:pPr>
              <w:pStyle w:val="Compact"/>
              <w:spacing w:after="20"/>
            </w:pPr>
            <w:r>
              <w:rPr>
                <w:sz w:val="17"/>
              </w:rPr>
              <w:t xml:space="preserve">Retenu</w:t>
            </w:r>
          </w:p>
        </w:tc>
      </w:tr>
      <w:tr>
        <w:tc>
          <w:tcPr>
            <w:tcW w:type="dxa" w:w="1287"/>
          </w:tcPr>
          <w:p>
            <w:pPr>
              <w:pStyle w:val="Compact"/>
              <w:spacing w:after="20"/>
            </w:pPr>
            <w:r>
              <w:rPr>
                <w:sz w:val="17"/>
              </w:rPr>
              <w:t xml:space="preserve">Paiements de la place de marché</w:t>
            </w:r>
          </w:p>
        </w:tc>
        <w:tc>
          <w:tcPr>
            <w:tcW w:type="dxa" w:w="3087"/>
          </w:tcPr>
          <w:p>
            <w:pPr>
              <w:pStyle w:val="Compact"/>
              <w:spacing w:after="20"/>
            </w:pPr>
            <w:r>
              <w:rPr>
                <w:b/>
                <w:bCs/>
                <w:sz w:val="17"/>
              </w:rPr>
              <w:t xml:space="preserve">Stripe Connect, « separate charges and transfers »</w:t>
            </w:r>
          </w:p>
        </w:tc>
        <w:tc>
          <w:tcPr>
            <w:tcW w:type="dxa" w:w="4336"/>
          </w:tcPr>
          <w:p>
            <w:pPr>
              <w:pStyle w:val="Compact"/>
              <w:spacing w:after="20"/>
            </w:pPr>
            <w:r>
              <w:rPr>
                <w:sz w:val="17"/>
              </w:rPr>
              <w:t xml:space="preserve">Le paiement est encaissé sur le compte de la plateforme puis transféré au voyageur seulement quand le serveur confirme la remise. Une pré-autorisation de carte en ligne expire généralement après 7 jours (doc Stripe), ce qui ne suffit pas pour un trajet. Connect gère le KYC des voyageurs.</w:t>
            </w:r>
          </w:p>
        </w:tc>
        <w:tc>
          <w:tcPr>
            <w:tcW w:type="dxa" w:w="1211"/>
          </w:tcPr>
          <w:p>
            <w:pPr>
              <w:pStyle w:val="Compact"/>
              <w:spacing w:after="20"/>
            </w:pPr>
            <w:r>
              <w:rPr>
                <w:sz w:val="17"/>
              </w:rPr>
              <w:t xml:space="preserve">Retenu</w:t>
            </w:r>
          </w:p>
        </w:tc>
      </w:tr>
      <w:tr>
        <w:tc>
          <w:tcPr>
            <w:tcW w:type="dxa" w:w="1287"/>
          </w:tcPr>
          <w:p>
            <w:pPr>
              <w:pStyle w:val="Compact"/>
              <w:spacing w:after="20"/>
            </w:pPr>
            <w:r>
              <w:rPr>
                <w:sz w:val="17"/>
              </w:rPr>
              <w:t xml:space="preserve">Notifications push</w:t>
            </w:r>
          </w:p>
        </w:tc>
        <w:tc>
          <w:tcPr>
            <w:tcW w:type="dxa" w:w="3087"/>
          </w:tcPr>
          <w:p>
            <w:pPr>
              <w:pStyle w:val="Compact"/>
              <w:spacing w:after="20"/>
            </w:pPr>
            <w:r>
              <w:rPr>
                <w:b/>
                <w:bCs/>
                <w:sz w:val="17"/>
              </w:rPr>
              <w:t xml:space="preserve">Expo Notifications</w:t>
            </w:r>
            <w:r>
              <w:rPr>
                <w:sz w:val="17"/>
              </w:rPr>
              <w:t xml:space="preserve"> </w:t>
            </w:r>
            <w:r>
              <w:rPr>
                <w:sz w:val="17"/>
              </w:rPr>
              <w:t xml:space="preserve">(service push d'Expo vers APNs et FCM)</w:t>
            </w:r>
          </w:p>
        </w:tc>
        <w:tc>
          <w:tcPr>
            <w:tcW w:type="dxa" w:w="4336"/>
          </w:tcPr>
          <w:p>
            <w:pPr>
              <w:pStyle w:val="Compact"/>
              <w:spacing w:after="20"/>
            </w:pPr>
            <w:r>
              <w:rPr>
                <w:sz w:val="17"/>
              </w:rPr>
              <w:t xml:space="preserve">Une seule API pour iOS et Android ; jetons d'appareil enregistrés côté serveur.</w:t>
            </w:r>
          </w:p>
        </w:tc>
        <w:tc>
          <w:tcPr>
            <w:tcW w:type="dxa" w:w="1211"/>
          </w:tcPr>
          <w:p>
            <w:pPr>
              <w:pStyle w:val="Compact"/>
              <w:spacing w:after="20"/>
            </w:pPr>
            <w:r>
              <w:rPr>
                <w:sz w:val="17"/>
              </w:rPr>
              <w:t xml:space="preserve">Retenu</w:t>
            </w:r>
          </w:p>
        </w:tc>
      </w:tr>
      <w:tr>
        <w:tc>
          <w:tcPr>
            <w:tcW w:type="dxa" w:w="1287"/>
          </w:tcPr>
          <w:p>
            <w:pPr>
              <w:pStyle w:val="Compact"/>
              <w:spacing w:after="20"/>
            </w:pPr>
            <w:r>
              <w:rPr>
                <w:sz w:val="17"/>
              </w:rPr>
              <w:t xml:space="preserve">Cartes et géolocalisation</w:t>
            </w:r>
          </w:p>
        </w:tc>
        <w:tc>
          <w:tcPr>
            <w:tcW w:type="dxa" w:w="3087"/>
          </w:tcPr>
          <w:p>
            <w:pPr>
              <w:pStyle w:val="Compact"/>
              <w:spacing w:after="20"/>
            </w:pPr>
            <w:r>
              <w:rPr>
                <w:rStyle w:val="VerbatimChar"/>
                <w:sz w:val="17"/>
              </w:rPr>
              <w:t xml:space="preserve">expo-location</w:t>
            </w:r>
            <w:r>
              <w:rPr>
                <w:sz w:val="17"/>
              </w:rPr>
              <w:t xml:space="preserve"> </w:t>
            </w:r>
            <w:r>
              <w:rPr>
                <w:sz w:val="17"/>
              </w:rPr>
              <w:t xml:space="preserve">+ composant de carte (par ex.</w:t>
            </w:r>
            <w:r>
              <w:rPr>
                <w:sz w:val="17"/>
              </w:rPr>
              <w:t xml:space="preserve"> </w:t>
            </w:r>
            <w:r>
              <w:rPr>
                <w:rStyle w:val="VerbatimChar"/>
                <w:sz w:val="17"/>
              </w:rPr>
              <w:t xml:space="preserve">react-native-maps</w:t>
            </w:r>
            <w:r>
              <w:rPr>
                <w:sz w:val="17"/>
              </w:rPr>
              <w:t xml:space="preserve"> </w:t>
            </w:r>
            <w:r>
              <w:rPr>
                <w:sz w:val="17"/>
              </w:rPr>
              <w:t xml:space="preserve">sur mobile ; équivalent web à choisir)</w:t>
            </w:r>
          </w:p>
        </w:tc>
        <w:tc>
          <w:tcPr>
            <w:tcW w:type="dxa" w:w="4336"/>
          </w:tcPr>
          <w:p>
            <w:pPr>
              <w:pStyle w:val="Compact"/>
              <w:spacing w:after="20"/>
            </w:pPr>
            <w:r>
              <w:rPr>
                <w:sz w:val="17"/>
              </w:rPr>
              <w:t xml:space="preserve">La localisation n'est demandée qu'en contexte, désactivée par défaut (Loi 25, MASVS-PRIVACY-1). Géocodage via le backend pour ne pas exposer de clé facturée.</w:t>
            </w:r>
          </w:p>
        </w:tc>
        <w:tc>
          <w:tcPr>
            <w:tcW w:type="dxa" w:w="1211"/>
          </w:tcPr>
          <w:p>
            <w:pPr>
              <w:pStyle w:val="Compact"/>
              <w:spacing w:after="20"/>
            </w:pPr>
            <w:r>
              <w:rPr>
                <w:sz w:val="17"/>
              </w:rPr>
              <w:t xml:space="preserve">Fournisseur de cartes</w:t>
            </w:r>
            <w:r>
              <w:rPr>
                <w:sz w:val="17"/>
              </w:rPr>
              <w:t xml:space="preserve"> </w:t>
            </w:r>
            <w:r>
              <w:rPr>
                <w:b/>
                <w:bCs/>
                <w:sz w:val="17"/>
              </w:rPr>
              <w:t xml:space="preserve">à confirmer</w:t>
            </w:r>
          </w:p>
        </w:tc>
      </w:tr>
      <w:tr>
        <w:tc>
          <w:tcPr>
            <w:tcW w:type="dxa" w:w="1287"/>
          </w:tcPr>
          <w:p>
            <w:pPr>
              <w:pStyle w:val="Compact"/>
              <w:spacing w:after="20"/>
            </w:pPr>
            <w:r>
              <w:rPr>
                <w:sz w:val="17"/>
              </w:rPr>
              <w:t xml:space="preserve">Photos de remise et de litige</w:t>
            </w:r>
          </w:p>
        </w:tc>
        <w:tc>
          <w:tcPr>
            <w:tcW w:type="dxa" w:w="3087"/>
          </w:tcPr>
          <w:p>
            <w:pPr>
              <w:pStyle w:val="Compact"/>
              <w:spacing w:after="20"/>
            </w:pPr>
            <w:r>
              <w:rPr>
                <w:b/>
                <w:bCs/>
                <w:sz w:val="17"/>
              </w:rPr>
              <w:t xml:space="preserve">Supabase Storage</w:t>
            </w:r>
            <w:r>
              <w:rPr>
                <w:sz w:val="17"/>
              </w:rPr>
              <w:t xml:space="preserve">, compartiments privés, URL signées de courte durée</w:t>
            </w:r>
          </w:p>
        </w:tc>
        <w:tc>
          <w:tcPr>
            <w:tcW w:type="dxa" w:w="4336"/>
          </w:tcPr>
          <w:p>
            <w:pPr>
              <w:pStyle w:val="Compact"/>
              <w:spacing w:after="20"/>
            </w:pPr>
            <w:r>
              <w:rPr>
                <w:sz w:val="17"/>
              </w:rPr>
              <w:t xml:space="preserve">Pas d'accès public ; métadonnées EXIF (dont GPS) retirées avant stockage.</w:t>
            </w:r>
          </w:p>
        </w:tc>
        <w:tc>
          <w:tcPr>
            <w:tcW w:type="dxa" w:w="1211"/>
          </w:tcPr>
          <w:p>
            <w:pPr>
              <w:pStyle w:val="Compact"/>
              <w:spacing w:after="20"/>
            </w:pPr>
            <w:r>
              <w:rPr>
                <w:sz w:val="17"/>
              </w:rPr>
              <w:t xml:space="preserve">Retenu</w:t>
            </w:r>
          </w:p>
        </w:tc>
      </w:tr>
      <w:tr>
        <w:tc>
          <w:tcPr>
            <w:tcW w:type="dxa" w:w="1287"/>
          </w:tcPr>
          <w:p>
            <w:pPr>
              <w:pStyle w:val="Compact"/>
              <w:spacing w:after="20"/>
            </w:pPr>
            <w:r>
              <w:rPr>
                <w:sz w:val="17"/>
              </w:rPr>
              <w:t xml:space="preserve">Messagerie entre utilisateurs</w:t>
            </w:r>
          </w:p>
        </w:tc>
        <w:tc>
          <w:tcPr>
            <w:tcW w:type="dxa" w:w="3087"/>
          </w:tcPr>
          <w:p>
            <w:pPr>
              <w:pStyle w:val="Compact"/>
              <w:spacing w:after="20"/>
            </w:pPr>
            <w:r>
              <w:rPr>
                <w:sz w:val="17"/>
              </w:rPr>
              <w:t xml:space="preserve">Table</w:t>
            </w:r>
            <w:r>
              <w:rPr>
                <w:sz w:val="17"/>
              </w:rPr>
              <w:t xml:space="preserve"> </w:t>
            </w:r>
            <w:r>
              <w:rPr>
                <w:rStyle w:val="VerbatimChar"/>
                <w:sz w:val="17"/>
              </w:rPr>
              <w:t xml:space="preserve">messages</w:t>
            </w:r>
            <w:r>
              <w:rPr>
                <w:sz w:val="17"/>
              </w:rPr>
              <w:t xml:space="preserve"> </w:t>
            </w:r>
            <w:r>
              <w:rPr>
                <w:sz w:val="17"/>
              </w:rPr>
              <w:t xml:space="preserve">dans PostgreSQL +</w:t>
            </w:r>
            <w:r>
              <w:rPr>
                <w:sz w:val="17"/>
              </w:rPr>
              <w:t xml:space="preserve"> </w:t>
            </w:r>
            <w:r>
              <w:rPr>
                <w:b/>
                <w:bCs/>
                <w:sz w:val="17"/>
              </w:rPr>
              <w:t xml:space="preserve">Supabase Realtime</w:t>
            </w:r>
          </w:p>
        </w:tc>
        <w:tc>
          <w:tcPr>
            <w:tcW w:type="dxa" w:w="4336"/>
          </w:tcPr>
          <w:p>
            <w:pPr>
              <w:pStyle w:val="Compact"/>
              <w:spacing w:after="20"/>
            </w:pPr>
            <w:r>
              <w:rPr>
                <w:sz w:val="17"/>
              </w:rPr>
              <w:t xml:space="preserve">Messages liés à une réservation, protégés par RLS, modérables.</w:t>
            </w:r>
          </w:p>
        </w:tc>
        <w:tc>
          <w:tcPr>
            <w:tcW w:type="dxa" w:w="1211"/>
          </w:tcPr>
          <w:p>
            <w:pPr>
              <w:pStyle w:val="Compact"/>
              <w:spacing w:after="20"/>
            </w:pPr>
            <w:r>
              <w:rPr>
                <w:sz w:val="17"/>
              </w:rPr>
              <w:t xml:space="preserve">Retenu</w:t>
            </w:r>
          </w:p>
        </w:tc>
      </w:tr>
      <w:tr>
        <w:tc>
          <w:tcPr>
            <w:tcW w:type="dxa" w:w="1287"/>
          </w:tcPr>
          <w:p>
            <w:pPr>
              <w:pStyle w:val="Compact"/>
              <w:spacing w:after="20"/>
            </w:pPr>
            <w:r>
              <w:rPr>
                <w:sz w:val="17"/>
              </w:rPr>
              <w:t xml:space="preserve">Internationalisation</w:t>
            </w:r>
          </w:p>
        </w:tc>
        <w:tc>
          <w:tcPr>
            <w:tcW w:type="dxa" w:w="3087"/>
          </w:tcPr>
          <w:p>
            <w:pPr>
              <w:pStyle w:val="Compact"/>
              <w:spacing w:after="20"/>
            </w:pPr>
            <w:r>
              <w:rPr>
                <w:rStyle w:val="VerbatimChar"/>
                <w:sz w:val="17"/>
              </w:rPr>
              <w:t xml:space="preserve">expo-localization</w:t>
            </w:r>
            <w:r>
              <w:rPr>
                <w:sz w:val="17"/>
              </w:rPr>
              <w:t xml:space="preserve"> </w:t>
            </w:r>
            <w:r>
              <w:rPr>
                <w:sz w:val="17"/>
              </w:rPr>
              <w:t xml:space="preserve">+ bibliothèque i18n (par ex. i18next) ;</w:t>
            </w:r>
            <w:r>
              <w:rPr>
                <w:sz w:val="17"/>
              </w:rPr>
              <w:t xml:space="preserve"> </w:t>
            </w:r>
            <w:r>
              <w:rPr>
                <w:rStyle w:val="VerbatimChar"/>
                <w:sz w:val="17"/>
              </w:rPr>
              <w:t xml:space="preserve">I18nManager</w:t>
            </w:r>
            <w:r>
              <w:rPr>
                <w:sz w:val="17"/>
              </w:rPr>
              <w:t xml:space="preserve"> </w:t>
            </w:r>
            <w:r>
              <w:rPr>
                <w:sz w:val="17"/>
              </w:rPr>
              <w:t xml:space="preserve">pour l'arabe (droite à gauche) ;</w:t>
            </w:r>
            <w:r>
              <w:rPr>
                <w:sz w:val="17"/>
              </w:rPr>
              <w:t xml:space="preserve"> </w:t>
            </w:r>
            <w:r>
              <w:rPr>
                <w:rStyle w:val="VerbatimChar"/>
                <w:sz w:val="17"/>
              </w:rPr>
              <w:t xml:space="preserve">Intl</w:t>
            </w:r>
            <w:r>
              <w:rPr>
                <w:sz w:val="17"/>
              </w:rPr>
              <w:t xml:space="preserve"> </w:t>
            </w:r>
            <w:r>
              <w:rPr>
                <w:sz w:val="17"/>
              </w:rPr>
              <w:t xml:space="preserve">pour les nombres et devises</w:t>
            </w:r>
          </w:p>
        </w:tc>
        <w:tc>
          <w:tcPr>
            <w:tcW w:type="dxa" w:w="4336"/>
          </w:tcPr>
          <w:p>
            <w:pPr>
              <w:pStyle w:val="Compact"/>
              <w:spacing w:after="20"/>
            </w:pPr>
            <w:r>
              <w:rPr>
                <w:sz w:val="17"/>
              </w:rPr>
              <w:t xml:space="preserve">Français (par défaut au Québec), anglais, arabe en RTL ; montants en unités mineures entières + code devise ISO 4217.</w:t>
            </w:r>
          </w:p>
        </w:tc>
        <w:tc>
          <w:tcPr>
            <w:tcW w:type="dxa" w:w="1211"/>
          </w:tcPr>
          <w:p>
            <w:pPr>
              <w:pStyle w:val="Compact"/>
              <w:spacing w:after="20"/>
            </w:pPr>
            <w:r>
              <w:rPr>
                <w:sz w:val="17"/>
              </w:rPr>
              <w:t xml:space="preserve">Bibliothèque i18n</w:t>
            </w:r>
            <w:r>
              <w:rPr>
                <w:sz w:val="17"/>
              </w:rPr>
              <w:t xml:space="preserve"> </w:t>
            </w:r>
            <w:r>
              <w:rPr>
                <w:b/>
                <w:bCs/>
                <w:sz w:val="17"/>
              </w:rPr>
              <w:t xml:space="preserve">à confirmer</w:t>
            </w:r>
          </w:p>
        </w:tc>
      </w:tr>
      <w:tr>
        <w:tc>
          <w:tcPr>
            <w:tcW w:type="dxa" w:w="1287"/>
          </w:tcPr>
          <w:p>
            <w:pPr>
              <w:pStyle w:val="Compact"/>
              <w:spacing w:after="20"/>
            </w:pPr>
            <w:r>
              <w:rPr>
                <w:sz w:val="17"/>
              </w:rPr>
              <w:t xml:space="preserve">Analytics et monitoring</w:t>
            </w:r>
          </w:p>
        </w:tc>
        <w:tc>
          <w:tcPr>
            <w:tcW w:type="dxa" w:w="3087"/>
          </w:tcPr>
          <w:p>
            <w:pPr>
              <w:pStyle w:val="Compact"/>
              <w:spacing w:after="20"/>
            </w:pPr>
            <w:r>
              <w:rPr>
                <w:b/>
                <w:bCs/>
                <w:sz w:val="17"/>
              </w:rPr>
              <w:t xml:space="preserve">Sentry</w:t>
            </w:r>
            <w:r>
              <w:rPr>
                <w:sz w:val="17"/>
              </w:rPr>
              <w:t xml:space="preserve"> </w:t>
            </w:r>
            <w:r>
              <w:rPr>
                <w:sz w:val="17"/>
              </w:rPr>
              <w:t xml:space="preserve">(plantages, performance) ; outil d'analytics produit</w:t>
            </w:r>
            <w:r>
              <w:rPr>
                <w:sz w:val="17"/>
              </w:rPr>
              <w:t xml:space="preserve"> </w:t>
            </w:r>
            <w:r>
              <w:rPr>
                <w:b/>
                <w:bCs/>
                <w:sz w:val="17"/>
              </w:rPr>
              <w:t xml:space="preserve">à confirmer</w:t>
            </w:r>
          </w:p>
        </w:tc>
        <w:tc>
          <w:tcPr>
            <w:tcW w:type="dxa" w:w="4336"/>
          </w:tcPr>
          <w:p>
            <w:pPr>
              <w:pStyle w:val="Compact"/>
              <w:spacing w:after="20"/>
            </w:pPr>
            <w:r>
              <w:rPr>
                <w:sz w:val="17"/>
              </w:rPr>
              <w:t xml:space="preserve">Données personnelles masquées avant envoi ; analytics non essentielles uniquement après consentement.</w:t>
            </w:r>
          </w:p>
        </w:tc>
        <w:tc>
          <w:tcPr>
            <w:tcW w:type="dxa" w:w="1211"/>
          </w:tcPr>
          <w:p>
            <w:pPr>
              <w:pStyle w:val="Compact"/>
              <w:spacing w:after="20"/>
            </w:pPr>
            <w:r>
              <w:rPr>
                <w:sz w:val="17"/>
              </w:rPr>
              <w:t xml:space="preserve">Partiellement retenu</w:t>
            </w:r>
          </w:p>
        </w:tc>
      </w:tr>
      <w:tr>
        <w:tc>
          <w:tcPr>
            <w:tcW w:type="dxa" w:w="1287"/>
          </w:tcPr>
          <w:p>
            <w:pPr>
              <w:pStyle w:val="Compact"/>
              <w:spacing w:after="20"/>
            </w:pPr>
            <w:r>
              <w:rPr>
                <w:sz w:val="17"/>
              </w:rPr>
              <w:t xml:space="preserve">CI/CD</w:t>
            </w:r>
          </w:p>
        </w:tc>
        <w:tc>
          <w:tcPr>
            <w:tcW w:type="dxa" w:w="3087"/>
          </w:tcPr>
          <w:p>
            <w:pPr>
              <w:pStyle w:val="Compact"/>
              <w:spacing w:after="20"/>
            </w:pPr>
            <w:r>
              <w:rPr>
                <w:b/>
                <w:bCs/>
                <w:sz w:val="17"/>
              </w:rPr>
              <w:t xml:space="preserve">GitHub Actions</w:t>
            </w:r>
            <w:r>
              <w:rPr>
                <w:sz w:val="17"/>
              </w:rPr>
              <w:t xml:space="preserve"> </w:t>
            </w:r>
            <w:r>
              <w:rPr>
                <w:sz w:val="17"/>
              </w:rPr>
              <w:t xml:space="preserve">(lint, tests, analyses de sécurité) +</w:t>
            </w:r>
            <w:r>
              <w:rPr>
                <w:sz w:val="17"/>
              </w:rPr>
              <w:t xml:space="preserve"> </w:t>
            </w:r>
            <w:r>
              <w:rPr>
                <w:b/>
                <w:bCs/>
                <w:sz w:val="17"/>
              </w:rPr>
              <w:t xml:space="preserve">EAS Build / EAS Submit</w:t>
            </w:r>
            <w:r>
              <w:rPr>
                <w:sz w:val="17"/>
              </w:rPr>
              <w:t xml:space="preserve"> </w:t>
            </w:r>
            <w:r>
              <w:rPr>
                <w:sz w:val="17"/>
              </w:rPr>
              <w:t xml:space="preserve">(builds signés et envoi aux stores) ; EAS Update pour les correctifs JavaScript</w:t>
            </w:r>
            <w:r>
              <w:rPr>
                <w:sz w:val="17"/>
              </w:rPr>
              <w:t xml:space="preserve"> </w:t>
            </w:r>
            <w:r>
              <w:rPr>
                <w:b/>
                <w:bCs/>
                <w:sz w:val="17"/>
              </w:rPr>
              <w:t xml:space="preserve">à confirmer</w:t>
            </w:r>
          </w:p>
        </w:tc>
        <w:tc>
          <w:tcPr>
            <w:tcW w:type="dxa" w:w="4336"/>
          </w:tcPr>
          <w:p>
            <w:pPr>
              <w:pStyle w:val="Compact"/>
              <w:spacing w:after="20"/>
            </w:pPr>
            <w:r>
              <w:rPr>
                <w:sz w:val="17"/>
              </w:rPr>
              <w:t xml:space="preserve">Pipeline reproductible, signature gérée hors du dépôt.</w:t>
            </w:r>
          </w:p>
        </w:tc>
        <w:tc>
          <w:tcPr>
            <w:tcW w:type="dxa" w:w="1211"/>
          </w:tcPr>
          <w:p>
            <w:pPr>
              <w:pStyle w:val="Compact"/>
              <w:spacing w:after="20"/>
            </w:pPr>
            <w:r>
              <w:rPr>
                <w:sz w:val="17"/>
              </w:rPr>
              <w:t xml:space="preserve">Retenu</w:t>
            </w:r>
          </w:p>
        </w:tc>
      </w:tr>
    </w:tbl>
    <w:bookmarkEnd w:id="37"/>
    <w:bookmarkStart w:id="38" w:name="X913ea70810cfcc827b570a65da402128a150456"/>
    <w:p>
      <w:pPr>
        <w:pStyle w:val="Heading3"/>
      </w:pPr>
      <w:r>
        <w:t xml:space="preserve">1.2 Backend : Supabase ou Node/NestJS + PostgreSQL</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1646"/>
        <w:gridCol w:w="4395"/>
        <w:gridCol w:w="3878"/>
      </w:tblGrid>
      <w:tr>
        <w:trPr>
          <w:tblHeader w:val="on"/>
        </w:trPr>
        <w:tc>
          <w:tcPr>
            <w:tcW w:type="dxa" w:w="1647"/>
            <w:shd w:val="clear" w:color="auto" w:fill="0F766E"/>
          </w:tcPr>
          <w:p>
            <w:pPr>
              <w:pStyle w:val="Compact"/>
              <w:spacing w:after="20"/>
            </w:pPr>
            <w:r>
              <w:rPr>
                <w:b/>
                <w:color w:val="FFFFFF"/>
                <w:sz w:val="17"/>
              </w:rPr>
              <w:t xml:space="preserve">Critère</w:t>
            </w:r>
          </w:p>
        </w:tc>
        <w:tc>
          <w:tcPr>
            <w:tcW w:type="dxa" w:w="4396"/>
            <w:shd w:val="clear" w:color="auto" w:fill="0F766E"/>
          </w:tcPr>
          <w:p>
            <w:pPr>
              <w:pStyle w:val="Compact"/>
              <w:spacing w:after="20"/>
            </w:pPr>
            <w:r>
              <w:rPr>
                <w:b/>
                <w:color w:val="FFFFFF"/>
                <w:sz w:val="17"/>
              </w:rPr>
              <w:t xml:space="preserve">Supabase</w:t>
            </w:r>
          </w:p>
        </w:tc>
        <w:tc>
          <w:tcPr>
            <w:tcW w:type="dxa" w:w="3879"/>
            <w:shd w:val="clear" w:color="auto" w:fill="0F766E"/>
          </w:tcPr>
          <w:p>
            <w:pPr>
              <w:pStyle w:val="Compact"/>
              <w:spacing w:after="20"/>
            </w:pPr>
            <w:r>
              <w:rPr>
                <w:b/>
                <w:color w:val="FFFFFF"/>
                <w:sz w:val="17"/>
              </w:rPr>
              <w:t xml:space="preserve">Node/NestJS + PostgreSQL</w:t>
            </w:r>
          </w:p>
        </w:tc>
      </w:tr>
      <w:tr>
        <w:tc>
          <w:tcPr>
            <w:tcW w:type="dxa" w:w="1647"/>
          </w:tcPr>
          <w:p>
            <w:pPr>
              <w:pStyle w:val="Compact"/>
              <w:spacing w:after="20"/>
            </w:pPr>
            <w:r>
              <w:rPr>
                <w:sz w:val="17"/>
              </w:rPr>
              <w:t xml:space="preserve">Mise en route</w:t>
            </w:r>
          </w:p>
        </w:tc>
        <w:tc>
          <w:tcPr>
            <w:tcW w:type="dxa" w:w="4396"/>
          </w:tcPr>
          <w:p>
            <w:pPr>
              <w:pStyle w:val="Compact"/>
              <w:spacing w:after="20"/>
            </w:pPr>
            <w:r>
              <w:rPr>
                <w:sz w:val="17"/>
              </w:rPr>
              <w:t xml:space="preserve">Rapide : Auth, base, stockage, temps réel et fonctions fournis</w:t>
            </w:r>
          </w:p>
        </w:tc>
        <w:tc>
          <w:tcPr>
            <w:tcW w:type="dxa" w:w="3879"/>
          </w:tcPr>
          <w:p>
            <w:pPr>
              <w:pStyle w:val="Compact"/>
              <w:spacing w:after="20"/>
            </w:pPr>
            <w:r>
              <w:rPr>
                <w:sz w:val="17"/>
              </w:rPr>
              <w:t xml:space="preserve">Plus lente : tout est à assembler (auth, stockage, temps réel, hébergement)</w:t>
            </w:r>
          </w:p>
        </w:tc>
      </w:tr>
      <w:tr>
        <w:tc>
          <w:tcPr>
            <w:tcW w:type="dxa" w:w="1647"/>
          </w:tcPr>
          <w:p>
            <w:pPr>
              <w:pStyle w:val="Compact"/>
              <w:spacing w:after="20"/>
            </w:pPr>
            <w:r>
              <w:rPr>
                <w:sz w:val="17"/>
              </w:rPr>
              <w:t xml:space="preserve">Autorisation</w:t>
            </w:r>
          </w:p>
        </w:tc>
        <w:tc>
          <w:tcPr>
            <w:tcW w:type="dxa" w:w="4396"/>
          </w:tcPr>
          <w:p>
            <w:pPr>
              <w:pStyle w:val="Compact"/>
              <w:spacing w:after="20"/>
            </w:pPr>
            <w:r>
              <w:rPr>
                <w:sz w:val="17"/>
              </w:rPr>
              <w:t xml:space="preserve">RLS dans PostgreSQL, au niveau des lignes, plus des contrôles dans les fonctions serveur</w:t>
            </w:r>
          </w:p>
        </w:tc>
        <w:tc>
          <w:tcPr>
            <w:tcW w:type="dxa" w:w="3879"/>
          </w:tcPr>
          <w:p>
            <w:pPr>
              <w:pStyle w:val="Compact"/>
              <w:spacing w:after="20"/>
            </w:pPr>
            <w:r>
              <w:rPr>
                <w:sz w:val="17"/>
              </w:rPr>
              <w:t xml:space="preserve">Gardes et contrôles dans le code de chaque route</w:t>
            </w:r>
          </w:p>
        </w:tc>
      </w:tr>
      <w:tr>
        <w:tc>
          <w:tcPr>
            <w:tcW w:type="dxa" w:w="1647"/>
          </w:tcPr>
          <w:p>
            <w:pPr>
              <w:pStyle w:val="Compact"/>
              <w:spacing w:after="20"/>
            </w:pPr>
            <w:r>
              <w:rPr>
                <w:sz w:val="17"/>
              </w:rPr>
              <w:t xml:space="preserve">Webhooks Stripe</w:t>
            </w:r>
          </w:p>
        </w:tc>
        <w:tc>
          <w:tcPr>
            <w:tcW w:type="dxa" w:w="4396"/>
          </w:tcPr>
          <w:p>
            <w:pPr>
              <w:pStyle w:val="Compact"/>
              <w:spacing w:after="20"/>
            </w:pPr>
            <w:r>
              <w:rPr>
                <w:sz w:val="17"/>
              </w:rPr>
              <w:t xml:space="preserve">Edge Function (Deno) avec vérification de signature</w:t>
            </w:r>
          </w:p>
        </w:tc>
        <w:tc>
          <w:tcPr>
            <w:tcW w:type="dxa" w:w="3879"/>
          </w:tcPr>
          <w:p>
            <w:pPr>
              <w:pStyle w:val="Compact"/>
              <w:spacing w:after="20"/>
            </w:pPr>
            <w:r>
              <w:rPr>
                <w:sz w:val="17"/>
              </w:rPr>
              <w:t xml:space="preserve">Route NestJS dédiée ; écosystème Node standard</w:t>
            </w:r>
          </w:p>
        </w:tc>
      </w:tr>
      <w:tr>
        <w:tc>
          <w:tcPr>
            <w:tcW w:type="dxa" w:w="1647"/>
          </w:tcPr>
          <w:p>
            <w:pPr>
              <w:pStyle w:val="Compact"/>
              <w:spacing w:after="20"/>
            </w:pPr>
            <w:r>
              <w:rPr>
                <w:sz w:val="17"/>
              </w:rPr>
              <w:t xml:space="preserve">Logique métier complexe</w:t>
            </w:r>
          </w:p>
        </w:tc>
        <w:tc>
          <w:tcPr>
            <w:tcW w:type="dxa" w:w="4396"/>
          </w:tcPr>
          <w:p>
            <w:pPr>
              <w:pStyle w:val="Compact"/>
              <w:spacing w:after="20"/>
            </w:pPr>
            <w:r>
              <w:rPr>
                <w:sz w:val="17"/>
              </w:rPr>
              <w:t xml:space="preserve">Fonctions SQL et Edge Functions ; demande de la rigueur pour ne pas disperser la logique</w:t>
            </w:r>
          </w:p>
        </w:tc>
        <w:tc>
          <w:tcPr>
            <w:tcW w:type="dxa" w:w="3879"/>
          </w:tcPr>
          <w:p>
            <w:pPr>
              <w:pStyle w:val="Compact"/>
              <w:spacing w:after="20"/>
            </w:pPr>
            <w:r>
              <w:rPr>
                <w:sz w:val="17"/>
              </w:rPr>
              <w:t xml:space="preserve">Très flexible, architecture en modules</w:t>
            </w:r>
          </w:p>
        </w:tc>
      </w:tr>
      <w:tr>
        <w:tc>
          <w:tcPr>
            <w:tcW w:type="dxa" w:w="1647"/>
          </w:tcPr>
          <w:p>
            <w:pPr>
              <w:pStyle w:val="Compact"/>
              <w:spacing w:after="20"/>
            </w:pPr>
            <w:r>
              <w:rPr>
                <w:sz w:val="17"/>
              </w:rPr>
              <w:t xml:space="preserve">Exploitation</w:t>
            </w:r>
          </w:p>
        </w:tc>
        <w:tc>
          <w:tcPr>
            <w:tcW w:type="dxa" w:w="4396"/>
          </w:tcPr>
          <w:p>
            <w:pPr>
              <w:pStyle w:val="Compact"/>
              <w:spacing w:after="20"/>
            </w:pPr>
            <w:r>
              <w:rPr>
                <w:sz w:val="17"/>
              </w:rPr>
              <w:t xml:space="preserve">Service géré ; dépendance à un fournisseur</w:t>
            </w:r>
          </w:p>
        </w:tc>
        <w:tc>
          <w:tcPr>
            <w:tcW w:type="dxa" w:w="3879"/>
          </w:tcPr>
          <w:p>
            <w:pPr>
              <w:pStyle w:val="Compact"/>
              <w:spacing w:after="20"/>
            </w:pPr>
            <w:r>
              <w:rPr>
                <w:sz w:val="17"/>
              </w:rPr>
              <w:t xml:space="preserve">Plus de contrôle, plus de travail d'exploitation (mises à jour, sauvegardes, montée en charge)</w:t>
            </w:r>
          </w:p>
        </w:tc>
      </w:tr>
      <w:tr>
        <w:tc>
          <w:tcPr>
            <w:tcW w:type="dxa" w:w="1647"/>
          </w:tcPr>
          <w:p>
            <w:pPr>
              <w:pStyle w:val="Compact"/>
              <w:spacing w:after="20"/>
            </w:pPr>
            <w:r>
              <w:rPr>
                <w:sz w:val="17"/>
              </w:rPr>
              <w:t xml:space="preserve">Hébergement au Canada</w:t>
            </w:r>
          </w:p>
        </w:tc>
        <w:tc>
          <w:tcPr>
            <w:tcW w:type="dxa" w:w="4396"/>
          </w:tcPr>
          <w:p>
            <w:pPr>
              <w:pStyle w:val="Compact"/>
              <w:spacing w:after="20"/>
            </w:pPr>
            <w:r>
              <w:rPr>
                <w:sz w:val="17"/>
              </w:rPr>
              <w:t xml:space="preserve">Région</w:t>
            </w:r>
            <w:r>
              <w:rPr>
                <w:sz w:val="17"/>
              </w:rPr>
              <w:t xml:space="preserve"> </w:t>
            </w:r>
            <w:r>
              <w:rPr>
                <w:b/>
                <w:bCs/>
                <w:sz w:val="17"/>
              </w:rPr>
              <w:t xml:space="preserve">Canada (Central)</w:t>
            </w:r>
            <w:r>
              <w:rPr>
                <w:sz w:val="17"/>
              </w:rPr>
              <w:t xml:space="preserve">, code</w:t>
            </w:r>
            <w:r>
              <w:rPr>
                <w:sz w:val="17"/>
              </w:rPr>
              <w:t xml:space="preserve"> </w:t>
            </w:r>
            <w:r>
              <w:rPr>
                <w:rStyle w:val="VerbatimChar"/>
                <w:sz w:val="17"/>
              </w:rPr>
              <w:t xml:space="preserve">ca-central-1</w:t>
            </w:r>
            <w:r>
              <w:rPr>
                <w:sz w:val="17"/>
              </w:rPr>
              <w:t xml:space="preserve"> </w:t>
            </w:r>
            <w:r>
              <w:rPr>
                <w:sz w:val="17"/>
              </w:rPr>
              <w:t xml:space="preserve">(vérifié dans la doc Supabase « Available regions »)</w:t>
            </w:r>
          </w:p>
        </w:tc>
        <w:tc>
          <w:tcPr>
            <w:tcW w:type="dxa" w:w="3879"/>
          </w:tcPr>
          <w:p>
            <w:pPr>
              <w:pStyle w:val="Compact"/>
              <w:spacing w:after="20"/>
            </w:pPr>
            <w:r>
              <w:rPr>
                <w:sz w:val="17"/>
              </w:rPr>
              <w:t xml:space="preserve">Selon l'hébergeur choisi :</w:t>
            </w:r>
            <w:r>
              <w:rPr>
                <w:sz w:val="17"/>
              </w:rPr>
              <w:t xml:space="preserve"> </w:t>
            </w:r>
            <w:r>
              <w:rPr>
                <w:b/>
                <w:bCs/>
                <w:sz w:val="17"/>
              </w:rPr>
              <w:t xml:space="preserve">à confirmer</w:t>
            </w:r>
          </w:p>
        </w:tc>
      </w:tr>
    </w:tbl>
    <w:p>
      <w:pPr>
        <w:pStyle w:val="BodyText"/>
      </w:pPr>
      <w:r>
        <w:rPr>
          <w:b/>
          <w:bCs/>
        </w:rPr>
        <w:t xml:space="preserve">Recommandation : Supabase</w:t>
      </w:r>
      <w:r>
        <w:t xml:space="preserve"> </w:t>
      </w:r>
      <w:r>
        <w:t xml:space="preserve">pour le MVP. La plateforme fournit les briques nécessaires à Volis (Auth avec PKCE et MFA, RLS, stockage privé, temps réel pour la messagerie). La logique sensible reste côté serveur :</w:t>
      </w:r>
    </w:p>
    <w:p>
      <w:pPr>
        <w:pStyle w:val="Compact"/>
        <w:numPr>
          <w:ilvl w:val="0"/>
          <w:numId w:val="1009"/>
        </w:numPr>
      </w:pPr>
      <w:r>
        <w:t xml:space="preserve">La machine d'états des livraisons et la libération des fonds se font uniquement dans des fonctions serveur (Edge Functions ou fonctions PostgreSQL</w:t>
      </w:r>
      <w:r>
        <w:t xml:space="preserve"> </w:t>
      </w:r>
      <w:r>
        <w:rPr>
          <w:rStyle w:val="VerbatimChar"/>
        </w:rPr>
        <w:t xml:space="preserve">SECURITY DEFINER</w:t>
      </w:r>
      <w:r>
        <w:t xml:space="preserve">), jamais depuis l'app.</w:t>
      </w:r>
    </w:p>
    <w:p>
      <w:pPr>
        <w:pStyle w:val="Compact"/>
        <w:numPr>
          <w:ilvl w:val="0"/>
          <w:numId w:val="1009"/>
        </w:numPr>
      </w:pPr>
      <w:r>
        <w:t xml:space="preserve">L'app n'a aucun droit d'écriture direct sur les tables</w:t>
      </w:r>
      <w:r>
        <w:t xml:space="preserve"> </w:t>
      </w:r>
      <w:r>
        <w:rPr>
          <w:rStyle w:val="VerbatimChar"/>
        </w:rPr>
        <w:t xml:space="preserve">payments</w:t>
      </w:r>
      <w:r>
        <w:t xml:space="preserve">,</w:t>
      </w:r>
      <w:r>
        <w:t xml:space="preserve"> </w:t>
      </w:r>
      <w:r>
        <w:rPr>
          <w:rStyle w:val="VerbatimChar"/>
        </w:rPr>
        <w:t xml:space="preserve">transfers</w:t>
      </w:r>
      <w:r>
        <w:t xml:space="preserve"> </w:t>
      </w:r>
      <w:r>
        <w:t xml:space="preserve">et</w:t>
      </w:r>
      <w:r>
        <w:t xml:space="preserve"> </w:t>
      </w:r>
      <w:r>
        <w:rPr>
          <w:rStyle w:val="VerbatimChar"/>
        </w:rPr>
        <w:t xml:space="preserve">deliveries.status</w:t>
      </w:r>
      <w:r>
        <w:t xml:space="preserve">.</w:t>
      </w:r>
    </w:p>
    <w:p>
      <w:pPr>
        <w:pStyle w:val="Compact"/>
        <w:numPr>
          <w:ilvl w:val="0"/>
          <w:numId w:val="1009"/>
        </w:numPr>
      </w:pPr>
      <w:r>
        <w:rPr>
          <w:b/>
          <w:bCs/>
        </w:rPr>
        <w:t xml:space="preserve">Région : Canada (Central),</w:t>
      </w:r>
      <w:r>
        <w:rPr>
          <w:b/>
          <w:bCs/>
        </w:rPr>
        <w:t xml:space="preserve"> </w:t>
      </w:r>
      <w:r>
        <w:rPr>
          <w:rStyle w:val="VerbatimChar"/>
          <w:b/>
          <w:bCs/>
        </w:rPr>
        <w:t xml:space="preserve">ca-central-1</w:t>
      </w:r>
      <w:r>
        <w:t xml:space="preserve"> </w:t>
      </w:r>
      <w:r>
        <w:t xml:space="preserve">(existence vérifiée dans la doc Supabase, https://supabase.com/docs/guides/platform/regions). Il faut choisir cette</w:t>
      </w:r>
      <w:r>
        <w:t xml:space="preserve"> </w:t>
      </w:r>
      <w:r>
        <w:rPr>
          <w:b/>
          <w:bCs/>
        </w:rPr>
        <w:t xml:space="preserve">région précise</w:t>
      </w:r>
      <w:r>
        <w:t xml:space="preserve"> </w:t>
      </w:r>
      <w:r>
        <w:t xml:space="preserve">à la création du projet, et non la région générale « Americas », qui déploie dans une région AWS de la zone (par ex. Virginie du Nord). Ce choix est</w:t>
      </w:r>
      <w:r>
        <w:t xml:space="preserve"> </w:t>
      </w:r>
      <w:r>
        <w:rPr>
          <w:b/>
          <w:bCs/>
        </w:rPr>
        <w:t xml:space="preserve">recommandé, pas exigé par la loi</w:t>
      </w:r>
      <w:r>
        <w:t xml:space="preserve"> </w:t>
      </w:r>
      <w:r>
        <w:t xml:space="preserve">: il allège l'évaluation des transferts hors Québec dans l'ÉFVP, puisque la base, le stockage et l'authentification restent au Canada. Selon l'équipe juridique, il ne reste alors que Stripe à justifier.</w:t>
      </w:r>
      <w:r>
        <w:t xml:space="preserve"> </w:t>
      </w:r>
      <w:r>
        <w:rPr>
          <w:b/>
          <w:bCs/>
        </w:rPr>
        <w:t xml:space="preserve">À faire valider par l'avocat.</w:t>
      </w:r>
      <w:r>
        <w:t xml:space="preserve"> </w:t>
      </w:r>
      <w:r>
        <w:t xml:space="preserve">Point technique à signaler à l'équipe juridique : d'autres fournisseurs reçoivent aussi des données (Sentry, service push d'Expo, éventuel outil d'analytics, assureur partenaire) et doivent figurer dans l'ÉFVP. Les Edge Functions peuvent être invoquées dans</w:t>
      </w:r>
      <w:r>
        <w:t xml:space="preserve"> </w:t>
      </w:r>
      <w:r>
        <w:rPr>
          <w:rStyle w:val="VerbatimChar"/>
        </w:rPr>
        <w:t xml:space="preserve">ca-central-1</w:t>
      </w:r>
      <w:r>
        <w:t xml:space="preserve"> </w:t>
      </w:r>
      <w:r>
        <w:t xml:space="preserve">(doc Supabase « Regional Invocations ») : à configurer.</w:t>
      </w:r>
    </w:p>
    <w:p>
      <w:pPr>
        <w:pStyle w:val="Compact"/>
        <w:numPr>
          <w:ilvl w:val="0"/>
          <w:numId w:val="1009"/>
        </w:numPr>
      </w:pPr>
      <w:r>
        <w:t xml:space="preserve">Pour garder une porte de sortie, les règles métier sont écrites en TypeScript pur (couche domaine partagée) et la base reste du PostgreSQL standard. Une migration vers NestJS + PostgreSQL resterait possible si les besoins dépassent les Edge Functions.</w:t>
      </w:r>
    </w:p>
    <w:p>
      <w:pPr>
        <w:pStyle w:val="BlockText"/>
      </w:pPr>
      <w:r>
        <w:rPr>
          <w:b/>
          <w:bCs/>
        </w:rPr>
        <w:t xml:space="preserve">Règle d'or (fiche de recherche) :</w:t>
      </w:r>
      <w:r>
        <w:t xml:space="preserve"> </w:t>
      </w:r>
      <w:r>
        <w:t xml:space="preserve">c'est le serveur qui décide de libérer un paiement, jamais l'application.</w:t>
      </w:r>
    </w:p>
    <w:bookmarkEnd w:id="38"/>
    <w:bookmarkEnd w:id="39"/>
    <w:bookmarkStart w:id="52" w:name="architecture"/>
    <w:p>
      <w:pPr>
        <w:pStyle w:val="Heading2"/>
      </w:pPr>
      <w:r>
        <w:t xml:space="preserve">2. Architecture</w:t>
      </w:r>
    </w:p>
    <w:bookmarkStart w:id="43" w:name="schéma-du-système"/>
    <w:p>
      <w:pPr>
        <w:pStyle w:val="Heading3"/>
      </w:pPr>
      <w:r>
        <w:t xml:space="preserve">2.1 Schéma du système</w:t>
      </w:r>
    </w:p>
    <w:p>
      <w:pPr>
        <w:pStyle w:val="CaptionedFigure"/>
      </w:pPr>
      <w:r>
        <w:drawing>
          <wp:inline>
            <wp:extent cx="5334000" cy="3048000"/>
            <wp:effectExtent b="0" l="0" r="0" t="0"/>
            <wp:docPr descr="Figure B-1 — Schéma du système" title="" id="41" name="Picture"/>
            <a:graphic>
              <a:graphicData uri="http://schemas.openxmlformats.org/drawingml/2006/picture">
                <pic:pic>
                  <pic:nvPicPr>
                    <pic:cNvPr descr="/workspace/volis/assemblage/diagramme-B1.png" id="42" name="Picture"/>
                    <pic:cNvPicPr>
                      <a:picLocks noChangeArrowheads="1" noChangeAspect="1"/>
                    </pic:cNvPicPr>
                  </pic:nvPicPr>
                  <pic:blipFill>
                    <a:blip r:embed="rId40"/>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B-1 — Schéma du système</w:t>
      </w:r>
    </w:p>
    <w:bookmarkEnd w:id="43"/>
    <w:bookmarkStart w:id="44" w:name="couches-côté-application"/>
    <w:p>
      <w:pPr>
        <w:pStyle w:val="Heading3"/>
      </w:pPr>
      <w:r>
        <w:t xml:space="preserve">2.2 Couches côté application</w:t>
      </w:r>
    </w:p>
    <w:p>
      <w:pPr>
        <w:pStyle w:val="FirstParagraph"/>
      </w:pPr>
      <w:r>
        <w:t xml:space="preserve">Conformément au guide (architecture « Clean Architecture pragmatique ») :</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1566"/>
        <w:gridCol w:w="4962"/>
        <w:gridCol w:w="3392"/>
      </w:tblGrid>
      <w:tr>
        <w:trPr>
          <w:tblHeader w:val="on"/>
        </w:trPr>
        <w:tc>
          <w:tcPr>
            <w:tcW w:type="dxa" w:w="1567"/>
            <w:shd w:val="clear" w:color="auto" w:fill="0F766E"/>
          </w:tcPr>
          <w:p>
            <w:pPr>
              <w:pStyle w:val="Compact"/>
              <w:spacing w:after="20"/>
            </w:pPr>
            <w:r>
              <w:rPr>
                <w:b/>
                <w:color w:val="FFFFFF"/>
                <w:sz w:val="17"/>
              </w:rPr>
              <w:t xml:space="preserve">Couche</w:t>
            </w:r>
          </w:p>
        </w:tc>
        <w:tc>
          <w:tcPr>
            <w:tcW w:type="dxa" w:w="4962"/>
            <w:shd w:val="clear" w:color="auto" w:fill="0F766E"/>
          </w:tcPr>
          <w:p>
            <w:pPr>
              <w:pStyle w:val="Compact"/>
              <w:spacing w:after="20"/>
            </w:pPr>
            <w:r>
              <w:rPr>
                <w:b/>
                <w:color w:val="FFFFFF"/>
                <w:sz w:val="17"/>
              </w:rPr>
              <w:t xml:space="preserve">Contenu dans Volis</w:t>
            </w:r>
          </w:p>
        </w:tc>
        <w:tc>
          <w:tcPr>
            <w:tcW w:type="dxa" w:w="3392"/>
            <w:shd w:val="clear" w:color="auto" w:fill="0F766E"/>
          </w:tcPr>
          <w:p>
            <w:pPr>
              <w:pStyle w:val="Compact"/>
              <w:spacing w:after="20"/>
            </w:pPr>
            <w:r>
              <w:rPr>
                <w:b/>
                <w:color w:val="FFFFFF"/>
                <w:sz w:val="17"/>
              </w:rPr>
              <w:t xml:space="preserve">Règles</w:t>
            </w:r>
          </w:p>
        </w:tc>
      </w:tr>
      <w:tr>
        <w:tc>
          <w:tcPr>
            <w:tcW w:type="dxa" w:w="1567"/>
          </w:tcPr>
          <w:p>
            <w:pPr>
              <w:pStyle w:val="Compact"/>
              <w:spacing w:after="20"/>
            </w:pPr>
            <w:r>
              <w:rPr>
                <w:b/>
                <w:bCs/>
                <w:sz w:val="17"/>
              </w:rPr>
              <w:t xml:space="preserve">UI (MVVM)</w:t>
            </w:r>
          </w:p>
        </w:tc>
        <w:tc>
          <w:tcPr>
            <w:tcW w:type="dxa" w:w="4962"/>
          </w:tcPr>
          <w:p>
            <w:pPr>
              <w:pStyle w:val="Compact"/>
              <w:spacing w:after="20"/>
            </w:pPr>
            <w:r>
              <w:rPr>
                <w:sz w:val="17"/>
              </w:rPr>
              <w:t xml:space="preserve">Écrans Expo Router ; hooks jouant le rôle de ViewModel (</w:t>
            </w:r>
            <w:r>
              <w:rPr>
                <w:rStyle w:val="VerbatimChar"/>
                <w:sz w:val="17"/>
              </w:rPr>
              <w:t xml:space="preserve">useTripSearchViewModel</w:t>
            </w:r>
            <w:r>
              <w:rPr>
                <w:sz w:val="17"/>
              </w:rPr>
              <w:t xml:space="preserve">, etc.) qui exposent un état d'écran immuable ; flux unidirectionnel</w:t>
            </w:r>
          </w:p>
        </w:tc>
        <w:tc>
          <w:tcPr>
            <w:tcW w:type="dxa" w:w="3392"/>
          </w:tcPr>
          <w:p>
            <w:pPr>
              <w:pStyle w:val="Compact"/>
              <w:spacing w:after="20"/>
            </w:pPr>
            <w:r>
              <w:rPr>
                <w:sz w:val="17"/>
              </w:rPr>
              <w:t xml:space="preserve">L'UI n'appelle jamais le réseau ni le stockage directement. Elle affiche les statuts fournis par le serveur.</w:t>
            </w:r>
          </w:p>
        </w:tc>
      </w:tr>
      <w:tr>
        <w:tc>
          <w:tcPr>
            <w:tcW w:type="dxa" w:w="1567"/>
          </w:tcPr>
          <w:p>
            <w:pPr>
              <w:pStyle w:val="Compact"/>
              <w:spacing w:after="20"/>
            </w:pPr>
            <w:r>
              <w:rPr>
                <w:b/>
                <w:bCs/>
                <w:sz w:val="17"/>
              </w:rPr>
              <w:t xml:space="preserve">Domaine (optionnel)</w:t>
            </w:r>
          </w:p>
        </w:tc>
        <w:tc>
          <w:tcPr>
            <w:tcW w:type="dxa" w:w="4962"/>
          </w:tcPr>
          <w:p>
            <w:pPr>
              <w:pStyle w:val="Compact"/>
              <w:spacing w:after="20"/>
            </w:pPr>
            <w:r>
              <w:rPr>
                <w:sz w:val="17"/>
              </w:rPr>
              <w:t xml:space="preserve">Types métier (</w:t>
            </w:r>
            <w:r>
              <w:rPr>
                <w:rStyle w:val="VerbatimChar"/>
                <w:sz w:val="17"/>
              </w:rPr>
              <w:t xml:space="preserve">Delivery</w:t>
            </w:r>
            <w:r>
              <w:rPr>
                <w:sz w:val="17"/>
              </w:rPr>
              <w:t xml:space="preserve">,</w:t>
            </w:r>
            <w:r>
              <w:rPr>
                <w:sz w:val="17"/>
              </w:rPr>
              <w:t xml:space="preserve"> </w:t>
            </w:r>
            <w:r>
              <w:rPr>
                <w:rStyle w:val="VerbatimChar"/>
                <w:sz w:val="17"/>
              </w:rPr>
              <w:t xml:space="preserve">Booking</w:t>
            </w:r>
            <w:r>
              <w:rPr>
                <w:sz w:val="17"/>
              </w:rPr>
              <w:t xml:space="preserve">,</w:t>
            </w:r>
            <w:r>
              <w:rPr>
                <w:sz w:val="17"/>
              </w:rPr>
              <w:t xml:space="preserve"> </w:t>
            </w:r>
            <w:r>
              <w:rPr>
                <w:rStyle w:val="VerbatimChar"/>
                <w:sz w:val="17"/>
              </w:rPr>
              <w:t xml:space="preserve">Money</w:t>
            </w:r>
            <w:r>
              <w:rPr>
                <w:sz w:val="17"/>
              </w:rPr>
              <w:t xml:space="preserve">), règles pures (transitions d'états permises côté affichage, calcul de l'affichage du détail de prix reçu du serveur)</w:t>
            </w:r>
          </w:p>
        </w:tc>
        <w:tc>
          <w:tcPr>
            <w:tcW w:type="dxa" w:w="3392"/>
          </w:tcPr>
          <w:p>
            <w:pPr>
              <w:pStyle w:val="Compact"/>
              <w:spacing w:after="20"/>
            </w:pPr>
            <w:r>
              <w:rPr>
                <w:sz w:val="17"/>
              </w:rPr>
              <w:t xml:space="preserve">TypeScript pur, sans dépendance React Native ; testé unitairement.</w:t>
            </w:r>
          </w:p>
        </w:tc>
      </w:tr>
      <w:tr>
        <w:tc>
          <w:tcPr>
            <w:tcW w:type="dxa" w:w="1567"/>
          </w:tcPr>
          <w:p>
            <w:pPr>
              <w:pStyle w:val="Compact"/>
              <w:spacing w:after="20"/>
            </w:pPr>
            <w:r>
              <w:rPr>
                <w:b/>
                <w:bCs/>
                <w:sz w:val="17"/>
              </w:rPr>
              <w:t xml:space="preserve">Data (repositories)</w:t>
            </w:r>
          </w:p>
        </w:tc>
        <w:tc>
          <w:tcPr>
            <w:tcW w:type="dxa" w:w="4962"/>
          </w:tcPr>
          <w:p>
            <w:pPr>
              <w:pStyle w:val="Compact"/>
              <w:spacing w:after="20"/>
            </w:pPr>
            <w:r>
              <w:rPr>
                <w:rStyle w:val="VerbatimChar"/>
                <w:sz w:val="17"/>
              </w:rPr>
              <w:t xml:space="preserve">TripsRepository</w:t>
            </w:r>
            <w:r>
              <w:rPr>
                <w:sz w:val="17"/>
              </w:rPr>
              <w:t xml:space="preserve">,</w:t>
            </w:r>
            <w:r>
              <w:rPr>
                <w:sz w:val="17"/>
              </w:rPr>
              <w:t xml:space="preserve"> </w:t>
            </w:r>
            <w:r>
              <w:rPr>
                <w:rStyle w:val="VerbatimChar"/>
                <w:sz w:val="17"/>
              </w:rPr>
              <w:t xml:space="preserve">BookingsRepository</w:t>
            </w:r>
            <w:r>
              <w:rPr>
                <w:sz w:val="17"/>
              </w:rPr>
              <w:t xml:space="preserve">,</w:t>
            </w:r>
            <w:r>
              <w:rPr>
                <w:sz w:val="17"/>
              </w:rPr>
              <w:t xml:space="preserve"> </w:t>
            </w:r>
            <w:r>
              <w:rPr>
                <w:rStyle w:val="VerbatimChar"/>
                <w:sz w:val="17"/>
              </w:rPr>
              <w:t xml:space="preserve">PaymentsRepository</w:t>
            </w:r>
            <w:r>
              <w:rPr>
                <w:sz w:val="17"/>
              </w:rPr>
              <w:t xml:space="preserve">,</w:t>
            </w:r>
            <w:r>
              <w:rPr>
                <w:sz w:val="17"/>
              </w:rPr>
              <w:t xml:space="preserve"> </w:t>
            </w:r>
            <w:r>
              <w:rPr>
                <w:rStyle w:val="VerbatimChar"/>
                <w:sz w:val="17"/>
              </w:rPr>
              <w:t xml:space="preserve">MessagesRepository</w:t>
            </w:r>
            <w:r>
              <w:rPr>
                <w:sz w:val="17"/>
              </w:rPr>
              <w:t xml:space="preserve">… ; client Supabase, client HTTP des Edge Functions, cache (TanStack Query), stockage sécurisé</w:t>
            </w:r>
          </w:p>
        </w:tc>
        <w:tc>
          <w:tcPr>
            <w:tcW w:type="dxa" w:w="3392"/>
          </w:tcPr>
          <w:p>
            <w:pPr>
              <w:pStyle w:val="Compact"/>
              <w:spacing w:after="20"/>
            </w:pPr>
            <w:r>
              <w:rPr>
                <w:sz w:val="17"/>
              </w:rPr>
              <w:t xml:space="preserve">Point unique pour les jetons, la validation des réponses, la gestion des erreurs et le cache hors-ligne.</w:t>
            </w:r>
          </w:p>
        </w:tc>
      </w:tr>
    </w:tbl>
    <w:bookmarkEnd w:id="44"/>
    <w:bookmarkStart w:id="45" w:name="structure-de-dossiers-type"/>
    <w:p>
      <w:pPr>
        <w:pStyle w:val="Heading3"/>
      </w:pPr>
      <w:r>
        <w:t xml:space="preserve">2.3 Structure de dossiers type</w:t>
      </w:r>
    </w:p>
    <w:p>
      <w:pPr>
        <w:pStyle w:val="SourceCode"/>
      </w:pPr>
      <w:r>
        <w:rPr>
          <w:rStyle w:val="VerbatimChar"/>
        </w:rPr>
        <w:t xml:space="preserve">volis/</w:t>
      </w:r>
      <w:r>
        <w:br/>
      </w:r>
      <w:r>
        <w:rPr>
          <w:rStyle w:val="VerbatimChar"/>
        </w:rPr>
        <w:t xml:space="preserve">  app/                         # routes Expo Router (iOS, Android, web)</w:t>
      </w:r>
      <w:r>
        <w:br/>
      </w:r>
      <w:r>
        <w:rPr>
          <w:rStyle w:val="VerbatimChar"/>
        </w:rPr>
        <w:t xml:space="preserve">    (auth)/  connexion.tsx, inscription.tsx</w:t>
      </w:r>
      <w:r>
        <w:br/>
      </w:r>
      <w:r>
        <w:rPr>
          <w:rStyle w:val="VerbatimChar"/>
        </w:rPr>
        <w:t xml:space="preserve">    (tabs)/  trajets/, envois/, messages/, profil/</w:t>
      </w:r>
      <w:r>
        <w:br/>
      </w:r>
      <w:r>
        <w:rPr>
          <w:rStyle w:val="VerbatimChar"/>
        </w:rPr>
        <w:t xml:space="preserve">    reservation/[id].tsx</w:t>
      </w:r>
      <w:r>
        <w:br/>
      </w:r>
      <w:r>
        <w:rPr>
          <w:rStyle w:val="VerbatimChar"/>
        </w:rPr>
        <w:t xml:space="preserve">    litige/[id].tsx</w:t>
      </w:r>
      <w:r>
        <w:br/>
      </w:r>
      <w:r>
        <w:rPr>
          <w:rStyle w:val="VerbatimChar"/>
        </w:rPr>
        <w:t xml:space="preserve">    _layout.tsx                # fournisseurs (i18n, thème, requêtes, session)</w:t>
      </w:r>
      <w:r>
        <w:br/>
      </w:r>
      <w:r>
        <w:rPr>
          <w:rStyle w:val="VerbatimChar"/>
        </w:rPr>
        <w:t xml:space="preserve">  src/</w:t>
      </w:r>
      <w:r>
        <w:br/>
      </w:r>
      <w:r>
        <w:rPr>
          <w:rStyle w:val="VerbatimChar"/>
        </w:rPr>
        <w:t xml:space="preserve">    features/                  # une fonctionnalité = écrans + ViewModels + composants</w:t>
      </w:r>
      <w:r>
        <w:br/>
      </w:r>
      <w:r>
        <w:rPr>
          <w:rStyle w:val="VerbatimChar"/>
        </w:rPr>
        <w:t xml:space="preserve">      trips/  shipments/  bookings/  payments/  identity/</w:t>
      </w:r>
      <w:r>
        <w:br/>
      </w:r>
      <w:r>
        <w:rPr>
          <w:rStyle w:val="VerbatimChar"/>
        </w:rPr>
        <w:t xml:space="preserve">      messaging/  disputes/  reviews/  account/  payouts/</w:t>
      </w:r>
      <w:r>
        <w:br/>
      </w:r>
      <w:r>
        <w:rPr>
          <w:rStyle w:val="VerbatimChar"/>
        </w:rPr>
        <w:t xml:space="preserve">    domain/                    # types et règles pures (sans React Native)</w:t>
      </w:r>
      <w:r>
        <w:br/>
      </w:r>
      <w:r>
        <w:rPr>
          <w:rStyle w:val="VerbatimChar"/>
        </w:rPr>
        <w:t xml:space="preserve">    data/</w:t>
      </w:r>
      <w:r>
        <w:br/>
      </w:r>
      <w:r>
        <w:rPr>
          <w:rStyle w:val="VerbatimChar"/>
        </w:rPr>
        <w:t xml:space="preserve">      api/                     # client Supabase, client Edge Functions, intercepteurs</w:t>
      </w:r>
      <w:r>
        <w:br/>
      </w:r>
      <w:r>
        <w:rPr>
          <w:rStyle w:val="VerbatimChar"/>
        </w:rPr>
        <w:t xml:space="preserve">      repositories/</w:t>
      </w:r>
      <w:r>
        <w:br/>
      </w:r>
      <w:r>
        <w:rPr>
          <w:rStyle w:val="VerbatimChar"/>
        </w:rPr>
        <w:t xml:space="preserve">      secure/                  # wrapper expo-secure-store</w:t>
      </w:r>
      <w:r>
        <w:br/>
      </w:r>
      <w:r>
        <w:rPr>
          <w:rStyle w:val="VerbatimChar"/>
        </w:rPr>
        <w:t xml:space="preserve">      cache/                   # persistance hors-ligne (non sensible)</w:t>
      </w:r>
      <w:r>
        <w:br/>
      </w:r>
      <w:r>
        <w:rPr>
          <w:rStyle w:val="VerbatimChar"/>
        </w:rPr>
        <w:t xml:space="preserve">    ui/                        # design system (thème « Carnet de voyage » / « Scrapbook »)</w:t>
      </w:r>
      <w:r>
        <w:br/>
      </w:r>
      <w:r>
        <w:rPr>
          <w:rStyle w:val="VerbatimChar"/>
        </w:rPr>
        <w:t xml:space="preserve">    i18n/                      # fr, en, ar (RTL)</w:t>
      </w:r>
      <w:r>
        <w:br/>
      </w:r>
      <w:r>
        <w:rPr>
          <w:rStyle w:val="VerbatimChar"/>
        </w:rPr>
        <w:t xml:space="preserve">    test/                      # fakes, utilitaires</w:t>
      </w:r>
      <w:r>
        <w:br/>
      </w:r>
      <w:r>
        <w:rPr>
          <w:rStyle w:val="VerbatimChar"/>
        </w:rPr>
        <w:t xml:space="preserve">  supabase/</w:t>
      </w:r>
      <w:r>
        <w:br/>
      </w:r>
      <w:r>
        <w:rPr>
          <w:rStyle w:val="VerbatimChar"/>
        </w:rPr>
        <w:t xml:space="preserve">    migrations/                # schéma SQL versionné + politiques RLS</w:t>
      </w:r>
      <w:r>
        <w:br/>
      </w:r>
      <w:r>
        <w:rPr>
          <w:rStyle w:val="VerbatimChar"/>
        </w:rPr>
        <w:t xml:space="preserve">    functions/                 # Edge Functions (stripe-webhook, release-funds, …)</w:t>
      </w:r>
      <w:r>
        <w:br/>
      </w:r>
      <w:r>
        <w:rPr>
          <w:rStyle w:val="VerbatimChar"/>
        </w:rPr>
        <w:t xml:space="preserve">    tests/                     # tests RLS et tests de fonctions</w:t>
      </w:r>
      <w:r>
        <w:br/>
      </w:r>
      <w:r>
        <w:rPr>
          <w:rStyle w:val="VerbatimChar"/>
        </w:rPr>
        <w:t xml:space="preserve">  .github/workflows/           # CI</w:t>
      </w:r>
      <w:r>
        <w:br/>
      </w:r>
      <w:r>
        <w:rPr>
          <w:rStyle w:val="VerbatimChar"/>
        </w:rPr>
        <w:t xml:space="preserve">  eas.json  app.config.ts</w:t>
      </w:r>
    </w:p>
    <w:bookmarkEnd w:id="45"/>
    <w:bookmarkStart w:id="46" w:name="modèle-de-données-principal"/>
    <w:p>
      <w:pPr>
        <w:pStyle w:val="Heading3"/>
      </w:pPr>
      <w:r>
        <w:t xml:space="preserve">2.4 Modèle de données principal</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1654"/>
        <w:gridCol w:w="5274"/>
        <w:gridCol w:w="2991"/>
      </w:tblGrid>
      <w:tr>
        <w:trPr>
          <w:tblHeader w:val="on"/>
        </w:trPr>
        <w:tc>
          <w:tcPr>
            <w:tcW w:type="dxa" w:w="1655"/>
            <w:shd w:val="clear" w:color="auto" w:fill="0F766E"/>
          </w:tcPr>
          <w:p>
            <w:pPr>
              <w:pStyle w:val="Compact"/>
              <w:spacing w:after="20"/>
            </w:pPr>
            <w:r>
              <w:rPr>
                <w:b/>
                <w:color w:val="FFFFFF"/>
                <w:sz w:val="17"/>
              </w:rPr>
              <w:t xml:space="preserve">Entité</w:t>
            </w:r>
          </w:p>
        </w:tc>
        <w:tc>
          <w:tcPr>
            <w:tcW w:type="dxa" w:w="5274"/>
            <w:shd w:val="clear" w:color="auto" w:fill="0F766E"/>
          </w:tcPr>
          <w:p>
            <w:pPr>
              <w:pStyle w:val="Compact"/>
              <w:spacing w:after="20"/>
            </w:pPr>
            <w:r>
              <w:rPr>
                <w:b/>
                <w:color w:val="FFFFFF"/>
                <w:sz w:val="17"/>
              </w:rPr>
              <w:t xml:space="preserve">Champs principaux (indicatifs)</w:t>
            </w:r>
          </w:p>
        </w:tc>
        <w:tc>
          <w:tcPr>
            <w:tcW w:type="dxa" w:w="2992"/>
            <w:shd w:val="clear" w:color="auto" w:fill="0F766E"/>
          </w:tcPr>
          <w:p>
            <w:pPr>
              <w:pStyle w:val="Compact"/>
              <w:spacing w:after="20"/>
            </w:pPr>
            <w:r>
              <w:rPr>
                <w:b/>
                <w:color w:val="FFFFFF"/>
                <w:sz w:val="17"/>
              </w:rPr>
              <w:t xml:space="preserve">Remarques</w:t>
            </w:r>
          </w:p>
        </w:tc>
      </w:tr>
      <w:tr>
        <w:tc>
          <w:tcPr>
            <w:tcW w:type="dxa" w:w="1655"/>
          </w:tcPr>
          <w:p>
            <w:pPr>
              <w:pStyle w:val="Compact"/>
              <w:spacing w:after="20"/>
            </w:pPr>
            <w:r>
              <w:rPr>
                <w:rStyle w:val="VerbatimChar"/>
                <w:sz w:val="17"/>
              </w:rPr>
              <w:t xml:space="preserve">users</w:t>
            </w:r>
            <w:r>
              <w:rPr>
                <w:sz w:val="17"/>
              </w:rPr>
              <w:t xml:space="preserve"> </w:t>
            </w:r>
            <w:r>
              <w:rPr>
                <w:sz w:val="17"/>
              </w:rPr>
              <w:t xml:space="preserve">(profils)</w:t>
            </w:r>
          </w:p>
        </w:tc>
        <w:tc>
          <w:tcPr>
            <w:tcW w:type="dxa" w:w="5274"/>
          </w:tcPr>
          <w:p>
            <w:pPr>
              <w:pStyle w:val="Compact"/>
              <w:spacing w:after="20"/>
            </w:pPr>
            <w:r>
              <w:rPr>
                <w:rStyle w:val="VerbatimChar"/>
                <w:sz w:val="17"/>
              </w:rPr>
              <w:t xml:space="preserve">id</w:t>
            </w:r>
            <w:r>
              <w:rPr>
                <w:sz w:val="17"/>
              </w:rPr>
              <w:t xml:space="preserve"> </w:t>
            </w:r>
            <w:r>
              <w:rPr>
                <w:sz w:val="17"/>
              </w:rPr>
              <w:t xml:space="preserve">(= Auth), nom affiché, langue, pays,</w:t>
            </w:r>
            <w:r>
              <w:rPr>
                <w:sz w:val="17"/>
              </w:rPr>
              <w:t xml:space="preserve"> </w:t>
            </w:r>
            <w:r>
              <w:rPr>
                <w:rStyle w:val="VerbatimChar"/>
                <w:sz w:val="17"/>
              </w:rPr>
              <w:t xml:space="preserve">identity_status</w:t>
            </w:r>
            <w:r>
              <w:rPr>
                <w:sz w:val="17"/>
              </w:rPr>
              <w:t xml:space="preserve">,</w:t>
            </w:r>
            <w:r>
              <w:rPr>
                <w:sz w:val="17"/>
              </w:rPr>
              <w:t xml:space="preserve"> </w:t>
            </w:r>
            <w:r>
              <w:rPr>
                <w:rStyle w:val="VerbatimChar"/>
                <w:sz w:val="17"/>
              </w:rPr>
              <w:t xml:space="preserve">stripe_identity_session_id</w:t>
            </w:r>
            <w:r>
              <w:rPr>
                <w:sz w:val="17"/>
              </w:rPr>
              <w:t xml:space="preserve">,</w:t>
            </w:r>
            <w:r>
              <w:rPr>
                <w:sz w:val="17"/>
              </w:rPr>
              <w:t xml:space="preserve"> </w:t>
            </w:r>
            <w:r>
              <w:rPr>
                <w:rStyle w:val="VerbatimChar"/>
                <w:sz w:val="17"/>
              </w:rPr>
              <w:t xml:space="preserve">stripe_account_id</w:t>
            </w:r>
            <w:r>
              <w:rPr>
                <w:sz w:val="17"/>
              </w:rPr>
              <w:t xml:space="preserve"> </w:t>
            </w:r>
            <w:r>
              <w:rPr>
                <w:sz w:val="17"/>
              </w:rPr>
              <w:t xml:space="preserve">(voyageur),</w:t>
            </w:r>
            <w:r>
              <w:rPr>
                <w:sz w:val="17"/>
              </w:rPr>
              <w:t xml:space="preserve"> </w:t>
            </w:r>
            <w:r>
              <w:rPr>
                <w:rStyle w:val="VerbatimChar"/>
                <w:sz w:val="17"/>
              </w:rPr>
              <w:t xml:space="preserve">stripe_customer_id</w:t>
            </w:r>
            <w:r>
              <w:rPr>
                <w:sz w:val="17"/>
              </w:rPr>
              <w:t xml:space="preserve"> </w:t>
            </w:r>
            <w:r>
              <w:rPr>
                <w:sz w:val="17"/>
              </w:rPr>
              <w:t xml:space="preserve">(expéditeur), dates de consentement,</w:t>
            </w:r>
            <w:r>
              <w:rPr>
                <w:sz w:val="17"/>
              </w:rPr>
              <w:t xml:space="preserve"> </w:t>
            </w:r>
            <w:r>
              <w:rPr>
                <w:rStyle w:val="VerbatimChar"/>
                <w:sz w:val="17"/>
              </w:rPr>
              <w:t xml:space="preserve">deleted_at</w:t>
            </w:r>
          </w:p>
        </w:tc>
        <w:tc>
          <w:tcPr>
            <w:tcW w:type="dxa" w:w="2992"/>
          </w:tcPr>
          <w:p>
            <w:pPr>
              <w:pStyle w:val="Compact"/>
              <w:spacing w:after="20"/>
            </w:pPr>
            <w:r>
              <w:rPr>
                <w:b/>
                <w:bCs/>
                <w:sz w:val="17"/>
              </w:rPr>
              <w:t xml:space="preserve">Aucune image biométrique ni donnée bancaire.</w:t>
            </w:r>
          </w:p>
        </w:tc>
      </w:tr>
      <w:tr>
        <w:tc>
          <w:tcPr>
            <w:tcW w:type="dxa" w:w="1655"/>
          </w:tcPr>
          <w:p>
            <w:pPr>
              <w:pStyle w:val="Compact"/>
              <w:spacing w:after="20"/>
            </w:pPr>
            <w:r>
              <w:rPr>
                <w:rStyle w:val="VerbatimChar"/>
                <w:sz w:val="17"/>
              </w:rPr>
              <w:t xml:space="preserve">trips</w:t>
            </w:r>
            <w:r>
              <w:rPr>
                <w:sz w:val="17"/>
              </w:rPr>
              <w:t xml:space="preserve"> </w:t>
            </w:r>
            <w:r>
              <w:rPr>
                <w:sz w:val="17"/>
              </w:rPr>
              <w:t xml:space="preserve">(annonces de trajet)</w:t>
            </w:r>
          </w:p>
        </w:tc>
        <w:tc>
          <w:tcPr>
            <w:tcW w:type="dxa" w:w="5274"/>
          </w:tcPr>
          <w:p>
            <w:pPr>
              <w:pStyle w:val="Compact"/>
              <w:spacing w:after="20"/>
            </w:pPr>
            <w:r>
              <w:rPr>
                <w:rStyle w:val="VerbatimChar"/>
                <w:sz w:val="17"/>
              </w:rPr>
              <w:t xml:space="preserve">id</w:t>
            </w:r>
            <w:r>
              <w:rPr>
                <w:sz w:val="17"/>
              </w:rPr>
              <w:t xml:space="preserve">,</w:t>
            </w:r>
            <w:r>
              <w:rPr>
                <w:sz w:val="17"/>
              </w:rPr>
              <w:t xml:space="preserve"> </w:t>
            </w:r>
            <w:r>
              <w:rPr>
                <w:rStyle w:val="VerbatimChar"/>
                <w:sz w:val="17"/>
              </w:rPr>
              <w:t xml:space="preserve">traveler_id</w:t>
            </w:r>
            <w:r>
              <w:rPr>
                <w:sz w:val="17"/>
              </w:rPr>
              <w:t xml:space="preserve">, origine, destination, dates, capacité déclarée, restrictions, statut</w:t>
            </w:r>
          </w:p>
        </w:tc>
        <w:tc>
          <w:tcPr>
            <w:tcW w:type="dxa" w:w="2992"/>
          </w:tcPr>
          <w:p>
            <w:pPr>
              <w:pStyle w:val="Compact"/>
              <w:spacing w:after="20"/>
            </w:pPr>
            <w:r>
              <w:rPr>
                <w:sz w:val="17"/>
              </w:rPr>
              <w:t xml:space="preserve">Publiées par les voyageurs.</w:t>
            </w:r>
          </w:p>
        </w:tc>
      </w:tr>
      <w:tr>
        <w:tc>
          <w:tcPr>
            <w:tcW w:type="dxa" w:w="1655"/>
          </w:tcPr>
          <w:p>
            <w:pPr>
              <w:pStyle w:val="Compact"/>
              <w:spacing w:after="20"/>
            </w:pPr>
            <w:r>
              <w:rPr>
                <w:rStyle w:val="VerbatimChar"/>
                <w:sz w:val="17"/>
              </w:rPr>
              <w:t xml:space="preserve">shipment_requests</w:t>
            </w:r>
            <w:r>
              <w:rPr>
                <w:sz w:val="17"/>
              </w:rPr>
              <w:t xml:space="preserve"> </w:t>
            </w:r>
            <w:r>
              <w:rPr>
                <w:sz w:val="17"/>
              </w:rPr>
              <w:t xml:space="preserve">(demandes d'envoi)</w:t>
            </w:r>
          </w:p>
        </w:tc>
        <w:tc>
          <w:tcPr>
            <w:tcW w:type="dxa" w:w="5274"/>
          </w:tcPr>
          <w:p>
            <w:pPr>
              <w:pStyle w:val="Compact"/>
              <w:spacing w:after="20"/>
            </w:pPr>
            <w:r>
              <w:rPr>
                <w:rStyle w:val="VerbatimChar"/>
                <w:sz w:val="17"/>
              </w:rPr>
              <w:t xml:space="preserve">id</w:t>
            </w:r>
            <w:r>
              <w:rPr>
                <w:sz w:val="17"/>
              </w:rPr>
              <w:t xml:space="preserve">,</w:t>
            </w:r>
            <w:r>
              <w:rPr>
                <w:sz w:val="17"/>
              </w:rPr>
              <w:t xml:space="preserve"> </w:t>
            </w:r>
            <w:r>
              <w:rPr>
                <w:rStyle w:val="VerbatimChar"/>
                <w:sz w:val="17"/>
              </w:rPr>
              <w:t xml:space="preserve">sender_id</w:t>
            </w:r>
            <w:r>
              <w:rPr>
                <w:sz w:val="17"/>
              </w:rPr>
              <w:t xml:space="preserve">, origine, destination, fenêtre de dates, statut</w:t>
            </w:r>
          </w:p>
        </w:tc>
        <w:tc>
          <w:tcPr>
            <w:tcW w:type="dxa" w:w="2992"/>
          </w:tcPr>
          <w:p>
            <w:pPr>
              <w:pStyle w:val="Compact"/>
              <w:spacing w:after="20"/>
            </w:pPr>
            <w:r>
              <w:rPr>
                <w:sz w:val="17"/>
              </w:rPr>
              <w:t xml:space="preserve">Publiées par les expéditeurs.</w:t>
            </w:r>
          </w:p>
        </w:tc>
      </w:tr>
      <w:tr>
        <w:tc>
          <w:tcPr>
            <w:tcW w:type="dxa" w:w="1655"/>
          </w:tcPr>
          <w:p>
            <w:pPr>
              <w:pStyle w:val="Compact"/>
              <w:spacing w:after="20"/>
            </w:pPr>
            <w:r>
              <w:rPr>
                <w:rStyle w:val="VerbatimChar"/>
                <w:sz w:val="17"/>
              </w:rPr>
              <w:t xml:space="preserve">parcels</w:t>
            </w:r>
            <w:r>
              <w:rPr>
                <w:sz w:val="17"/>
              </w:rPr>
              <w:t xml:space="preserve"> </w:t>
            </w:r>
            <w:r>
              <w:rPr>
                <w:sz w:val="17"/>
              </w:rPr>
              <w:t xml:space="preserve">(colis)</w:t>
            </w:r>
          </w:p>
        </w:tc>
        <w:tc>
          <w:tcPr>
            <w:tcW w:type="dxa" w:w="5274"/>
          </w:tcPr>
          <w:p>
            <w:pPr>
              <w:pStyle w:val="Compact"/>
              <w:spacing w:after="20"/>
            </w:pPr>
            <w:r>
              <w:rPr>
                <w:rStyle w:val="VerbatimChar"/>
                <w:sz w:val="17"/>
              </w:rPr>
              <w:t xml:space="preserve">id</w:t>
            </w:r>
            <w:r>
              <w:rPr>
                <w:sz w:val="17"/>
              </w:rPr>
              <w:t xml:space="preserve">,</w:t>
            </w:r>
            <w:r>
              <w:rPr>
                <w:sz w:val="17"/>
              </w:rPr>
              <w:t xml:space="preserve"> </w:t>
            </w:r>
            <w:r>
              <w:rPr>
                <w:rStyle w:val="VerbatimChar"/>
                <w:sz w:val="17"/>
              </w:rPr>
              <w:t xml:space="preserve">shipment_request_id</w:t>
            </w:r>
            <w:r>
              <w:rPr>
                <w:sz w:val="17"/>
              </w:rPr>
              <w:t xml:space="preserve">, description, dimensions/poids déclarés,</w:t>
            </w:r>
            <w:r>
              <w:rPr>
                <w:sz w:val="17"/>
              </w:rPr>
              <w:t xml:space="preserve"> </w:t>
            </w:r>
            <w:r>
              <w:rPr>
                <w:rStyle w:val="VerbatimChar"/>
                <w:sz w:val="17"/>
              </w:rPr>
              <w:t xml:space="preserve">declared_value</w:t>
            </w:r>
            <w:r>
              <w:rPr>
                <w:sz w:val="17"/>
              </w:rPr>
              <w:t xml:space="preserve"> </w:t>
            </w:r>
            <w:r>
              <w:rPr>
                <w:sz w:val="17"/>
              </w:rPr>
              <w:t xml:space="preserve">+ devise, attestation du contenu (horodatée), photos de dépôt</w:t>
            </w:r>
          </w:p>
        </w:tc>
        <w:tc>
          <w:tcPr>
            <w:tcW w:type="dxa" w:w="2992"/>
          </w:tcPr>
          <w:p>
            <w:pPr>
              <w:pStyle w:val="Compact"/>
              <w:spacing w:after="20"/>
            </w:pPr>
            <w:r>
              <w:rPr>
                <w:sz w:val="17"/>
              </w:rPr>
              <w:t xml:space="preserve">Liste d'objets interdits vérifiée à la saisie et côté serveur.</w:t>
            </w:r>
          </w:p>
        </w:tc>
      </w:tr>
      <w:tr>
        <w:tc>
          <w:tcPr>
            <w:tcW w:type="dxa" w:w="1655"/>
          </w:tcPr>
          <w:p>
            <w:pPr>
              <w:pStyle w:val="Compact"/>
              <w:spacing w:after="20"/>
            </w:pPr>
            <w:r>
              <w:rPr>
                <w:rStyle w:val="VerbatimChar"/>
                <w:sz w:val="17"/>
              </w:rPr>
              <w:t xml:space="preserve">bookings</w:t>
            </w:r>
            <w:r>
              <w:rPr>
                <w:sz w:val="17"/>
              </w:rPr>
              <w:t xml:space="preserve"> </w:t>
            </w:r>
            <w:r>
              <w:rPr>
                <w:sz w:val="17"/>
              </w:rPr>
              <w:t xml:space="preserve">(réservations)</w:t>
            </w:r>
          </w:p>
        </w:tc>
        <w:tc>
          <w:tcPr>
            <w:tcW w:type="dxa" w:w="5274"/>
          </w:tcPr>
          <w:p>
            <w:pPr>
              <w:pStyle w:val="Compact"/>
              <w:spacing w:after="20"/>
            </w:pPr>
            <w:r>
              <w:rPr>
                <w:rStyle w:val="VerbatimChar"/>
                <w:sz w:val="17"/>
              </w:rPr>
              <w:t xml:space="preserve">id</w:t>
            </w:r>
            <w:r>
              <w:rPr>
                <w:sz w:val="17"/>
              </w:rPr>
              <w:t xml:space="preserve">,</w:t>
            </w:r>
            <w:r>
              <w:rPr>
                <w:sz w:val="17"/>
              </w:rPr>
              <w:t xml:space="preserve"> </w:t>
            </w:r>
            <w:r>
              <w:rPr>
                <w:rStyle w:val="VerbatimChar"/>
                <w:sz w:val="17"/>
              </w:rPr>
              <w:t xml:space="preserve">trip_id</w:t>
            </w:r>
            <w:r>
              <w:rPr>
                <w:sz w:val="17"/>
              </w:rPr>
              <w:t xml:space="preserve">,</w:t>
            </w:r>
            <w:r>
              <w:rPr>
                <w:sz w:val="17"/>
              </w:rPr>
              <w:t xml:space="preserve"> </w:t>
            </w:r>
            <w:r>
              <w:rPr>
                <w:rStyle w:val="VerbatimChar"/>
                <w:sz w:val="17"/>
              </w:rPr>
              <w:t xml:space="preserve">parcel_id</w:t>
            </w:r>
            <w:r>
              <w:rPr>
                <w:sz w:val="17"/>
              </w:rPr>
              <w:t xml:space="preserve">,</w:t>
            </w:r>
            <w:r>
              <w:rPr>
                <w:sz w:val="17"/>
              </w:rPr>
              <w:t xml:space="preserve"> </w:t>
            </w:r>
            <w:r>
              <w:rPr>
                <w:rStyle w:val="VerbatimChar"/>
                <w:sz w:val="17"/>
              </w:rPr>
              <w:t xml:space="preserve">sender_id</w:t>
            </w:r>
            <w:r>
              <w:rPr>
                <w:sz w:val="17"/>
              </w:rPr>
              <w:t xml:space="preserve">,</w:t>
            </w:r>
            <w:r>
              <w:rPr>
                <w:sz w:val="17"/>
              </w:rPr>
              <w:t xml:space="preserve"> </w:t>
            </w:r>
            <w:r>
              <w:rPr>
                <w:rStyle w:val="VerbatimChar"/>
                <w:sz w:val="17"/>
              </w:rPr>
              <w:t xml:space="preserve">traveler_id</w:t>
            </w:r>
            <w:r>
              <w:rPr>
                <w:sz w:val="17"/>
              </w:rPr>
              <w:t xml:space="preserve">, prix convenu (détail : transport, commission, assurance, taxes, total),</w:t>
            </w:r>
            <w:r>
              <w:rPr>
                <w:sz w:val="17"/>
              </w:rPr>
              <w:t xml:space="preserve"> </w:t>
            </w:r>
            <w:r>
              <w:rPr>
                <w:rStyle w:val="VerbatimChar"/>
                <w:sz w:val="17"/>
              </w:rPr>
              <w:t xml:space="preserve">status</w:t>
            </w:r>
            <w:r>
              <w:rPr>
                <w:sz w:val="17"/>
              </w:rPr>
              <w:t xml:space="preserve"> </w:t>
            </w:r>
            <w:r>
              <w:rPr>
                <w:sz w:val="17"/>
              </w:rPr>
              <w:t xml:space="preserve">(machine d'états 2.5),</w:t>
            </w:r>
            <w:r>
              <w:rPr>
                <w:sz w:val="17"/>
              </w:rPr>
              <w:t xml:space="preserve"> </w:t>
            </w:r>
            <w:r>
              <w:rPr>
                <w:rStyle w:val="VerbatimChar"/>
                <w:sz w:val="17"/>
              </w:rPr>
              <w:t xml:space="preserve">version</w:t>
            </w:r>
          </w:p>
        </w:tc>
        <w:tc>
          <w:tcPr>
            <w:tcW w:type="dxa" w:w="2992"/>
          </w:tcPr>
          <w:p>
            <w:pPr>
              <w:pStyle w:val="Compact"/>
              <w:spacing w:after="20"/>
            </w:pPr>
            <w:r>
              <w:rPr>
                <w:sz w:val="17"/>
              </w:rPr>
              <w:t xml:space="preserve">Le détail de prix est calculé et figé par le serveur.</w:t>
            </w:r>
          </w:p>
        </w:tc>
      </w:tr>
      <w:tr>
        <w:tc>
          <w:tcPr>
            <w:tcW w:type="dxa" w:w="1655"/>
          </w:tcPr>
          <w:p>
            <w:pPr>
              <w:pStyle w:val="Compact"/>
              <w:spacing w:after="20"/>
            </w:pPr>
            <w:r>
              <w:rPr>
                <w:rStyle w:val="VerbatimChar"/>
                <w:sz w:val="17"/>
              </w:rPr>
              <w:t xml:space="preserve">payments</w:t>
            </w:r>
          </w:p>
        </w:tc>
        <w:tc>
          <w:tcPr>
            <w:tcW w:type="dxa" w:w="5274"/>
          </w:tcPr>
          <w:p>
            <w:pPr>
              <w:pStyle w:val="Compact"/>
              <w:spacing w:after="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w:t>
            </w:r>
            <w:r>
              <w:rPr>
                <w:sz w:val="17"/>
              </w:rPr>
              <w:t xml:space="preserve"> </w:t>
            </w:r>
            <w:r>
              <w:rPr>
                <w:rStyle w:val="VerbatimChar"/>
                <w:sz w:val="17"/>
              </w:rPr>
              <w:t xml:space="preserve">stripe_payment_intent_id</w:t>
            </w:r>
            <w:r>
              <w:rPr>
                <w:sz w:val="17"/>
              </w:rPr>
              <w:t xml:space="preserve">,</w:t>
            </w:r>
            <w:r>
              <w:rPr>
                <w:sz w:val="17"/>
              </w:rPr>
              <w:t xml:space="preserve"> </w:t>
            </w:r>
            <w:r>
              <w:rPr>
                <w:rStyle w:val="VerbatimChar"/>
                <w:sz w:val="17"/>
              </w:rPr>
              <w:t xml:space="preserve">stripe_charge_id</w:t>
            </w:r>
            <w:r>
              <w:rPr>
                <w:sz w:val="17"/>
              </w:rPr>
              <w:t xml:space="preserve">, montant, devise, statut,</w:t>
            </w:r>
            <w:r>
              <w:rPr>
                <w:sz w:val="17"/>
              </w:rPr>
              <w:t xml:space="preserve"> </w:t>
            </w:r>
            <w:r>
              <w:rPr>
                <w:rStyle w:val="VerbatimChar"/>
                <w:sz w:val="17"/>
              </w:rPr>
              <w:t xml:space="preserve">transfer_group</w:t>
            </w:r>
          </w:p>
        </w:tc>
        <w:tc>
          <w:tcPr>
            <w:tcW w:type="dxa" w:w="2992"/>
          </w:tcPr>
          <w:p>
            <w:pPr>
              <w:pStyle w:val="Compact"/>
              <w:spacing w:after="20"/>
            </w:pPr>
            <w:r>
              <w:rPr>
                <w:sz w:val="17"/>
              </w:rPr>
              <w:t xml:space="preserve">Écrit uniquement par le serveur.</w:t>
            </w:r>
          </w:p>
        </w:tc>
      </w:tr>
      <w:tr>
        <w:tc>
          <w:tcPr>
            <w:tcW w:type="dxa" w:w="1655"/>
          </w:tcPr>
          <w:p>
            <w:pPr>
              <w:pStyle w:val="Compact"/>
              <w:spacing w:after="20"/>
            </w:pPr>
            <w:r>
              <w:rPr>
                <w:rStyle w:val="VerbatimChar"/>
                <w:sz w:val="17"/>
              </w:rPr>
              <w:t xml:space="preserve">transfers</w:t>
            </w:r>
          </w:p>
        </w:tc>
        <w:tc>
          <w:tcPr>
            <w:tcW w:type="dxa" w:w="5274"/>
          </w:tcPr>
          <w:p>
            <w:pPr>
              <w:pStyle w:val="Compact"/>
              <w:spacing w:after="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w:t>
            </w:r>
            <w:r>
              <w:rPr>
                <w:sz w:val="17"/>
              </w:rPr>
              <w:t xml:space="preserve"> </w:t>
            </w:r>
            <w:r>
              <w:rPr>
                <w:rStyle w:val="VerbatimChar"/>
                <w:sz w:val="17"/>
              </w:rPr>
              <w:t xml:space="preserve">stripe_transfer_id</w:t>
            </w:r>
            <w:r>
              <w:rPr>
                <w:sz w:val="17"/>
              </w:rPr>
              <w:t xml:space="preserve">, destination, montant, statut, éventuelle annulation (</w:t>
            </w:r>
            <w:r>
              <w:rPr>
                <w:rStyle w:val="VerbatimChar"/>
                <w:sz w:val="17"/>
              </w:rPr>
              <w:t xml:space="preserve">reversal</w:t>
            </w:r>
            <w:r>
              <w:rPr>
                <w:sz w:val="17"/>
              </w:rPr>
              <w:t xml:space="preserve">)</w:t>
            </w:r>
          </w:p>
        </w:tc>
        <w:tc>
          <w:tcPr>
            <w:tcW w:type="dxa" w:w="2992"/>
          </w:tcPr>
          <w:p>
            <w:pPr>
              <w:pStyle w:val="Compact"/>
              <w:spacing w:after="20"/>
            </w:pPr>
            <w:r>
              <w:rPr>
                <w:sz w:val="17"/>
              </w:rPr>
              <w:t xml:space="preserve">Créé seulement par la fonction de libération des fonds.</w:t>
            </w:r>
          </w:p>
        </w:tc>
      </w:tr>
      <w:tr>
        <w:tc>
          <w:tcPr>
            <w:tcW w:type="dxa" w:w="1655"/>
          </w:tcPr>
          <w:p>
            <w:pPr>
              <w:pStyle w:val="Compact"/>
              <w:spacing w:after="20"/>
            </w:pPr>
            <w:r>
              <w:rPr>
                <w:rStyle w:val="VerbatimChar"/>
                <w:sz w:val="17"/>
              </w:rPr>
              <w:t xml:space="preserve">insurance_policies</w:t>
            </w:r>
          </w:p>
        </w:tc>
        <w:tc>
          <w:tcPr>
            <w:tcW w:type="dxa" w:w="5274"/>
          </w:tcPr>
          <w:p>
            <w:pPr>
              <w:pStyle w:val="Compact"/>
              <w:spacing w:after="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partenaire, référence de police, statut</w:t>
            </w:r>
          </w:p>
        </w:tc>
        <w:tc>
          <w:tcPr>
            <w:tcW w:type="dxa" w:w="2992"/>
          </w:tcPr>
          <w:p>
            <w:pPr>
              <w:pStyle w:val="Compact"/>
              <w:spacing w:after="20"/>
            </w:pPr>
            <w:r>
              <w:rPr>
                <w:sz w:val="17"/>
              </w:rPr>
              <w:t xml:space="preserve">Selon l'intégration avec l'assureur partenaire (</w:t>
            </w:r>
            <w:r>
              <w:rPr>
                <w:b/>
                <w:bCs/>
                <w:sz w:val="17"/>
              </w:rPr>
              <w:t xml:space="preserve">à confirmer</w:t>
            </w:r>
            <w:r>
              <w:rPr>
                <w:sz w:val="17"/>
              </w:rPr>
              <w:t xml:space="preserve">).</w:t>
            </w:r>
          </w:p>
        </w:tc>
      </w:tr>
      <w:tr>
        <w:tc>
          <w:tcPr>
            <w:tcW w:type="dxa" w:w="1655"/>
          </w:tcPr>
          <w:p>
            <w:pPr>
              <w:pStyle w:val="Compact"/>
              <w:spacing w:after="20"/>
            </w:pPr>
            <w:r>
              <w:rPr>
                <w:rStyle w:val="VerbatimChar"/>
                <w:sz w:val="17"/>
              </w:rPr>
              <w:t xml:space="preserve">disputes</w:t>
            </w:r>
            <w:r>
              <w:rPr>
                <w:sz w:val="17"/>
              </w:rPr>
              <w:t xml:space="preserve"> </w:t>
            </w:r>
            <w:r>
              <w:rPr>
                <w:sz w:val="17"/>
              </w:rPr>
              <w:t xml:space="preserve">(litiges)</w:t>
            </w:r>
          </w:p>
        </w:tc>
        <w:tc>
          <w:tcPr>
            <w:tcW w:type="dxa" w:w="5274"/>
          </w:tcPr>
          <w:p>
            <w:pPr>
              <w:pStyle w:val="Compact"/>
              <w:spacing w:after="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ouvert par, motif, description, statut, décision,</w:t>
            </w:r>
            <w:r>
              <w:rPr>
                <w:sz w:val="17"/>
              </w:rPr>
              <w:t xml:space="preserve"> </w:t>
            </w:r>
            <w:r>
              <w:rPr>
                <w:rStyle w:val="VerbatimChar"/>
                <w:sz w:val="17"/>
              </w:rPr>
              <w:t xml:space="preserve">stripe_dispute_id</w:t>
            </w:r>
            <w:r>
              <w:rPr>
                <w:sz w:val="17"/>
              </w:rPr>
              <w:t xml:space="preserve"> </w:t>
            </w:r>
            <w:r>
              <w:rPr>
                <w:sz w:val="17"/>
              </w:rPr>
              <w:t xml:space="preserve">éventuel</w:t>
            </w:r>
          </w:p>
        </w:tc>
        <w:tc>
          <w:tcPr>
            <w:tcW w:type="dxa" w:w="2992"/>
          </w:tcPr>
          <w:p>
            <w:pPr>
              <w:pStyle w:val="Compact"/>
              <w:spacing w:after="20"/>
            </w:pPr>
            <w:r>
              <w:rPr>
                <w:sz w:val="17"/>
              </w:rPr>
              <w:t xml:space="preserve">Couvre les litiges internes et les rétrofacturations.</w:t>
            </w:r>
          </w:p>
        </w:tc>
      </w:tr>
      <w:tr>
        <w:tc>
          <w:tcPr>
            <w:tcW w:type="dxa" w:w="1655"/>
          </w:tcPr>
          <w:p>
            <w:pPr>
              <w:pStyle w:val="Compact"/>
              <w:spacing w:after="20"/>
            </w:pPr>
            <w:r>
              <w:rPr>
                <w:rStyle w:val="VerbatimChar"/>
                <w:sz w:val="17"/>
              </w:rPr>
              <w:t xml:space="preserve">dispute_evidence</w:t>
            </w:r>
          </w:p>
        </w:tc>
        <w:tc>
          <w:tcPr>
            <w:tcW w:type="dxa" w:w="5274"/>
          </w:tcPr>
          <w:p>
            <w:pPr>
              <w:pStyle w:val="Compact"/>
              <w:spacing w:after="20"/>
            </w:pPr>
            <w:r>
              <w:rPr>
                <w:rStyle w:val="VerbatimChar"/>
                <w:sz w:val="17"/>
              </w:rPr>
              <w:t xml:space="preserve">id</w:t>
            </w:r>
            <w:r>
              <w:rPr>
                <w:sz w:val="17"/>
              </w:rPr>
              <w:t xml:space="preserve">,</w:t>
            </w:r>
            <w:r>
              <w:rPr>
                <w:sz w:val="17"/>
              </w:rPr>
              <w:t xml:space="preserve"> </w:t>
            </w:r>
            <w:r>
              <w:rPr>
                <w:rStyle w:val="VerbatimChar"/>
                <w:sz w:val="17"/>
              </w:rPr>
              <w:t xml:space="preserve">dispute_id</w:t>
            </w:r>
            <w:r>
              <w:rPr>
                <w:sz w:val="17"/>
              </w:rPr>
              <w:t xml:space="preserve">, chemin de stockage, type, auteur</w:t>
            </w:r>
          </w:p>
        </w:tc>
        <w:tc>
          <w:tcPr>
            <w:tcW w:type="dxa" w:w="2992"/>
          </w:tcPr>
          <w:p>
            <w:pPr>
              <w:pStyle w:val="Compact"/>
              <w:spacing w:after="20"/>
            </w:pPr>
            <w:r>
              <w:rPr>
                <w:sz w:val="17"/>
              </w:rPr>
              <w:t xml:space="preserve">Photos dans un compartiment privé.</w:t>
            </w:r>
          </w:p>
        </w:tc>
      </w:tr>
      <w:tr>
        <w:tc>
          <w:tcPr>
            <w:tcW w:type="dxa" w:w="1655"/>
          </w:tcPr>
          <w:p>
            <w:pPr>
              <w:pStyle w:val="Compact"/>
              <w:spacing w:after="20"/>
            </w:pPr>
            <w:r>
              <w:rPr>
                <w:rStyle w:val="VerbatimChar"/>
                <w:sz w:val="17"/>
              </w:rPr>
              <w:t xml:space="preserve">delivery_proofs</w:t>
            </w:r>
          </w:p>
        </w:tc>
        <w:tc>
          <w:tcPr>
            <w:tcW w:type="dxa" w:w="5274"/>
          </w:tcPr>
          <w:p>
            <w:pPr>
              <w:pStyle w:val="Compact"/>
              <w:spacing w:after="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type (remise au voyageur, livraison), photo, code de confirmation, horodatage</w:t>
            </w:r>
          </w:p>
        </w:tc>
        <w:tc>
          <w:tcPr>
            <w:tcW w:type="dxa" w:w="2992"/>
          </w:tcPr>
          <w:p>
            <w:pPr>
              <w:pStyle w:val="Compact"/>
              <w:spacing w:after="20"/>
            </w:pPr>
            <w:r>
              <w:rPr>
                <w:sz w:val="17"/>
              </w:rPr>
              <w:t xml:space="preserve">Preuves de remise.</w:t>
            </w:r>
          </w:p>
        </w:tc>
      </w:tr>
      <w:tr>
        <w:tc>
          <w:tcPr>
            <w:tcW w:type="dxa" w:w="1655"/>
          </w:tcPr>
          <w:p>
            <w:pPr>
              <w:pStyle w:val="Compact"/>
              <w:spacing w:after="20"/>
            </w:pPr>
            <w:r>
              <w:rPr>
                <w:rStyle w:val="VerbatimChar"/>
                <w:sz w:val="17"/>
              </w:rPr>
              <w:t xml:space="preserve">reviews</w:t>
            </w:r>
            <w:r>
              <w:rPr>
                <w:sz w:val="17"/>
              </w:rPr>
              <w:t xml:space="preserve"> </w:t>
            </w:r>
            <w:r>
              <w:rPr>
                <w:sz w:val="17"/>
              </w:rPr>
              <w:t xml:space="preserve">(avis)</w:t>
            </w:r>
          </w:p>
        </w:tc>
        <w:tc>
          <w:tcPr>
            <w:tcW w:type="dxa" w:w="5274"/>
          </w:tcPr>
          <w:p>
            <w:pPr>
              <w:pStyle w:val="Compact"/>
              <w:spacing w:after="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auteur, cible, note, commentaire, statut de modération</w:t>
            </w:r>
          </w:p>
        </w:tc>
        <w:tc>
          <w:tcPr>
            <w:tcW w:type="dxa" w:w="2992"/>
          </w:tcPr>
          <w:p>
            <w:pPr>
              <w:pStyle w:val="Compact"/>
              <w:spacing w:after="20"/>
            </w:pPr>
            <w:r>
              <w:rPr>
                <w:sz w:val="17"/>
              </w:rPr>
              <w:t xml:space="preserve">Un avis par partie et par réservation.</w:t>
            </w:r>
          </w:p>
        </w:tc>
      </w:tr>
      <w:tr>
        <w:tc>
          <w:tcPr>
            <w:tcW w:type="dxa" w:w="1655"/>
          </w:tcPr>
          <w:p>
            <w:pPr>
              <w:pStyle w:val="Compact"/>
              <w:spacing w:after="20"/>
            </w:pPr>
            <w:r>
              <w:rPr>
                <w:rStyle w:val="VerbatimChar"/>
                <w:sz w:val="17"/>
              </w:rPr>
              <w:t xml:space="preserve">conversations</w:t>
            </w:r>
            <w:r>
              <w:rPr>
                <w:sz w:val="17"/>
              </w:rPr>
              <w:t xml:space="preserve"> </w:t>
            </w:r>
            <w:r>
              <w:rPr>
                <w:sz w:val="17"/>
              </w:rPr>
              <w:t xml:space="preserve">/</w:t>
            </w:r>
            <w:r>
              <w:rPr>
                <w:sz w:val="17"/>
              </w:rPr>
              <w:t xml:space="preserve"> </w:t>
            </w:r>
            <w:r>
              <w:rPr>
                <w:rStyle w:val="VerbatimChar"/>
                <w:sz w:val="17"/>
              </w:rPr>
              <w:t xml:space="preserve">messages</w:t>
            </w:r>
          </w:p>
        </w:tc>
        <w:tc>
          <w:tcPr>
            <w:tcW w:type="dxa" w:w="5274"/>
          </w:tcPr>
          <w:p>
            <w:pPr>
              <w:pStyle w:val="Compact"/>
              <w:spacing w:after="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participants ;</w:t>
            </w:r>
            <w:r>
              <w:rPr>
                <w:sz w:val="17"/>
              </w:rPr>
              <w:t xml:space="preserve"> </w:t>
            </w:r>
            <w:r>
              <w:rPr>
                <w:rStyle w:val="VerbatimChar"/>
                <w:sz w:val="17"/>
              </w:rPr>
              <w:t xml:space="preserve">message.id</w:t>
            </w:r>
            <w:r>
              <w:rPr>
                <w:sz w:val="17"/>
              </w:rPr>
              <w:t xml:space="preserve">, auteur, contenu, statut de modération, signalé</w:t>
            </w:r>
          </w:p>
        </w:tc>
        <w:tc>
          <w:tcPr>
            <w:tcW w:type="dxa" w:w="2992"/>
          </w:tcPr>
          <w:p>
            <w:pPr>
              <w:pStyle w:val="Compact"/>
              <w:spacing w:after="20"/>
            </w:pPr>
            <w:r>
              <w:rPr>
                <w:sz w:val="17"/>
              </w:rPr>
              <w:t xml:space="preserve">Accessibles seulement aux participants (RLS).</w:t>
            </w:r>
          </w:p>
        </w:tc>
      </w:tr>
      <w:tr>
        <w:tc>
          <w:tcPr>
            <w:tcW w:type="dxa" w:w="1655"/>
          </w:tcPr>
          <w:p>
            <w:pPr>
              <w:pStyle w:val="Compact"/>
              <w:spacing w:after="20"/>
            </w:pPr>
            <w:r>
              <w:rPr>
                <w:rStyle w:val="VerbatimChar"/>
                <w:sz w:val="17"/>
              </w:rPr>
              <w:t xml:space="preserve">reports</w:t>
            </w:r>
            <w:r>
              <w:rPr>
                <w:sz w:val="17"/>
              </w:rPr>
              <w:t xml:space="preserve"> </w:t>
            </w:r>
            <w:r>
              <w:rPr>
                <w:sz w:val="17"/>
              </w:rPr>
              <w:t xml:space="preserve">(signalements)</w:t>
            </w:r>
          </w:p>
        </w:tc>
        <w:tc>
          <w:tcPr>
            <w:tcW w:type="dxa" w:w="5274"/>
          </w:tcPr>
          <w:p>
            <w:pPr>
              <w:pStyle w:val="Compact"/>
              <w:spacing w:after="20"/>
            </w:pPr>
            <w:r>
              <w:rPr>
                <w:rStyle w:val="VerbatimChar"/>
                <w:sz w:val="17"/>
              </w:rPr>
              <w:t xml:space="preserve">id</w:t>
            </w:r>
            <w:r>
              <w:rPr>
                <w:sz w:val="17"/>
              </w:rPr>
              <w:t xml:space="preserve">, auteur, cible (utilisateur, message, photo, annonce), motif, statut</w:t>
            </w:r>
          </w:p>
        </w:tc>
        <w:tc>
          <w:tcPr>
            <w:tcW w:type="dxa" w:w="2992"/>
          </w:tcPr>
          <w:p>
            <w:pPr>
              <w:pStyle w:val="Compact"/>
              <w:spacing w:after="20"/>
            </w:pPr>
            <w:r>
              <w:rPr>
                <w:sz w:val="17"/>
              </w:rPr>
              <w:t xml:space="preserve">Alimente la modération et l'anti-fraude.</w:t>
            </w:r>
          </w:p>
        </w:tc>
      </w:tr>
      <w:tr>
        <w:tc>
          <w:tcPr>
            <w:tcW w:type="dxa" w:w="1655"/>
          </w:tcPr>
          <w:p>
            <w:pPr>
              <w:pStyle w:val="Compact"/>
              <w:spacing w:after="20"/>
            </w:pPr>
            <w:r>
              <w:rPr>
                <w:rStyle w:val="VerbatimChar"/>
                <w:sz w:val="17"/>
              </w:rPr>
              <w:t xml:space="preserve">legal_holds</w:t>
            </w:r>
          </w:p>
        </w:tc>
        <w:tc>
          <w:tcPr>
            <w:tcW w:type="dxa" w:w="5274"/>
          </w:tcPr>
          <w:p>
            <w:pPr>
              <w:pStyle w:val="Compact"/>
              <w:spacing w:after="20"/>
            </w:pPr>
            <w:r>
              <w:rPr>
                <w:sz w:val="17"/>
              </w:rPr>
              <w:t xml:space="preserve">ressource visée, motif (litige, rétrofacturation), ouvert le, levé le</w:t>
            </w:r>
          </w:p>
        </w:tc>
        <w:tc>
          <w:tcPr>
            <w:tcW w:type="dxa" w:w="2992"/>
          </w:tcPr>
          <w:p>
            <w:pPr>
              <w:pStyle w:val="Compact"/>
              <w:spacing w:after="20"/>
            </w:pPr>
            <w:r>
              <w:rPr>
                <w:sz w:val="17"/>
              </w:rPr>
              <w:t xml:space="preserve">Suspend la purge (voir 3.1).</w:t>
            </w:r>
          </w:p>
        </w:tc>
      </w:tr>
      <w:tr>
        <w:tc>
          <w:tcPr>
            <w:tcW w:type="dxa" w:w="1655"/>
          </w:tcPr>
          <w:p>
            <w:pPr>
              <w:pStyle w:val="Compact"/>
              <w:spacing w:after="20"/>
            </w:pPr>
            <w:r>
              <w:rPr>
                <w:rStyle w:val="VerbatimChar"/>
                <w:sz w:val="17"/>
              </w:rPr>
              <w:t xml:space="preserve">consents</w:t>
            </w:r>
          </w:p>
        </w:tc>
        <w:tc>
          <w:tcPr>
            <w:tcW w:type="dxa" w:w="5274"/>
          </w:tcPr>
          <w:p>
            <w:pPr>
              <w:pStyle w:val="Compact"/>
              <w:spacing w:after="20"/>
            </w:pPr>
            <w:r>
              <w:rPr>
                <w:sz w:val="17"/>
              </w:rPr>
              <w:t xml:space="preserve">utilisateur, finalité, version du texte, accordé le, retiré le</w:t>
            </w:r>
          </w:p>
        </w:tc>
        <w:tc>
          <w:tcPr>
            <w:tcW w:type="dxa" w:w="2992"/>
          </w:tcPr>
          <w:p>
            <w:pPr>
              <w:pStyle w:val="Compact"/>
              <w:spacing w:after="20"/>
            </w:pPr>
            <w:r>
              <w:rPr>
                <w:sz w:val="17"/>
              </w:rPr>
              <w:t xml:space="preserve">Preuves de consentement (voir 3.1).</w:t>
            </w:r>
          </w:p>
        </w:tc>
      </w:tr>
      <w:tr>
        <w:tc>
          <w:tcPr>
            <w:tcW w:type="dxa" w:w="1655"/>
          </w:tcPr>
          <w:p>
            <w:pPr>
              <w:pStyle w:val="Compact"/>
              <w:spacing w:after="20"/>
            </w:pPr>
            <w:r>
              <w:rPr>
                <w:rStyle w:val="VerbatimChar"/>
                <w:sz w:val="17"/>
              </w:rPr>
              <w:t xml:space="preserve">stripe_events</w:t>
            </w:r>
          </w:p>
        </w:tc>
        <w:tc>
          <w:tcPr>
            <w:tcW w:type="dxa" w:w="5274"/>
          </w:tcPr>
          <w:p>
            <w:pPr>
              <w:pStyle w:val="Compact"/>
              <w:spacing w:after="20"/>
            </w:pPr>
            <w:r>
              <w:rPr>
                <w:rStyle w:val="VerbatimChar"/>
                <w:sz w:val="17"/>
              </w:rPr>
              <w:t xml:space="preserve">event_id</w:t>
            </w:r>
            <w:r>
              <w:rPr>
                <w:sz w:val="17"/>
              </w:rPr>
              <w:t xml:space="preserve"> </w:t>
            </w:r>
            <w:r>
              <w:rPr>
                <w:sz w:val="17"/>
              </w:rPr>
              <w:t xml:space="preserve">(unique), type, reçu le, traité le, résultat</w:t>
            </w:r>
          </w:p>
        </w:tc>
        <w:tc>
          <w:tcPr>
            <w:tcW w:type="dxa" w:w="2992"/>
          </w:tcPr>
          <w:p>
            <w:pPr>
              <w:pStyle w:val="Compact"/>
              <w:spacing w:after="20"/>
            </w:pPr>
            <w:r>
              <w:rPr>
                <w:sz w:val="17"/>
              </w:rPr>
              <w:t xml:space="preserve">Idempotence des webhooks.</w:t>
            </w:r>
          </w:p>
        </w:tc>
      </w:tr>
      <w:tr>
        <w:tc>
          <w:tcPr>
            <w:tcW w:type="dxa" w:w="1655"/>
          </w:tcPr>
          <w:p>
            <w:pPr>
              <w:pStyle w:val="Compact"/>
              <w:spacing w:after="20"/>
            </w:pPr>
            <w:r>
              <w:rPr>
                <w:rStyle w:val="VerbatimChar"/>
                <w:sz w:val="17"/>
              </w:rPr>
              <w:t xml:space="preserve">audit_log</w:t>
            </w:r>
          </w:p>
        </w:tc>
        <w:tc>
          <w:tcPr>
            <w:tcW w:type="dxa" w:w="5274"/>
          </w:tcPr>
          <w:p>
            <w:pPr>
              <w:pStyle w:val="Compact"/>
              <w:spacing w:after="20"/>
            </w:pPr>
            <w:r>
              <w:rPr>
                <w:sz w:val="17"/>
              </w:rPr>
              <w:t xml:space="preserve">acteur, action, ressource, horodatage, identifiants techniques</w:t>
            </w:r>
          </w:p>
        </w:tc>
        <w:tc>
          <w:tcPr>
            <w:tcW w:type="dxa" w:w="2992"/>
          </w:tcPr>
          <w:p>
            <w:pPr>
              <w:pStyle w:val="Compact"/>
              <w:spacing w:after="20"/>
            </w:pPr>
            <w:r>
              <w:rPr>
                <w:b/>
                <w:bCs/>
                <w:sz w:val="17"/>
              </w:rPr>
              <w:t xml:space="preserve">Sans données personnelles en clair.</w:t>
            </w:r>
          </w:p>
        </w:tc>
      </w:tr>
      <w:tr>
        <w:tc>
          <w:tcPr>
            <w:tcW w:type="dxa" w:w="1655"/>
          </w:tcPr>
          <w:p>
            <w:pPr>
              <w:pStyle w:val="Compact"/>
              <w:spacing w:after="20"/>
            </w:pPr>
            <w:r>
              <w:rPr>
                <w:rStyle w:val="VerbatimChar"/>
                <w:sz w:val="17"/>
              </w:rPr>
              <w:t xml:space="preserve">security_incidents</w:t>
            </w:r>
          </w:p>
        </w:tc>
        <w:tc>
          <w:tcPr>
            <w:tcW w:type="dxa" w:w="5274"/>
          </w:tcPr>
          <w:p>
            <w:pPr>
              <w:pStyle w:val="Compact"/>
              <w:spacing w:after="20"/>
            </w:pPr>
            <w:r>
              <w:rPr>
                <w:sz w:val="17"/>
              </w:rPr>
              <w:t xml:space="preserve">date, description, données touchées, évaluation du risque, mesures, avis transmis</w:t>
            </w:r>
          </w:p>
        </w:tc>
        <w:tc>
          <w:tcPr>
            <w:tcW w:type="dxa" w:w="2992"/>
          </w:tcPr>
          <w:p>
            <w:pPr>
              <w:pStyle w:val="Compact"/>
              <w:spacing w:after="20"/>
            </w:pPr>
            <w:r>
              <w:rPr>
                <w:sz w:val="17"/>
              </w:rPr>
              <w:t xml:space="preserve">Registre des incidents (Loi 25).</w:t>
            </w:r>
          </w:p>
        </w:tc>
      </w:tr>
    </w:tbl>
    <w:bookmarkEnd w:id="46"/>
    <w:bookmarkStart w:id="50" w:name="machine-détats-dune-livraison"/>
    <w:p>
      <w:pPr>
        <w:pStyle w:val="Heading3"/>
      </w:pPr>
      <w:r>
        <w:t xml:space="preserve">2.5 Machine d'états d'une livraison</w:t>
      </w:r>
    </w:p>
    <w:p>
      <w:pPr>
        <w:pStyle w:val="CaptionedFigure"/>
      </w:pPr>
      <w:r>
        <w:drawing>
          <wp:inline>
            <wp:extent cx="3419999" cy="5871581"/>
            <wp:effectExtent b="0" l="0" r="0" t="0"/>
            <wp:docPr descr="Figure B-2 — Machine d’états d’une livraison" title="" id="48" name="Picture"/>
            <a:graphic>
              <a:graphicData uri="http://schemas.openxmlformats.org/drawingml/2006/picture">
                <pic:pic>
                  <pic:nvPicPr>
                    <pic:cNvPr descr="/workspace/volis/assemblage/diagramme-B2.png" id="49" name="Picture"/>
                    <pic:cNvPicPr>
                      <a:picLocks noChangeArrowheads="1" noChangeAspect="1"/>
                    </pic:cNvPicPr>
                  </pic:nvPicPr>
                  <pic:blipFill>
                    <a:blip r:embed="rId47"/>
                    <a:stretch>
                      <a:fillRect/>
                    </a:stretch>
                  </pic:blipFill>
                  <pic:spPr bwMode="auto">
                    <a:xfrm>
                      <a:off x="0" y="0"/>
                      <a:ext cx="3419999" cy="5871581"/>
                    </a:xfrm>
                    <a:prstGeom prst="rect">
                      <a:avLst/>
                    </a:prstGeom>
                    <a:noFill/>
                    <a:ln w="9525">
                      <a:noFill/>
                      <a:headEnd/>
                      <a:tailEnd/>
                    </a:ln>
                  </pic:spPr>
                </pic:pic>
              </a:graphicData>
            </a:graphic>
          </wp:inline>
        </w:drawing>
      </w:r>
    </w:p>
    <w:p>
      <w:pPr>
        <w:pStyle w:val="ImageCaption"/>
      </w:pPr>
      <w:r>
        <w:t xml:space="preserve">Figure B-2 — Machine d’états d’une livraison</w:t>
      </w:r>
    </w:p>
    <w:p>
      <w:pPr>
        <w:pStyle w:val="BodyText"/>
      </w:pPr>
      <w:r>
        <w:t xml:space="preserve">Règles :</w:t>
      </w:r>
    </w:p>
    <w:p>
      <w:pPr>
        <w:pStyle w:val="Compact"/>
        <w:numPr>
          <w:ilvl w:val="0"/>
          <w:numId w:val="1010"/>
        </w:numPr>
      </w:pPr>
      <w:r>
        <w:t xml:space="preserve">Chaque transition est faite par une fonction serveur qui vérifie l'état courant, le rôle de l'appelant et la version de la ligne (verrou optimiste). Les transitions non prévues sont refusées.</w:t>
      </w:r>
    </w:p>
    <w:p>
      <w:pPr>
        <w:pStyle w:val="Compact"/>
        <w:numPr>
          <w:ilvl w:val="0"/>
          <w:numId w:val="1010"/>
        </w:numPr>
      </w:pPr>
      <w:r>
        <w:rPr>
          <w:rStyle w:val="VerbatimChar"/>
        </w:rPr>
        <w:t xml:space="preserve">PayeeRetenue</w:t>
      </w:r>
      <w:r>
        <w:t xml:space="preserve"> </w:t>
      </w:r>
      <w:r>
        <w:t xml:space="preserve">n'est atteint que sur réception du webhook Stripe, jamais sur un retour de l'app.</w:t>
      </w:r>
    </w:p>
    <w:p>
      <w:pPr>
        <w:pStyle w:val="Compact"/>
        <w:numPr>
          <w:ilvl w:val="0"/>
          <w:numId w:val="1010"/>
        </w:numPr>
      </w:pPr>
      <w:r>
        <w:rPr>
          <w:rStyle w:val="VerbatimChar"/>
        </w:rPr>
        <w:t xml:space="preserve">FondsLiberes</w:t>
      </w:r>
      <w:r>
        <w:t xml:space="preserve"> </w:t>
      </w:r>
      <w:r>
        <w:t xml:space="preserve">déclenche un</w:t>
      </w:r>
      <w:r>
        <w:t xml:space="preserve"> </w:t>
      </w:r>
      <w:r>
        <w:rPr>
          <w:rStyle w:val="VerbatimChar"/>
        </w:rPr>
        <w:t xml:space="preserve">Transfer</w:t>
      </w:r>
      <w:r>
        <w:t xml:space="preserve"> </w:t>
      </w:r>
      <w:r>
        <w:t xml:space="preserve">Stripe avec</w:t>
      </w:r>
      <w:r>
        <w:t xml:space="preserve"> </w:t>
      </w:r>
      <w:r>
        <w:rPr>
          <w:rStyle w:val="VerbatimChar"/>
        </w:rPr>
        <w:t xml:space="preserve">source_transaction</w:t>
      </w:r>
      <w:r>
        <w:t xml:space="preserve"> </w:t>
      </w:r>
      <w:r>
        <w:t xml:space="preserve">(doc Stripe : le transfert est accepté mais n'est exécuté que lorsque les fonds du paiement sont disponibles).</w:t>
      </w:r>
    </w:p>
    <w:p>
      <w:pPr>
        <w:pStyle w:val="Compact"/>
        <w:numPr>
          <w:ilvl w:val="0"/>
          <w:numId w:val="1010"/>
        </w:numPr>
      </w:pPr>
      <w:r>
        <w:t xml:space="preserve">Une rétrofacturation (</w:t>
      </w:r>
      <w:r>
        <w:rPr>
          <w:rStyle w:val="VerbatimChar"/>
        </w:rPr>
        <w:t xml:space="preserve">charge.dispute.created</w:t>
      </w:r>
      <w:r>
        <w:t xml:space="preserve">) fait passer la réservation en</w:t>
      </w:r>
      <w:r>
        <w:t xml:space="preserve"> </w:t>
      </w:r>
      <w:r>
        <w:rPr>
          <w:rStyle w:val="VerbatimChar"/>
        </w:rPr>
        <w:t xml:space="preserve">Litige</w:t>
      </w:r>
      <w:r>
        <w:t xml:space="preserve">, quel que soit son état. Si le transfert a déjà été fait, une annulation de transfert (reversal) peut être nécessaire selon les conditions (</w:t>
      </w:r>
      <w:r>
        <w:rPr>
          <w:b/>
          <w:bCs/>
        </w:rPr>
        <w:t xml:space="preserve">à confirmer avec l'équipe juridique</w:t>
      </w:r>
      <w:r>
        <w:t xml:space="preserve">, section 6 du volet légal).</w:t>
      </w:r>
    </w:p>
    <w:p>
      <w:pPr>
        <w:pStyle w:val="Compact"/>
        <w:numPr>
          <w:ilvl w:val="0"/>
          <w:numId w:val="1010"/>
        </w:numPr>
      </w:pPr>
      <w:r>
        <w:t xml:space="preserve">La durée maximale pendant laquelle les fonds peuvent rester sur le solde de la plateforme avant le transfert est</w:t>
      </w:r>
      <w:r>
        <w:t xml:space="preserve"> </w:t>
      </w:r>
      <w:r>
        <w:rPr>
          <w:b/>
          <w:bCs/>
        </w:rPr>
        <w:t xml:space="preserve">à confirmer avec Stripe</w:t>
      </w:r>
      <w:r>
        <w:t xml:space="preserve">. Les délais de contestation et de libération sont</w:t>
      </w:r>
      <w:r>
        <w:t xml:space="preserve"> </w:t>
      </w:r>
      <w:r>
        <w:rPr>
          <w:b/>
          <w:bCs/>
        </w:rPr>
        <w:t xml:space="preserve">à décider</w:t>
      </w:r>
      <w:r>
        <w:t xml:space="preserve">.</w:t>
      </w:r>
    </w:p>
    <w:bookmarkEnd w:id="50"/>
    <w:bookmarkStart w:id="51" w:name="webhooks-stripe-à-traiter"/>
    <w:p>
      <w:pPr>
        <w:pStyle w:val="Heading3"/>
      </w:pPr>
      <w:r>
        <w:t xml:space="preserve">2.6 Webhooks Stripe à traiter</w:t>
      </w:r>
    </w:p>
    <w:p>
      <w:pPr>
        <w:pStyle w:val="FirstParagraph"/>
      </w:pPr>
      <w:r>
        <w:t xml:space="preserve">Deux points de terminaison distincts : un pour les événements du compte plateforme, un pour les événements des comptes connectés (Connect). Les deux vérifient la signature et sont idempotents (voir SEC-08).</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3377"/>
        <w:gridCol w:w="1729"/>
        <w:gridCol w:w="4814"/>
      </w:tblGrid>
      <w:tr>
        <w:trPr>
          <w:tblHeader w:val="on"/>
        </w:trPr>
        <w:tc>
          <w:tcPr>
            <w:tcW w:type="dxa" w:w="3378"/>
            <w:shd w:val="clear" w:color="auto" w:fill="0F766E"/>
          </w:tcPr>
          <w:p>
            <w:pPr>
              <w:pStyle w:val="Compact"/>
              <w:spacing w:after="20"/>
            </w:pPr>
            <w:r>
              <w:rPr>
                <w:b/>
                <w:color w:val="FFFFFF"/>
                <w:sz w:val="17"/>
              </w:rPr>
              <w:t xml:space="preserve">Événement</w:t>
            </w:r>
          </w:p>
        </w:tc>
        <w:tc>
          <w:tcPr>
            <w:tcW w:type="dxa" w:w="1729"/>
            <w:shd w:val="clear" w:color="auto" w:fill="0F766E"/>
          </w:tcPr>
          <w:p>
            <w:pPr>
              <w:pStyle w:val="Compact"/>
              <w:spacing w:after="20"/>
            </w:pPr>
            <w:r>
              <w:rPr>
                <w:b/>
                <w:color w:val="FFFFFF"/>
                <w:sz w:val="17"/>
              </w:rPr>
              <w:t xml:space="preserve">Point de terminaison</w:t>
            </w:r>
          </w:p>
        </w:tc>
        <w:tc>
          <w:tcPr>
            <w:tcW w:type="dxa" w:w="4814"/>
            <w:shd w:val="clear" w:color="auto" w:fill="0F766E"/>
          </w:tcPr>
          <w:p>
            <w:pPr>
              <w:pStyle w:val="Compact"/>
              <w:spacing w:after="20"/>
            </w:pPr>
            <w:r>
              <w:rPr>
                <w:b/>
                <w:color w:val="FFFFFF"/>
                <w:sz w:val="17"/>
              </w:rPr>
              <w:t xml:space="preserve">Action</w:t>
            </w:r>
          </w:p>
        </w:tc>
      </w:tr>
      <w:tr>
        <w:tc>
          <w:tcPr>
            <w:tcW w:type="dxa" w:w="3378"/>
          </w:tcPr>
          <w:p>
            <w:pPr>
              <w:pStyle w:val="Compact"/>
              <w:spacing w:after="20"/>
            </w:pPr>
            <w:r>
              <w:rPr>
                <w:rStyle w:val="VerbatimChar"/>
                <w:sz w:val="17"/>
              </w:rPr>
              <w:t xml:space="preserve">payment_intent.succeeded</w:t>
            </w:r>
          </w:p>
        </w:tc>
        <w:tc>
          <w:tcPr>
            <w:tcW w:type="dxa" w:w="1729"/>
          </w:tcPr>
          <w:p>
            <w:pPr>
              <w:pStyle w:val="Compact"/>
              <w:spacing w:after="20"/>
            </w:pPr>
            <w:r>
              <w:rPr>
                <w:sz w:val="17"/>
              </w:rPr>
              <w:t xml:space="preserve">Plateforme</w:t>
            </w:r>
          </w:p>
        </w:tc>
        <w:tc>
          <w:tcPr>
            <w:tcW w:type="dxa" w:w="4814"/>
          </w:tcPr>
          <w:p>
            <w:pPr>
              <w:pStyle w:val="Compact"/>
              <w:spacing w:after="20"/>
            </w:pPr>
            <w:r>
              <w:rPr>
                <w:sz w:val="17"/>
              </w:rPr>
              <w:t xml:space="preserve">Réservation →</w:t>
            </w:r>
            <w:r>
              <w:rPr>
                <w:sz w:val="17"/>
              </w:rPr>
              <w:t xml:space="preserve"> </w:t>
            </w:r>
            <w:r>
              <w:rPr>
                <w:rStyle w:val="VerbatimChar"/>
                <w:sz w:val="17"/>
              </w:rPr>
              <w:t xml:space="preserve">PayeeRetenue</w:t>
            </w:r>
            <w:r>
              <w:rPr>
                <w:sz w:val="17"/>
              </w:rPr>
              <w:t xml:space="preserve"> </w:t>
            </w:r>
            <w:r>
              <w:rPr>
                <w:sz w:val="17"/>
              </w:rPr>
              <w:t xml:space="preserve">; enregistrer</w:t>
            </w:r>
            <w:r>
              <w:rPr>
                <w:sz w:val="17"/>
              </w:rPr>
              <w:t xml:space="preserve"> </w:t>
            </w:r>
            <w:r>
              <w:rPr>
                <w:rStyle w:val="VerbatimChar"/>
                <w:sz w:val="17"/>
              </w:rPr>
              <w:t xml:space="preserve">charge_id</w:t>
            </w:r>
            <w:r>
              <w:rPr>
                <w:sz w:val="17"/>
              </w:rPr>
              <w:t xml:space="preserve">.</w:t>
            </w:r>
          </w:p>
        </w:tc>
      </w:tr>
      <w:tr>
        <w:tc>
          <w:tcPr>
            <w:tcW w:type="dxa" w:w="3378"/>
          </w:tcPr>
          <w:p>
            <w:pPr>
              <w:pStyle w:val="Compact"/>
              <w:spacing w:after="20"/>
            </w:pPr>
            <w:r>
              <w:rPr>
                <w:rStyle w:val="VerbatimChar"/>
                <w:sz w:val="17"/>
              </w:rPr>
              <w:t xml:space="preserve">payment_intent.payment_failed</w:t>
            </w:r>
          </w:p>
        </w:tc>
        <w:tc>
          <w:tcPr>
            <w:tcW w:type="dxa" w:w="1729"/>
          </w:tcPr>
          <w:p>
            <w:pPr>
              <w:pStyle w:val="Compact"/>
              <w:spacing w:after="20"/>
            </w:pPr>
            <w:r>
              <w:rPr>
                <w:sz w:val="17"/>
              </w:rPr>
              <w:t xml:space="preserve">Plateforme</w:t>
            </w:r>
          </w:p>
        </w:tc>
        <w:tc>
          <w:tcPr>
            <w:tcW w:type="dxa" w:w="4814"/>
          </w:tcPr>
          <w:p>
            <w:pPr>
              <w:pStyle w:val="Compact"/>
              <w:spacing w:after="20"/>
            </w:pPr>
            <w:r>
              <w:rPr>
                <w:sz w:val="17"/>
              </w:rPr>
              <w:t xml:space="preserve">Informer l'expéditeur ; la réservation reste</w:t>
            </w:r>
            <w:r>
              <w:rPr>
                <w:sz w:val="17"/>
              </w:rPr>
              <w:t xml:space="preserve"> </w:t>
            </w:r>
            <w:r>
              <w:rPr>
                <w:rStyle w:val="VerbatimChar"/>
                <w:sz w:val="17"/>
              </w:rPr>
              <w:t xml:space="preserve">Reservee</w:t>
            </w:r>
            <w:r>
              <w:rPr>
                <w:sz w:val="17"/>
              </w:rPr>
              <w:t xml:space="preserve">.</w:t>
            </w:r>
          </w:p>
        </w:tc>
      </w:tr>
      <w:tr>
        <w:tc>
          <w:tcPr>
            <w:tcW w:type="dxa" w:w="3378"/>
          </w:tcPr>
          <w:p>
            <w:pPr>
              <w:pStyle w:val="Compact"/>
              <w:spacing w:after="20"/>
            </w:pPr>
            <w:r>
              <w:rPr>
                <w:rStyle w:val="VerbatimChar"/>
                <w:sz w:val="17"/>
              </w:rPr>
              <w:t xml:space="preserve">payment_intent.canceled</w:t>
            </w:r>
          </w:p>
        </w:tc>
        <w:tc>
          <w:tcPr>
            <w:tcW w:type="dxa" w:w="1729"/>
          </w:tcPr>
          <w:p>
            <w:pPr>
              <w:pStyle w:val="Compact"/>
              <w:spacing w:after="20"/>
            </w:pPr>
            <w:r>
              <w:rPr>
                <w:sz w:val="17"/>
              </w:rPr>
              <w:t xml:space="preserve">Plateforme</w:t>
            </w:r>
          </w:p>
        </w:tc>
        <w:tc>
          <w:tcPr>
            <w:tcW w:type="dxa" w:w="4814"/>
          </w:tcPr>
          <w:p>
            <w:pPr>
              <w:pStyle w:val="Compact"/>
              <w:spacing w:after="20"/>
            </w:pPr>
            <w:r>
              <w:rPr>
                <w:sz w:val="17"/>
              </w:rPr>
              <w:t xml:space="preserve">Réservation annulée si applicable.</w:t>
            </w:r>
          </w:p>
        </w:tc>
      </w:tr>
      <w:tr>
        <w:tc>
          <w:tcPr>
            <w:tcW w:type="dxa" w:w="3378"/>
          </w:tcPr>
          <w:p>
            <w:pPr>
              <w:pStyle w:val="Compact"/>
              <w:spacing w:after="20"/>
            </w:pPr>
            <w:r>
              <w:rPr>
                <w:rStyle w:val="VerbatimChar"/>
                <w:sz w:val="17"/>
              </w:rPr>
              <w:t xml:space="preserve">charge.refunded</w:t>
            </w:r>
          </w:p>
        </w:tc>
        <w:tc>
          <w:tcPr>
            <w:tcW w:type="dxa" w:w="1729"/>
          </w:tcPr>
          <w:p>
            <w:pPr>
              <w:pStyle w:val="Compact"/>
              <w:spacing w:after="20"/>
            </w:pPr>
            <w:r>
              <w:rPr>
                <w:sz w:val="17"/>
              </w:rPr>
              <w:t xml:space="preserve">Plateforme</w:t>
            </w:r>
          </w:p>
        </w:tc>
        <w:tc>
          <w:tcPr>
            <w:tcW w:type="dxa" w:w="4814"/>
          </w:tcPr>
          <w:p>
            <w:pPr>
              <w:pStyle w:val="Compact"/>
              <w:spacing w:after="20"/>
            </w:pPr>
            <w:r>
              <w:rPr>
                <w:sz w:val="17"/>
              </w:rPr>
              <w:t xml:space="preserve">Réservation →</w:t>
            </w:r>
            <w:r>
              <w:rPr>
                <w:sz w:val="17"/>
              </w:rPr>
              <w:t xml:space="preserve"> </w:t>
            </w:r>
            <w:r>
              <w:rPr>
                <w:rStyle w:val="VerbatimChar"/>
                <w:sz w:val="17"/>
              </w:rPr>
              <w:t xml:space="preserve">Remboursee</w:t>
            </w:r>
            <w:r>
              <w:rPr>
                <w:sz w:val="17"/>
              </w:rPr>
              <w:t xml:space="preserve"> </w:t>
            </w:r>
            <w:r>
              <w:rPr>
                <w:sz w:val="17"/>
              </w:rPr>
              <w:t xml:space="preserve">; reçu de remboursement.</w:t>
            </w:r>
          </w:p>
        </w:tc>
      </w:tr>
      <w:tr>
        <w:tc>
          <w:tcPr>
            <w:tcW w:type="dxa" w:w="3378"/>
          </w:tcPr>
          <w:p>
            <w:pPr>
              <w:pStyle w:val="Compact"/>
              <w:spacing w:after="20"/>
            </w:pPr>
            <w:r>
              <w:rPr>
                <w:rStyle w:val="VerbatimChar"/>
                <w:sz w:val="17"/>
              </w:rPr>
              <w:t xml:space="preserve">charge.dispute.created</w:t>
            </w:r>
            <w:r>
              <w:rPr>
                <w:sz w:val="17"/>
              </w:rPr>
              <w:t xml:space="preserve"> </w:t>
            </w:r>
            <w:r>
              <w:rPr>
                <w:sz w:val="17"/>
              </w:rPr>
              <w:t xml:space="preserve">/</w:t>
            </w:r>
            <w:r>
              <w:rPr>
                <w:sz w:val="17"/>
              </w:rPr>
              <w:t xml:space="preserve"> </w:t>
            </w:r>
            <w:r>
              <w:rPr>
                <w:rStyle w:val="VerbatimChar"/>
                <w:sz w:val="17"/>
              </w:rPr>
              <w:t xml:space="preserve">charge.dispute.updated</w:t>
            </w:r>
            <w:r>
              <w:rPr>
                <w:sz w:val="17"/>
              </w:rPr>
              <w:t xml:space="preserve"> </w:t>
            </w:r>
            <w:r>
              <w:rPr>
                <w:sz w:val="17"/>
              </w:rPr>
              <w:t xml:space="preserve">/</w:t>
            </w:r>
            <w:r>
              <w:rPr>
                <w:sz w:val="17"/>
              </w:rPr>
              <w:t xml:space="preserve"> </w:t>
            </w:r>
            <w:r>
              <w:rPr>
                <w:rStyle w:val="VerbatimChar"/>
                <w:sz w:val="17"/>
              </w:rPr>
              <w:t xml:space="preserve">charge.dispute.closed</w:t>
            </w:r>
          </w:p>
        </w:tc>
        <w:tc>
          <w:tcPr>
            <w:tcW w:type="dxa" w:w="1729"/>
          </w:tcPr>
          <w:p>
            <w:pPr>
              <w:pStyle w:val="Compact"/>
              <w:spacing w:after="20"/>
            </w:pPr>
            <w:r>
              <w:rPr>
                <w:sz w:val="17"/>
              </w:rPr>
              <w:t xml:space="preserve">Plateforme</w:t>
            </w:r>
          </w:p>
        </w:tc>
        <w:tc>
          <w:tcPr>
            <w:tcW w:type="dxa" w:w="4814"/>
          </w:tcPr>
          <w:p>
            <w:pPr>
              <w:pStyle w:val="Compact"/>
              <w:spacing w:after="20"/>
            </w:pPr>
            <w:r>
              <w:rPr>
                <w:sz w:val="17"/>
              </w:rPr>
              <w:t xml:space="preserve">Ouvrir ou mettre à jour le litige ; préparer les preuves de remise ; suspendre le transfert.</w:t>
            </w:r>
          </w:p>
        </w:tc>
      </w:tr>
      <w:tr>
        <w:tc>
          <w:tcPr>
            <w:tcW w:type="dxa" w:w="3378"/>
          </w:tcPr>
          <w:p>
            <w:pPr>
              <w:pStyle w:val="Compact"/>
              <w:spacing w:after="20"/>
            </w:pPr>
            <w:r>
              <w:rPr>
                <w:rStyle w:val="VerbatimChar"/>
                <w:sz w:val="17"/>
              </w:rPr>
              <w:t xml:space="preserve">radar.early_fraud_warning.created</w:t>
            </w:r>
          </w:p>
        </w:tc>
        <w:tc>
          <w:tcPr>
            <w:tcW w:type="dxa" w:w="1729"/>
          </w:tcPr>
          <w:p>
            <w:pPr>
              <w:pStyle w:val="Compact"/>
              <w:spacing w:after="20"/>
            </w:pPr>
            <w:r>
              <w:rPr>
                <w:sz w:val="17"/>
              </w:rPr>
              <w:t xml:space="preserve">Plateforme</w:t>
            </w:r>
          </w:p>
        </w:tc>
        <w:tc>
          <w:tcPr>
            <w:tcW w:type="dxa" w:w="4814"/>
          </w:tcPr>
          <w:p>
            <w:pPr>
              <w:pStyle w:val="Compact"/>
              <w:spacing w:after="20"/>
            </w:pPr>
            <w:r>
              <w:rPr>
                <w:sz w:val="17"/>
              </w:rPr>
              <w:t xml:space="preserve">Signal de fraude : suspendre le transfert, révision manuelle.</w:t>
            </w:r>
          </w:p>
        </w:tc>
      </w:tr>
      <w:tr>
        <w:tc>
          <w:tcPr>
            <w:tcW w:type="dxa" w:w="3378"/>
          </w:tcPr>
          <w:p>
            <w:pPr>
              <w:pStyle w:val="Compact"/>
              <w:spacing w:after="20"/>
            </w:pPr>
            <w:r>
              <w:rPr>
                <w:rStyle w:val="VerbatimChar"/>
                <w:sz w:val="17"/>
              </w:rPr>
              <w:t xml:space="preserve">transfer.created</w:t>
            </w:r>
            <w:r>
              <w:rPr>
                <w:sz w:val="17"/>
              </w:rPr>
              <w:t xml:space="preserve"> </w:t>
            </w:r>
            <w:r>
              <w:rPr>
                <w:sz w:val="17"/>
              </w:rPr>
              <w:t xml:space="preserve">/</w:t>
            </w:r>
            <w:r>
              <w:rPr>
                <w:sz w:val="17"/>
              </w:rPr>
              <w:t xml:space="preserve"> </w:t>
            </w:r>
            <w:r>
              <w:rPr>
                <w:rStyle w:val="VerbatimChar"/>
                <w:sz w:val="17"/>
              </w:rPr>
              <w:t xml:space="preserve">transfer.reversed</w:t>
            </w:r>
          </w:p>
        </w:tc>
        <w:tc>
          <w:tcPr>
            <w:tcW w:type="dxa" w:w="1729"/>
          </w:tcPr>
          <w:p>
            <w:pPr>
              <w:pStyle w:val="Compact"/>
              <w:spacing w:after="20"/>
            </w:pPr>
            <w:r>
              <w:rPr>
                <w:sz w:val="17"/>
              </w:rPr>
              <w:t xml:space="preserve">Plateforme</w:t>
            </w:r>
          </w:p>
        </w:tc>
        <w:tc>
          <w:tcPr>
            <w:tcW w:type="dxa" w:w="4814"/>
          </w:tcPr>
          <w:p>
            <w:pPr>
              <w:pStyle w:val="Compact"/>
              <w:spacing w:after="20"/>
            </w:pPr>
            <w:r>
              <w:rPr>
                <w:sz w:val="17"/>
              </w:rPr>
              <w:t xml:space="preserve">Mettre à jour</w:t>
            </w:r>
            <w:r>
              <w:rPr>
                <w:sz w:val="17"/>
              </w:rPr>
              <w:t xml:space="preserve"> </w:t>
            </w:r>
            <w:r>
              <w:rPr>
                <w:rStyle w:val="VerbatimChar"/>
                <w:sz w:val="17"/>
              </w:rPr>
              <w:t xml:space="preserve">transfers</w:t>
            </w:r>
            <w:r>
              <w:rPr>
                <w:sz w:val="17"/>
              </w:rPr>
              <w:t xml:space="preserve">. Noms exacts des événements de transfert disponibles dans la version d'API retenue :</w:t>
            </w:r>
            <w:r>
              <w:rPr>
                <w:sz w:val="17"/>
              </w:rPr>
              <w:t xml:space="preserve"> </w:t>
            </w:r>
            <w:r>
              <w:rPr>
                <w:b/>
                <w:bCs/>
                <w:sz w:val="17"/>
              </w:rPr>
              <w:t xml:space="preserve">à confirmer</w:t>
            </w:r>
            <w:r>
              <w:rPr>
                <w:sz w:val="17"/>
              </w:rPr>
              <w:t xml:space="preserve">.</w:t>
            </w:r>
          </w:p>
        </w:tc>
      </w:tr>
      <w:tr>
        <w:tc>
          <w:tcPr>
            <w:tcW w:type="dxa" w:w="3378"/>
          </w:tcPr>
          <w:p>
            <w:pPr>
              <w:pStyle w:val="Compact"/>
              <w:spacing w:after="20"/>
            </w:pPr>
            <w:r>
              <w:rPr>
                <w:rStyle w:val="VerbatimChar"/>
                <w:sz w:val="17"/>
              </w:rPr>
              <w:t xml:space="preserve">identity.verification_session.verified</w:t>
            </w:r>
          </w:p>
        </w:tc>
        <w:tc>
          <w:tcPr>
            <w:tcW w:type="dxa" w:w="1729"/>
          </w:tcPr>
          <w:p>
            <w:pPr>
              <w:pStyle w:val="Compact"/>
              <w:spacing w:after="20"/>
            </w:pPr>
            <w:r>
              <w:rPr>
                <w:sz w:val="17"/>
              </w:rPr>
              <w:t xml:space="preserve">Plateforme</w:t>
            </w:r>
          </w:p>
        </w:tc>
        <w:tc>
          <w:tcPr>
            <w:tcW w:type="dxa" w:w="4814"/>
          </w:tcPr>
          <w:p>
            <w:pPr>
              <w:pStyle w:val="Compact"/>
              <w:spacing w:after="20"/>
            </w:pPr>
            <w:r>
              <w:rPr>
                <w:rStyle w:val="VerbatimChar"/>
                <w:sz w:val="17"/>
              </w:rPr>
              <w:t xml:space="preserve">identity_status = verified</w:t>
            </w:r>
            <w:r>
              <w:rPr>
                <w:sz w:val="17"/>
              </w:rPr>
              <w:t xml:space="preserve">.</w:t>
            </w:r>
          </w:p>
        </w:tc>
      </w:tr>
      <w:tr>
        <w:tc>
          <w:tcPr>
            <w:tcW w:type="dxa" w:w="3378"/>
          </w:tcPr>
          <w:p>
            <w:pPr>
              <w:pStyle w:val="Compact"/>
              <w:spacing w:after="20"/>
            </w:pPr>
            <w:r>
              <w:rPr>
                <w:rStyle w:val="VerbatimChar"/>
                <w:sz w:val="17"/>
              </w:rPr>
              <w:t xml:space="preserve">identity.verification_session.requires_input</w:t>
            </w:r>
          </w:p>
        </w:tc>
        <w:tc>
          <w:tcPr>
            <w:tcW w:type="dxa" w:w="1729"/>
          </w:tcPr>
          <w:p>
            <w:pPr>
              <w:pStyle w:val="Compact"/>
              <w:spacing w:after="20"/>
            </w:pPr>
            <w:r>
              <w:rPr>
                <w:sz w:val="17"/>
              </w:rPr>
              <w:t xml:space="preserve">Plateforme</w:t>
            </w:r>
          </w:p>
        </w:tc>
        <w:tc>
          <w:tcPr>
            <w:tcW w:type="dxa" w:w="4814"/>
          </w:tcPr>
          <w:p>
            <w:pPr>
              <w:pStyle w:val="Compact"/>
              <w:spacing w:after="20"/>
            </w:pPr>
            <w:r>
              <w:rPr>
                <w:rStyle w:val="VerbatimChar"/>
                <w:sz w:val="17"/>
              </w:rPr>
              <w:t xml:space="preserve">identity_status = requires_input</w:t>
            </w:r>
            <w:r>
              <w:rPr>
                <w:sz w:val="17"/>
              </w:rPr>
              <w:t xml:space="preserve"> </w:t>
            </w:r>
            <w:r>
              <w:rPr>
                <w:sz w:val="17"/>
              </w:rPr>
              <w:t xml:space="preserve">; afficher</w:t>
            </w:r>
            <w:r>
              <w:rPr>
                <w:sz w:val="17"/>
              </w:rPr>
              <w:t xml:space="preserve"> </w:t>
            </w:r>
            <w:r>
              <w:rPr>
                <w:rStyle w:val="VerbatimChar"/>
                <w:sz w:val="17"/>
              </w:rPr>
              <w:t xml:space="preserve">last_error.reason</w:t>
            </w:r>
            <w:r>
              <w:rPr>
                <w:sz w:val="17"/>
              </w:rPr>
              <w:t xml:space="preserve">.</w:t>
            </w:r>
          </w:p>
        </w:tc>
      </w:tr>
      <w:tr>
        <w:tc>
          <w:tcPr>
            <w:tcW w:type="dxa" w:w="3378"/>
          </w:tcPr>
          <w:p>
            <w:pPr>
              <w:pStyle w:val="Compact"/>
              <w:spacing w:after="20"/>
            </w:pPr>
            <w:r>
              <w:rPr>
                <w:rStyle w:val="VerbatimChar"/>
                <w:sz w:val="17"/>
              </w:rPr>
              <w:t xml:space="preserve">identity.verification_session.processing</w:t>
            </w:r>
            <w:r>
              <w:rPr>
                <w:sz w:val="17"/>
              </w:rPr>
              <w:t xml:space="preserve"> </w:t>
            </w:r>
            <w:r>
              <w:rPr>
                <w:sz w:val="17"/>
              </w:rPr>
              <w:t xml:space="preserve">/</w:t>
            </w:r>
            <w:r>
              <w:rPr>
                <w:sz w:val="17"/>
              </w:rPr>
              <w:t xml:space="preserve"> </w:t>
            </w:r>
            <w:r>
              <w:rPr>
                <w:rStyle w:val="VerbatimChar"/>
                <w:sz w:val="17"/>
              </w:rPr>
              <w:t xml:space="preserve">canceled</w:t>
            </w:r>
          </w:p>
        </w:tc>
        <w:tc>
          <w:tcPr>
            <w:tcW w:type="dxa" w:w="1729"/>
          </w:tcPr>
          <w:p>
            <w:pPr>
              <w:pStyle w:val="Compact"/>
              <w:spacing w:after="20"/>
            </w:pPr>
            <w:r>
              <w:rPr>
                <w:sz w:val="17"/>
              </w:rPr>
              <w:t xml:space="preserve">Plateforme</w:t>
            </w:r>
          </w:p>
        </w:tc>
        <w:tc>
          <w:tcPr>
            <w:tcW w:type="dxa" w:w="4814"/>
          </w:tcPr>
          <w:p>
            <w:pPr>
              <w:pStyle w:val="Compact"/>
              <w:spacing w:after="20"/>
            </w:pPr>
            <w:r>
              <w:rPr>
                <w:sz w:val="17"/>
              </w:rPr>
              <w:t xml:space="preserve">Mettre à jour le statut.</w:t>
            </w:r>
          </w:p>
        </w:tc>
      </w:tr>
      <w:tr>
        <w:tc>
          <w:tcPr>
            <w:tcW w:type="dxa" w:w="3378"/>
          </w:tcPr>
          <w:p>
            <w:pPr>
              <w:pStyle w:val="Compact"/>
              <w:spacing w:after="20"/>
            </w:pPr>
            <w:r>
              <w:rPr>
                <w:rStyle w:val="VerbatimChar"/>
                <w:sz w:val="17"/>
              </w:rPr>
              <w:t xml:space="preserve">identity.verification_session.redacted</w:t>
            </w:r>
          </w:p>
        </w:tc>
        <w:tc>
          <w:tcPr>
            <w:tcW w:type="dxa" w:w="1729"/>
          </w:tcPr>
          <w:p>
            <w:pPr>
              <w:pStyle w:val="Compact"/>
              <w:spacing w:after="20"/>
            </w:pPr>
            <w:r>
              <w:rPr>
                <w:sz w:val="17"/>
              </w:rPr>
              <w:t xml:space="preserve">Plateforme (abonnement explicite requis selon la doc Stripe)</w:t>
            </w:r>
          </w:p>
        </w:tc>
        <w:tc>
          <w:tcPr>
            <w:tcW w:type="dxa" w:w="4814"/>
          </w:tcPr>
          <w:p>
            <w:pPr>
              <w:pStyle w:val="Compact"/>
              <w:spacing w:after="20"/>
            </w:pPr>
            <w:r>
              <w:rPr>
                <w:sz w:val="17"/>
              </w:rPr>
              <w:t xml:space="preserve">Confirmer l'effacement des données chez Stripe.</w:t>
            </w:r>
          </w:p>
        </w:tc>
      </w:tr>
      <w:tr>
        <w:tc>
          <w:tcPr>
            <w:tcW w:type="dxa" w:w="3378"/>
          </w:tcPr>
          <w:p>
            <w:pPr>
              <w:pStyle w:val="Compact"/>
              <w:spacing w:after="20"/>
            </w:pPr>
            <w:r>
              <w:rPr>
                <w:rStyle w:val="VerbatimChar"/>
                <w:sz w:val="17"/>
              </w:rPr>
              <w:t xml:space="preserve">account.updated</w:t>
            </w:r>
          </w:p>
        </w:tc>
        <w:tc>
          <w:tcPr>
            <w:tcW w:type="dxa" w:w="1729"/>
          </w:tcPr>
          <w:p>
            <w:pPr>
              <w:pStyle w:val="Compact"/>
              <w:spacing w:after="20"/>
            </w:pPr>
            <w:r>
              <w:rPr>
                <w:sz w:val="17"/>
              </w:rPr>
              <w:t xml:space="preserve">Connect</w:t>
            </w:r>
          </w:p>
        </w:tc>
        <w:tc>
          <w:tcPr>
            <w:tcW w:type="dxa" w:w="4814"/>
          </w:tcPr>
          <w:p>
            <w:pPr>
              <w:pStyle w:val="Compact"/>
              <w:spacing w:after="20"/>
            </w:pPr>
            <w:r>
              <w:rPr>
                <w:sz w:val="17"/>
              </w:rPr>
              <w:t xml:space="preserve">Mettre à jour les capacités du voyageur (</w:t>
            </w:r>
            <w:r>
              <w:rPr>
                <w:rStyle w:val="VerbatimChar"/>
                <w:sz w:val="17"/>
              </w:rPr>
              <w:t xml:space="preserve">charges_enabled</w:t>
            </w:r>
            <w:r>
              <w:rPr>
                <w:sz w:val="17"/>
              </w:rPr>
              <w:t xml:space="preserve">,</w:t>
            </w:r>
            <w:r>
              <w:rPr>
                <w:sz w:val="17"/>
              </w:rPr>
              <w:t xml:space="preserve"> </w:t>
            </w:r>
            <w:r>
              <w:rPr>
                <w:rStyle w:val="VerbatimChar"/>
                <w:sz w:val="17"/>
              </w:rPr>
              <w:t xml:space="preserve">payouts_enabled</w:t>
            </w:r>
            <w:r>
              <w:rPr>
                <w:sz w:val="17"/>
              </w:rPr>
              <w:t xml:space="preserve">, exigences en attente).</w:t>
            </w:r>
          </w:p>
        </w:tc>
      </w:tr>
      <w:tr>
        <w:tc>
          <w:tcPr>
            <w:tcW w:type="dxa" w:w="3378"/>
          </w:tcPr>
          <w:p>
            <w:pPr>
              <w:pStyle w:val="Compact"/>
              <w:spacing w:after="20"/>
            </w:pPr>
            <w:r>
              <w:rPr>
                <w:rStyle w:val="VerbatimChar"/>
                <w:sz w:val="17"/>
              </w:rPr>
              <w:t xml:space="preserve">payout.created</w:t>
            </w:r>
            <w:r>
              <w:rPr>
                <w:sz w:val="17"/>
              </w:rPr>
              <w:t xml:space="preserve"> </w:t>
            </w:r>
            <w:r>
              <w:rPr>
                <w:sz w:val="17"/>
              </w:rPr>
              <w:t xml:space="preserve">/</w:t>
            </w:r>
            <w:r>
              <w:rPr>
                <w:sz w:val="17"/>
              </w:rPr>
              <w:t xml:space="preserve"> </w:t>
            </w:r>
            <w:r>
              <w:rPr>
                <w:rStyle w:val="VerbatimChar"/>
                <w:sz w:val="17"/>
              </w:rPr>
              <w:t xml:space="preserve">payout.paid</w:t>
            </w:r>
            <w:r>
              <w:rPr>
                <w:sz w:val="17"/>
              </w:rPr>
              <w:t xml:space="preserve"> </w:t>
            </w:r>
            <w:r>
              <w:rPr>
                <w:sz w:val="17"/>
              </w:rPr>
              <w:t xml:space="preserve">/</w:t>
            </w:r>
            <w:r>
              <w:rPr>
                <w:sz w:val="17"/>
              </w:rPr>
              <w:t xml:space="preserve"> </w:t>
            </w:r>
            <w:r>
              <w:rPr>
                <w:rStyle w:val="VerbatimChar"/>
                <w:sz w:val="17"/>
              </w:rPr>
              <w:t xml:space="preserve">payout.failed</w:t>
            </w:r>
          </w:p>
        </w:tc>
        <w:tc>
          <w:tcPr>
            <w:tcW w:type="dxa" w:w="1729"/>
          </w:tcPr>
          <w:p>
            <w:pPr>
              <w:pStyle w:val="Compact"/>
              <w:spacing w:after="20"/>
            </w:pPr>
            <w:r>
              <w:rPr>
                <w:sz w:val="17"/>
              </w:rPr>
              <w:t xml:space="preserve">Connect</w:t>
            </w:r>
          </w:p>
        </w:tc>
        <w:tc>
          <w:tcPr>
            <w:tcW w:type="dxa" w:w="4814"/>
          </w:tcPr>
          <w:p>
            <w:pPr>
              <w:pStyle w:val="Compact"/>
              <w:spacing w:after="20"/>
            </w:pPr>
            <w:r>
              <w:rPr>
                <w:sz w:val="17"/>
              </w:rPr>
              <w:t xml:space="preserve">Statuts des versements affichés au voyageur (« en cours → déposé ») ; alerte en cas d'échec.</w:t>
            </w:r>
          </w:p>
        </w:tc>
      </w:tr>
      <w:tr>
        <w:tc>
          <w:tcPr>
            <w:tcW w:type="dxa" w:w="3378"/>
          </w:tcPr>
          <w:p>
            <w:pPr>
              <w:pStyle w:val="Compact"/>
              <w:spacing w:after="20"/>
            </w:pPr>
            <w:r>
              <w:rPr>
                <w:rStyle w:val="VerbatimChar"/>
                <w:sz w:val="17"/>
              </w:rPr>
              <w:t xml:space="preserve">customer.subscription.*</w:t>
            </w:r>
            <w:r>
              <w:rPr>
                <w:sz w:val="17"/>
              </w:rPr>
              <w:t xml:space="preserve">,</w:t>
            </w:r>
            <w:r>
              <w:rPr>
                <w:sz w:val="17"/>
              </w:rPr>
              <w:t xml:space="preserve"> </w:t>
            </w:r>
            <w:r>
              <w:rPr>
                <w:rStyle w:val="VerbatimChar"/>
                <w:sz w:val="17"/>
              </w:rPr>
              <w:t xml:space="preserve">invoice.paid</w:t>
            </w:r>
            <w:r>
              <w:rPr>
                <w:sz w:val="17"/>
              </w:rPr>
              <w:t xml:space="preserve">,</w:t>
            </w:r>
            <w:r>
              <w:rPr>
                <w:sz w:val="17"/>
              </w:rPr>
              <w:t xml:space="preserve"> </w:t>
            </w:r>
            <w:r>
              <w:rPr>
                <w:rStyle w:val="VerbatimChar"/>
                <w:sz w:val="17"/>
              </w:rPr>
              <w:t xml:space="preserve">invoice.payment_failed</w:t>
            </w:r>
          </w:p>
        </w:tc>
        <w:tc>
          <w:tcPr>
            <w:tcW w:type="dxa" w:w="1729"/>
          </w:tcPr>
          <w:p>
            <w:pPr>
              <w:pStyle w:val="Compact"/>
              <w:spacing w:after="20"/>
            </w:pPr>
            <w:r>
              <w:rPr>
                <w:sz w:val="17"/>
              </w:rPr>
              <w:t xml:space="preserve">Plateforme</w:t>
            </w:r>
          </w:p>
        </w:tc>
        <w:tc>
          <w:tcPr>
            <w:tcW w:type="dxa" w:w="4814"/>
          </w:tcPr>
          <w:p>
            <w:pPr>
              <w:pStyle w:val="Compact"/>
              <w:spacing w:after="20"/>
            </w:pPr>
            <w:r>
              <w:rPr>
                <w:sz w:val="17"/>
              </w:rPr>
              <w:t xml:space="preserve">Seulement si un abonnement est lancé (Stripe Billing, voir 4.5).</w:t>
            </w:r>
          </w:p>
        </w:tc>
      </w:tr>
    </w:tbl>
    <w:p>
      <w:pPr>
        <w:pStyle w:val="BodyText"/>
      </w:pPr>
      <w:r>
        <w:t xml:space="preserve">Version de l'API Stripe épinglée et mise à jour volontairement (procédure de test en staging).</w:t>
      </w:r>
    </w:p>
    <w:bookmarkEnd w:id="51"/>
    <w:bookmarkEnd w:id="52"/>
    <w:bookmarkStart w:id="54" w:name="sécurité-exigences-testables"/>
    <w:p>
      <w:pPr>
        <w:pStyle w:val="Heading2"/>
      </w:pPr>
      <w:r>
        <w:t xml:space="preserve">3. Sécurité — exigences testables</w:t>
      </w:r>
    </w:p>
    <w:p>
      <w:pPr>
        <w:pStyle w:val="FirstParagraph"/>
      </w:pPr>
      <w:r>
        <w:t xml:space="preserve">Référentiels : OWASP MASVS v2.1.0, OWASP API Security Top 10 (2023), guide « Guide sécurité et architecture mobile » (sections 2.2 à 2.9). Profil visé :</w:t>
      </w:r>
      <w:r>
        <w:t xml:space="preserve"> </w:t>
      </w:r>
      <w:r>
        <w:rPr>
          <w:b/>
          <w:bCs/>
        </w:rPr>
        <w:t xml:space="preserve">MAS-L1 au minimum, plus MASVS-NETWORK-2 et MASVS-RESILIENCE à évaluer</w:t>
      </w:r>
      <w:r>
        <w:t xml:space="preserve">, car l'app manipule de l'argent (recommandation du guide). Le niveau final est</w:t>
      </w:r>
      <w:r>
        <w:t xml:space="preserve"> </w:t>
      </w:r>
      <w:r>
        <w:rPr>
          <w:b/>
          <w:bCs/>
        </w:rPr>
        <w:t xml:space="preserve">à confirmer</w:t>
      </w:r>
      <w:r>
        <w:t xml:space="preserve"> </w:t>
      </w:r>
      <w:r>
        <w:t xml:space="preserve">après la modélisation des menaces (STRIDE).</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1145"/>
        <w:gridCol w:w="5181"/>
        <w:gridCol w:w="1145"/>
        <w:gridCol w:w="2449"/>
      </w:tblGrid>
      <w:tr>
        <w:trPr>
          <w:tblHeader w:val="on"/>
        </w:trPr>
        <w:tc>
          <w:tcPr>
            <w:tcW w:type="dxa" w:w="1146"/>
            <w:shd w:val="clear" w:color="auto" w:fill="0F766E"/>
          </w:tcPr>
          <w:p>
            <w:pPr>
              <w:pStyle w:val="Compact"/>
              <w:spacing w:after="20"/>
            </w:pPr>
            <w:r>
              <w:rPr>
                <w:b/>
                <w:color w:val="FFFFFF"/>
                <w:sz w:val="17"/>
              </w:rPr>
              <w:t xml:space="preserve">ID</w:t>
            </w:r>
          </w:p>
        </w:tc>
        <w:tc>
          <w:tcPr>
            <w:tcW w:type="dxa" w:w="5181"/>
            <w:shd w:val="clear" w:color="auto" w:fill="0F766E"/>
          </w:tcPr>
          <w:p>
            <w:pPr>
              <w:pStyle w:val="Compact"/>
              <w:spacing w:after="20"/>
            </w:pPr>
            <w:r>
              <w:rPr>
                <w:b/>
                <w:color w:val="FFFFFF"/>
                <w:sz w:val="17"/>
              </w:rPr>
              <w:t xml:space="preserve">Exigence</w:t>
            </w:r>
          </w:p>
        </w:tc>
        <w:tc>
          <w:tcPr>
            <w:tcW w:type="dxa" w:w="1146"/>
            <w:shd w:val="clear" w:color="auto" w:fill="0F766E"/>
          </w:tcPr>
          <w:p>
            <w:pPr>
              <w:pStyle w:val="Compact"/>
              <w:spacing w:after="20"/>
            </w:pPr>
            <w:r>
              <w:rPr>
                <w:b/>
                <w:color w:val="FFFFFF"/>
                <w:sz w:val="17"/>
              </w:rPr>
              <w:t xml:space="preserve">Référence</w:t>
            </w:r>
          </w:p>
        </w:tc>
        <w:tc>
          <w:tcPr>
            <w:tcW w:type="dxa" w:w="2449"/>
            <w:shd w:val="clear" w:color="auto" w:fill="0F766E"/>
          </w:tcPr>
          <w:p>
            <w:pPr>
              <w:pStyle w:val="Compact"/>
              <w:spacing w:after="20"/>
            </w:pPr>
            <w:r>
              <w:rPr>
                <w:b/>
                <w:color w:val="FFFFFF"/>
                <w:sz w:val="17"/>
              </w:rPr>
              <w:t xml:space="preserve">Critère de vérification</w:t>
            </w:r>
          </w:p>
        </w:tc>
      </w:tr>
      <w:tr>
        <w:tc>
          <w:tcPr>
            <w:tcW w:type="dxa" w:w="1146"/>
          </w:tcPr>
          <w:p>
            <w:pPr>
              <w:pStyle w:val="Compact"/>
              <w:spacing w:after="20"/>
            </w:pPr>
            <w:r>
              <w:rPr>
                <w:sz w:val="17"/>
              </w:rPr>
              <w:t xml:space="preserve">SEC-01</w:t>
            </w:r>
          </w:p>
        </w:tc>
        <w:tc>
          <w:tcPr>
            <w:tcW w:type="dxa" w:w="5181"/>
          </w:tcPr>
          <w:p>
            <w:pPr>
              <w:pStyle w:val="Compact"/>
              <w:spacing w:after="20"/>
            </w:pPr>
            <w:r>
              <w:rPr>
                <w:sz w:val="17"/>
              </w:rPr>
              <w:t xml:space="preserve">Authentification par</w:t>
            </w:r>
            <w:r>
              <w:rPr>
                <w:sz w:val="17"/>
              </w:rPr>
              <w:t xml:space="preserve"> </w:t>
            </w:r>
            <w:r>
              <w:rPr>
                <w:b/>
                <w:bCs/>
                <w:sz w:val="17"/>
              </w:rPr>
              <w:t xml:space="preserve">Supabase Auth avec flux PKCE</w:t>
            </w:r>
            <w:r>
              <w:rPr>
                <w:sz w:val="17"/>
              </w:rPr>
              <w:t xml:space="preserve"> </w:t>
            </w:r>
            <w:r>
              <w:rPr>
                <w:sz w:val="17"/>
              </w:rPr>
              <w:t xml:space="preserve">(ou fournisseur OIDC avec code d'autorisation + PKCE via le navigateur système). Aucune WebView de connexion.</w:t>
            </w:r>
          </w:p>
        </w:tc>
        <w:tc>
          <w:tcPr>
            <w:tcW w:type="dxa" w:w="1146"/>
          </w:tcPr>
          <w:p>
            <w:pPr>
              <w:pStyle w:val="Compact"/>
              <w:spacing w:after="20"/>
            </w:pPr>
            <w:r>
              <w:rPr>
                <w:sz w:val="17"/>
              </w:rPr>
              <w:t xml:space="preserve">MASVS-AUTH-1 ; RFC 8252, RFC 7636</w:t>
            </w:r>
          </w:p>
        </w:tc>
        <w:tc>
          <w:tcPr>
            <w:tcW w:type="dxa" w:w="2449"/>
          </w:tcPr>
          <w:p>
            <w:pPr>
              <w:pStyle w:val="Compact"/>
              <w:spacing w:after="20"/>
            </w:pPr>
            <w:r>
              <w:rPr>
                <w:sz w:val="17"/>
              </w:rPr>
              <w:t xml:space="preserve">Revue de config ; test : le flux implicite est refusé.</w:t>
            </w:r>
          </w:p>
        </w:tc>
      </w:tr>
      <w:tr>
        <w:tc>
          <w:tcPr>
            <w:tcW w:type="dxa" w:w="1146"/>
          </w:tcPr>
          <w:p>
            <w:pPr>
              <w:pStyle w:val="Compact"/>
              <w:spacing w:after="20"/>
            </w:pPr>
            <w:r>
              <w:rPr>
                <w:sz w:val="17"/>
              </w:rPr>
              <w:t xml:space="preserve">SEC-02</w:t>
            </w:r>
          </w:p>
        </w:tc>
        <w:tc>
          <w:tcPr>
            <w:tcW w:type="dxa" w:w="5181"/>
          </w:tcPr>
          <w:p>
            <w:pPr>
              <w:pStyle w:val="Compact"/>
              <w:spacing w:after="20"/>
            </w:pPr>
            <w:r>
              <w:rPr>
                <w:b/>
                <w:bCs/>
                <w:sz w:val="17"/>
              </w:rPr>
              <w:t xml:space="preserve">MFA optionnelle</w:t>
            </w:r>
            <w:r>
              <w:rPr>
                <w:sz w:val="17"/>
              </w:rPr>
              <w:t xml:space="preserve"> </w:t>
            </w:r>
            <w:r>
              <w:rPr>
                <w:sz w:val="17"/>
              </w:rPr>
              <w:t xml:space="preserve">(TOTP ou passkeys,</w:t>
            </w:r>
            <w:r>
              <w:rPr>
                <w:sz w:val="17"/>
              </w:rPr>
              <w:t xml:space="preserve"> </w:t>
            </w:r>
            <w:r>
              <w:rPr>
                <w:b/>
                <w:bCs/>
                <w:sz w:val="17"/>
              </w:rPr>
              <w:t xml:space="preserve">à confirmer</w:t>
            </w:r>
            <w:r>
              <w:rPr>
                <w:sz w:val="17"/>
              </w:rPr>
              <w:t xml:space="preserve">) proposée aux utilisateurs ;</w:t>
            </w:r>
            <w:r>
              <w:rPr>
                <w:sz w:val="17"/>
              </w:rPr>
              <w:t xml:space="preserve"> </w:t>
            </w:r>
            <w:r>
              <w:rPr>
                <w:b/>
                <w:bCs/>
                <w:sz w:val="17"/>
              </w:rPr>
              <w:t xml:space="preserve">ré-authentification</w:t>
            </w:r>
            <w:r>
              <w:rPr>
                <w:sz w:val="17"/>
              </w:rPr>
              <w:t xml:space="preserve"> </w:t>
            </w:r>
            <w:r>
              <w:rPr>
                <w:sz w:val="17"/>
              </w:rPr>
              <w:t xml:space="preserve">avant les opérations sensibles (changement de courriel, export, suppression du compte, ajout de méthode de versement).</w:t>
            </w:r>
          </w:p>
        </w:tc>
        <w:tc>
          <w:tcPr>
            <w:tcW w:type="dxa" w:w="1146"/>
          </w:tcPr>
          <w:p>
            <w:pPr>
              <w:pStyle w:val="Compact"/>
              <w:spacing w:after="20"/>
            </w:pPr>
            <w:r>
              <w:rPr>
                <w:sz w:val="17"/>
              </w:rPr>
              <w:t xml:space="preserve">MASVS-AUTH-3</w:t>
            </w:r>
          </w:p>
        </w:tc>
        <w:tc>
          <w:tcPr>
            <w:tcW w:type="dxa" w:w="2449"/>
          </w:tcPr>
          <w:p>
            <w:pPr>
              <w:pStyle w:val="Compact"/>
              <w:spacing w:after="20"/>
            </w:pPr>
            <w:r>
              <w:rPr>
                <w:sz w:val="17"/>
              </w:rPr>
              <w:t xml:space="preserve">Test E2E : opération sensible refusée sans ré-authentification récente.</w:t>
            </w:r>
          </w:p>
        </w:tc>
      </w:tr>
      <w:tr>
        <w:tc>
          <w:tcPr>
            <w:tcW w:type="dxa" w:w="1146"/>
          </w:tcPr>
          <w:p>
            <w:pPr>
              <w:pStyle w:val="Compact"/>
              <w:spacing w:after="20"/>
            </w:pPr>
            <w:r>
              <w:rPr>
                <w:sz w:val="17"/>
              </w:rPr>
              <w:t xml:space="preserve">SEC-03</w:t>
            </w:r>
          </w:p>
        </w:tc>
        <w:tc>
          <w:tcPr>
            <w:tcW w:type="dxa" w:w="5181"/>
          </w:tcPr>
          <w:p>
            <w:pPr>
              <w:pStyle w:val="Compact"/>
              <w:spacing w:after="20"/>
            </w:pPr>
            <w:r>
              <w:rPr>
                <w:b/>
                <w:bCs/>
                <w:sz w:val="17"/>
              </w:rPr>
              <w:t xml:space="preserve">Jetons d'accès courts</w:t>
            </w:r>
            <w:r>
              <w:rPr>
                <w:sz w:val="17"/>
              </w:rPr>
              <w:t xml:space="preserve">, refresh token avec rotation et révocation côté serveur à la déconnexion et au changement de mot de passe. Durées exactes :</w:t>
            </w:r>
            <w:r>
              <w:rPr>
                <w:sz w:val="17"/>
              </w:rPr>
              <w:t xml:space="preserve"> </w:t>
            </w:r>
            <w:r>
              <w:rPr>
                <w:b/>
                <w:bCs/>
                <w:sz w:val="17"/>
              </w:rPr>
              <w:t xml:space="preserve">à décider</w:t>
            </w:r>
            <w:r>
              <w:rPr>
                <w:sz w:val="17"/>
              </w:rPr>
              <w:t xml:space="preserve">.</w:t>
            </w:r>
          </w:p>
        </w:tc>
        <w:tc>
          <w:tcPr>
            <w:tcW w:type="dxa" w:w="1146"/>
          </w:tcPr>
          <w:p>
            <w:pPr>
              <w:pStyle w:val="Compact"/>
              <w:spacing w:after="20"/>
            </w:pPr>
            <w:r>
              <w:rPr>
                <w:sz w:val="17"/>
              </w:rPr>
              <w:t xml:space="preserve">MASVS-AUTH-1 ; RFC 9700</w:t>
            </w:r>
          </w:p>
        </w:tc>
        <w:tc>
          <w:tcPr>
            <w:tcW w:type="dxa" w:w="2449"/>
          </w:tcPr>
          <w:p>
            <w:pPr>
              <w:pStyle w:val="Compact"/>
              <w:spacing w:after="20"/>
            </w:pPr>
            <w:r>
              <w:rPr>
                <w:sz w:val="17"/>
              </w:rPr>
              <w:t xml:space="preserve">Test : refresh token réutilisé → session révoquée.</w:t>
            </w:r>
          </w:p>
        </w:tc>
      </w:tr>
      <w:tr>
        <w:tc>
          <w:tcPr>
            <w:tcW w:type="dxa" w:w="1146"/>
          </w:tcPr>
          <w:p>
            <w:pPr>
              <w:pStyle w:val="Compact"/>
              <w:spacing w:after="20"/>
            </w:pPr>
            <w:r>
              <w:rPr>
                <w:sz w:val="17"/>
              </w:rPr>
              <w:t xml:space="preserve">SEC-04</w:t>
            </w:r>
          </w:p>
        </w:tc>
        <w:tc>
          <w:tcPr>
            <w:tcW w:type="dxa" w:w="5181"/>
          </w:tcPr>
          <w:p>
            <w:pPr>
              <w:pStyle w:val="Compact"/>
              <w:spacing w:after="20"/>
            </w:pPr>
            <w:r>
              <w:rPr>
                <w:b/>
                <w:bCs/>
                <w:sz w:val="17"/>
              </w:rPr>
              <w:t xml:space="preserve">Autorisation côté serveur sur chaque ressource</w:t>
            </w:r>
            <w:r>
              <w:rPr>
                <w:sz w:val="17"/>
              </w:rPr>
              <w:t xml:space="preserve"> </w:t>
            </w:r>
            <w:r>
              <w:rPr>
                <w:sz w:val="17"/>
              </w:rPr>
              <w:t xml:space="preserve">: RLS activée sur toutes les tables exposées, politiques par rôle (expéditeur, voyageur, admin) ; aucune table sans politique.</w:t>
            </w:r>
          </w:p>
        </w:tc>
        <w:tc>
          <w:tcPr>
            <w:tcW w:type="dxa" w:w="1146"/>
          </w:tcPr>
          <w:p>
            <w:pPr>
              <w:pStyle w:val="Compact"/>
              <w:spacing w:after="20"/>
            </w:pPr>
            <w:r>
              <w:rPr>
                <w:sz w:val="17"/>
              </w:rPr>
              <w:t xml:space="preserve">MASVS-AUTH ; API1/API3/API5</w:t>
            </w:r>
          </w:p>
        </w:tc>
        <w:tc>
          <w:tcPr>
            <w:tcW w:type="dxa" w:w="2449"/>
          </w:tcPr>
          <w:p>
            <w:pPr>
              <w:pStyle w:val="Compact"/>
              <w:spacing w:after="20"/>
            </w:pPr>
            <w:r>
              <w:rPr>
                <w:sz w:val="17"/>
              </w:rPr>
              <w:t xml:space="preserve">Tests RLS automatisés en CI : l'utilisateur A ne lit ni ne modifie les données de B ; requête qui liste les tables sans RLS = vide.</w:t>
            </w:r>
          </w:p>
        </w:tc>
      </w:tr>
      <w:tr>
        <w:tc>
          <w:tcPr>
            <w:tcW w:type="dxa" w:w="1146"/>
          </w:tcPr>
          <w:p>
            <w:pPr>
              <w:pStyle w:val="Compact"/>
              <w:spacing w:after="20"/>
            </w:pPr>
            <w:r>
              <w:rPr>
                <w:sz w:val="17"/>
              </w:rPr>
              <w:t xml:space="preserve">SEC-05</w:t>
            </w:r>
          </w:p>
        </w:tc>
        <w:tc>
          <w:tcPr>
            <w:tcW w:type="dxa" w:w="5181"/>
          </w:tcPr>
          <w:p>
            <w:pPr>
              <w:pStyle w:val="Compact"/>
              <w:spacing w:after="20"/>
            </w:pPr>
            <w:r>
              <w:rPr>
                <w:b/>
                <w:bCs/>
                <w:sz w:val="17"/>
              </w:rPr>
              <w:t xml:space="preserve">Stockage sécurisé</w:t>
            </w:r>
            <w:r>
              <w:rPr>
                <w:sz w:val="17"/>
              </w:rPr>
              <w:t xml:space="preserve"> </w:t>
            </w:r>
            <w:r>
              <w:rPr>
                <w:sz w:val="17"/>
              </w:rPr>
              <w:t xml:space="preserve">: jetons uniquement dans</w:t>
            </w:r>
            <w:r>
              <w:rPr>
                <w:sz w:val="17"/>
              </w:rPr>
              <w:t xml:space="preserve"> </w:t>
            </w:r>
            <w:r>
              <w:rPr>
                <w:rStyle w:val="VerbatimChar"/>
                <w:sz w:val="17"/>
              </w:rPr>
              <w:t xml:space="preserve">expo-secure-store</w:t>
            </w:r>
            <w:r>
              <w:rPr>
                <w:sz w:val="17"/>
              </w:rPr>
              <w:t xml:space="preserve"> </w:t>
            </w:r>
            <w:r>
              <w:rPr>
                <w:sz w:val="17"/>
              </w:rPr>
              <w:t xml:space="preserve">(Keychain iOS / Keystore Android) ; rien de sensible dans AsyncStorage ni dans le cache persistant ; purge à la déconnexion. Sur le web : cookies</w:t>
            </w:r>
            <w:r>
              <w:rPr>
                <w:sz w:val="17"/>
              </w:rPr>
              <w:t xml:space="preserve"> </w:t>
            </w:r>
            <w:r>
              <w:rPr>
                <w:rStyle w:val="VerbatimChar"/>
                <w:sz w:val="17"/>
              </w:rPr>
              <w:t xml:space="preserve">HttpOnly</w:t>
            </w:r>
            <w:r>
              <w:rPr>
                <w:sz w:val="17"/>
              </w:rPr>
              <w:t xml:space="preserve">/</w:t>
            </w:r>
            <w:r>
              <w:rPr>
                <w:rStyle w:val="VerbatimChar"/>
                <w:sz w:val="17"/>
              </w:rPr>
              <w:t xml:space="preserve">Secure</w:t>
            </w:r>
            <w:r>
              <w:rPr>
                <w:sz w:val="17"/>
              </w:rPr>
              <w:t xml:space="preserve"> </w:t>
            </w:r>
            <w:r>
              <w:rPr>
                <w:sz w:val="17"/>
              </w:rPr>
              <w:t xml:space="preserve">ou stratégie équivalente (</w:t>
            </w:r>
            <w:r>
              <w:rPr>
                <w:b/>
                <w:bCs/>
                <w:sz w:val="17"/>
              </w:rPr>
              <w:t xml:space="preserve">à confirmer</w:t>
            </w:r>
            <w:r>
              <w:rPr>
                <w:sz w:val="17"/>
              </w:rPr>
              <w:t xml:space="preserve">).</w:t>
            </w:r>
          </w:p>
        </w:tc>
        <w:tc>
          <w:tcPr>
            <w:tcW w:type="dxa" w:w="1146"/>
          </w:tcPr>
          <w:p>
            <w:pPr>
              <w:pStyle w:val="Compact"/>
              <w:spacing w:after="20"/>
            </w:pPr>
            <w:r>
              <w:rPr>
                <w:sz w:val="17"/>
              </w:rPr>
              <w:t xml:space="preserve">MASVS-STORAGE-1/2</w:t>
            </w:r>
          </w:p>
        </w:tc>
        <w:tc>
          <w:tcPr>
            <w:tcW w:type="dxa" w:w="2449"/>
          </w:tcPr>
          <w:p>
            <w:pPr>
              <w:pStyle w:val="Compact"/>
              <w:spacing w:after="20"/>
            </w:pPr>
            <w:r>
              <w:rPr>
                <w:sz w:val="17"/>
              </w:rPr>
              <w:t xml:space="preserve">Inspection de l'appareil (MASTG) ; MobSF sans constat critique.</w:t>
            </w:r>
          </w:p>
        </w:tc>
      </w:tr>
      <w:tr>
        <w:tc>
          <w:tcPr>
            <w:tcW w:type="dxa" w:w="1146"/>
          </w:tcPr>
          <w:p>
            <w:pPr>
              <w:pStyle w:val="Compact"/>
              <w:spacing w:after="20"/>
            </w:pPr>
            <w:r>
              <w:rPr>
                <w:sz w:val="17"/>
              </w:rPr>
              <w:t xml:space="preserve">SEC-06</w:t>
            </w:r>
          </w:p>
        </w:tc>
        <w:tc>
          <w:tcPr>
            <w:tcW w:type="dxa" w:w="5181"/>
          </w:tcPr>
          <w:p>
            <w:pPr>
              <w:pStyle w:val="Compact"/>
              <w:spacing w:after="20"/>
            </w:pPr>
            <w:r>
              <w:rPr>
                <w:b/>
                <w:bCs/>
                <w:sz w:val="17"/>
              </w:rPr>
              <w:t xml:space="preserve">Aucun secret dans l'app</w:t>
            </w:r>
            <w:r>
              <w:rPr>
                <w:sz w:val="17"/>
              </w:rPr>
              <w:t xml:space="preserve"> </w:t>
            </w:r>
            <w:r>
              <w:rPr>
                <w:sz w:val="17"/>
              </w:rPr>
              <w:t xml:space="preserve">: seules les clés publiques (URL Supabase, clé anonyme, clé publiable Stripe) sont embarquées. Clé secrète Stripe, clé</w:t>
            </w:r>
            <w:r>
              <w:rPr>
                <w:sz w:val="17"/>
              </w:rPr>
              <w:t xml:space="preserve"> </w:t>
            </w:r>
            <w:r>
              <w:rPr>
                <w:rStyle w:val="VerbatimChar"/>
                <w:sz w:val="17"/>
              </w:rPr>
              <w:t xml:space="preserve">service_role</w:t>
            </w:r>
            <w:r>
              <w:rPr>
                <w:sz w:val="17"/>
              </w:rPr>
              <w:t xml:space="preserve"> </w:t>
            </w:r>
            <w:r>
              <w:rPr>
                <w:sz w:val="17"/>
              </w:rPr>
              <w:t xml:space="preserve">Supabase et secrets des webhooks uniquement côté serveur.</w:t>
            </w:r>
          </w:p>
        </w:tc>
        <w:tc>
          <w:tcPr>
            <w:tcW w:type="dxa" w:w="1146"/>
          </w:tcPr>
          <w:p>
            <w:pPr>
              <w:pStyle w:val="Compact"/>
              <w:spacing w:after="20"/>
            </w:pPr>
            <w:r>
              <w:rPr>
                <w:sz w:val="17"/>
              </w:rPr>
              <w:t xml:space="preserve">Guide 2.4 ; M1</w:t>
            </w:r>
          </w:p>
        </w:tc>
        <w:tc>
          <w:tcPr>
            <w:tcW w:type="dxa" w:w="2449"/>
          </w:tcPr>
          <w:p>
            <w:pPr>
              <w:pStyle w:val="Compact"/>
              <w:spacing w:after="20"/>
            </w:pPr>
            <w:r>
              <w:rPr>
                <w:sz w:val="17"/>
              </w:rPr>
              <w:t xml:space="preserve">gitleaks en CI ; décompilation du bundle sans secret trouvé.</w:t>
            </w:r>
          </w:p>
        </w:tc>
      </w:tr>
      <w:tr>
        <w:tc>
          <w:tcPr>
            <w:tcW w:type="dxa" w:w="1146"/>
          </w:tcPr>
          <w:p>
            <w:pPr>
              <w:pStyle w:val="Compact"/>
              <w:spacing w:after="20"/>
            </w:pPr>
            <w:r>
              <w:rPr>
                <w:sz w:val="17"/>
              </w:rPr>
              <w:t xml:space="preserve">SEC-07</w:t>
            </w:r>
          </w:p>
        </w:tc>
        <w:tc>
          <w:tcPr>
            <w:tcW w:type="dxa" w:w="5181"/>
          </w:tcPr>
          <w:p>
            <w:pPr>
              <w:pStyle w:val="Compact"/>
              <w:spacing w:after="20"/>
            </w:pPr>
            <w:r>
              <w:rPr>
                <w:b/>
                <w:bCs/>
                <w:sz w:val="17"/>
              </w:rPr>
              <w:t xml:space="preserve">HTTPS partout</w:t>
            </w:r>
            <w:r>
              <w:rPr>
                <w:sz w:val="17"/>
              </w:rPr>
              <w:t xml:space="preserve"> </w:t>
            </w:r>
            <w:r>
              <w:rPr>
                <w:sz w:val="17"/>
              </w:rPr>
              <w:t xml:space="preserve">; aucune exception ATS / cleartext ; décision écrite sur le pinning (déconseillé par Android Developers, à évaluer avec MASVS-NETWORK-2).</w:t>
            </w:r>
          </w:p>
        </w:tc>
        <w:tc>
          <w:tcPr>
            <w:tcW w:type="dxa" w:w="1146"/>
          </w:tcPr>
          <w:p>
            <w:pPr>
              <w:pStyle w:val="Compact"/>
              <w:spacing w:after="20"/>
            </w:pPr>
            <w:r>
              <w:rPr>
                <w:sz w:val="17"/>
              </w:rPr>
              <w:t xml:space="preserve">MASVS-NETWORK-1/2</w:t>
            </w:r>
          </w:p>
        </w:tc>
        <w:tc>
          <w:tcPr>
            <w:tcW w:type="dxa" w:w="2449"/>
          </w:tcPr>
          <w:p>
            <w:pPr>
              <w:pStyle w:val="Compact"/>
              <w:spacing w:after="20"/>
            </w:pPr>
            <w:r>
              <w:rPr>
                <w:sz w:val="17"/>
              </w:rPr>
              <w:t xml:space="preserve">Vérification du manifeste et de l'Info.plist ; test d'interception.</w:t>
            </w:r>
          </w:p>
        </w:tc>
      </w:tr>
      <w:tr>
        <w:tc>
          <w:tcPr>
            <w:tcW w:type="dxa" w:w="1146"/>
          </w:tcPr>
          <w:p>
            <w:pPr>
              <w:pStyle w:val="Compact"/>
              <w:spacing w:after="20"/>
            </w:pPr>
            <w:r>
              <w:rPr>
                <w:sz w:val="17"/>
              </w:rPr>
              <w:t xml:space="preserve">SEC-08</w:t>
            </w:r>
          </w:p>
        </w:tc>
        <w:tc>
          <w:tcPr>
            <w:tcW w:type="dxa" w:w="5181"/>
          </w:tcPr>
          <w:p>
            <w:pPr>
              <w:pStyle w:val="Compact"/>
              <w:spacing w:after="20"/>
            </w:pPr>
            <w:r>
              <w:rPr>
                <w:b/>
                <w:bCs/>
                <w:sz w:val="17"/>
              </w:rPr>
              <w:t xml:space="preserve">Webhooks Stripe</w:t>
            </w:r>
            <w:r>
              <w:rPr>
                <w:sz w:val="17"/>
              </w:rPr>
              <w:t xml:space="preserve"> </w:t>
            </w:r>
            <w:r>
              <w:rPr>
                <w:sz w:val="17"/>
              </w:rPr>
              <w:t xml:space="preserve">: vérification de signature (</w:t>
            </w:r>
            <w:r>
              <w:rPr>
                <w:rStyle w:val="VerbatimChar"/>
                <w:sz w:val="17"/>
              </w:rPr>
              <w:t xml:space="preserve">Stripe-Signature</w:t>
            </w:r>
            <w:r>
              <w:rPr>
                <w:sz w:val="17"/>
              </w:rPr>
              <w:t xml:space="preserve">, secret par point de terminaison) sur le corps brut ; rejet si la signature ou l'horodatage est invalide ;</w:t>
            </w:r>
            <w:r>
              <w:rPr>
                <w:sz w:val="17"/>
              </w:rPr>
              <w:t xml:space="preserve"> </w:t>
            </w:r>
            <w:r>
              <w:rPr>
                <w:b/>
                <w:bCs/>
                <w:sz w:val="17"/>
              </w:rPr>
              <w:t xml:space="preserve">idempotence</w:t>
            </w:r>
            <w:r>
              <w:rPr>
                <w:sz w:val="17"/>
              </w:rPr>
              <w:t xml:space="preserve"> </w:t>
            </w:r>
            <w:r>
              <w:rPr>
                <w:sz w:val="17"/>
              </w:rPr>
              <w:t xml:space="preserve">par</w:t>
            </w:r>
            <w:r>
              <w:rPr>
                <w:sz w:val="17"/>
              </w:rPr>
              <w:t xml:space="preserve"> </w:t>
            </w:r>
            <w:r>
              <w:rPr>
                <w:rStyle w:val="VerbatimChar"/>
                <w:sz w:val="17"/>
              </w:rPr>
              <w:t xml:space="preserve">event.id</w:t>
            </w:r>
            <w:r>
              <w:rPr>
                <w:sz w:val="17"/>
              </w:rPr>
              <w:t xml:space="preserve"> </w:t>
            </w:r>
            <w:r>
              <w:rPr>
                <w:sz w:val="17"/>
              </w:rPr>
              <w:t xml:space="preserve">unique (table</w:t>
            </w:r>
            <w:r>
              <w:rPr>
                <w:sz w:val="17"/>
              </w:rPr>
              <w:t xml:space="preserve"> </w:t>
            </w:r>
            <w:r>
              <w:rPr>
                <w:rStyle w:val="VerbatimChar"/>
                <w:sz w:val="17"/>
              </w:rPr>
              <w:t xml:space="preserve">stripe_events</w:t>
            </w:r>
            <w:r>
              <w:rPr>
                <w:sz w:val="17"/>
              </w:rPr>
              <w:t xml:space="preserve">) ; traitement tolérant au désordre des événements (relecture de l'objet chez Stripe si besoin).</w:t>
            </w:r>
          </w:p>
        </w:tc>
        <w:tc>
          <w:tcPr>
            <w:tcW w:type="dxa" w:w="1146"/>
          </w:tcPr>
          <w:p>
            <w:pPr>
              <w:pStyle w:val="Compact"/>
              <w:spacing w:after="20"/>
            </w:pPr>
            <w:r>
              <w:rPr>
                <w:sz w:val="17"/>
              </w:rPr>
              <w:t xml:space="preserve">API8/API10</w:t>
            </w:r>
          </w:p>
        </w:tc>
        <w:tc>
          <w:tcPr>
            <w:tcW w:type="dxa" w:w="2449"/>
          </w:tcPr>
          <w:p>
            <w:pPr>
              <w:pStyle w:val="Compact"/>
              <w:spacing w:after="20"/>
            </w:pPr>
            <w:r>
              <w:rPr>
                <w:sz w:val="17"/>
              </w:rPr>
              <w:t xml:space="preserve">Tests : événement non signé → 400 ; même événement reçu deux fois → un seul effet.</w:t>
            </w:r>
          </w:p>
        </w:tc>
      </w:tr>
      <w:tr>
        <w:tc>
          <w:tcPr>
            <w:tcW w:type="dxa" w:w="1146"/>
          </w:tcPr>
          <w:p>
            <w:pPr>
              <w:pStyle w:val="Compact"/>
              <w:spacing w:after="20"/>
            </w:pPr>
            <w:r>
              <w:rPr>
                <w:sz w:val="17"/>
              </w:rPr>
              <w:t xml:space="preserve">SEC-09</w:t>
            </w:r>
          </w:p>
        </w:tc>
        <w:tc>
          <w:tcPr>
            <w:tcW w:type="dxa" w:w="5181"/>
          </w:tcPr>
          <w:p>
            <w:pPr>
              <w:pStyle w:val="Compact"/>
              <w:spacing w:after="20"/>
            </w:pPr>
            <w:r>
              <w:rPr>
                <w:b/>
                <w:bCs/>
                <w:sz w:val="17"/>
              </w:rPr>
              <w:t xml:space="preserve">Idempotence des appels sortants</w:t>
            </w:r>
            <w:r>
              <w:rPr>
                <w:sz w:val="17"/>
              </w:rPr>
              <w:t xml:space="preserve"> </w:t>
            </w:r>
            <w:r>
              <w:rPr>
                <w:sz w:val="17"/>
              </w:rPr>
              <w:t xml:space="preserve">vers Stripe (clé d'idempotence pour les paiements, remboursements et transferts).</w:t>
            </w:r>
          </w:p>
        </w:tc>
        <w:tc>
          <w:tcPr>
            <w:tcW w:type="dxa" w:w="1146"/>
          </w:tcPr>
          <w:p>
            <w:pPr>
              <w:pStyle w:val="Compact"/>
              <w:spacing w:after="20"/>
            </w:pPr>
            <w:r>
              <w:rPr>
                <w:sz w:val="17"/>
              </w:rPr>
              <w:t xml:space="preserve">Doc Stripe</w:t>
            </w:r>
          </w:p>
        </w:tc>
        <w:tc>
          <w:tcPr>
            <w:tcW w:type="dxa" w:w="2449"/>
          </w:tcPr>
          <w:p>
            <w:pPr>
              <w:pStyle w:val="Compact"/>
              <w:spacing w:after="20"/>
            </w:pPr>
            <w:r>
              <w:rPr>
                <w:sz w:val="17"/>
              </w:rPr>
              <w:t xml:space="preserve">Test : double clic ou nouvel essai réseau → un seul paiement ou transfert.</w:t>
            </w:r>
          </w:p>
        </w:tc>
      </w:tr>
      <w:tr>
        <w:tc>
          <w:tcPr>
            <w:tcW w:type="dxa" w:w="1146"/>
          </w:tcPr>
          <w:p>
            <w:pPr>
              <w:pStyle w:val="Compact"/>
              <w:spacing w:after="20"/>
            </w:pPr>
            <w:r>
              <w:rPr>
                <w:sz w:val="17"/>
              </w:rPr>
              <w:t xml:space="preserve">SEC-10</w:t>
            </w:r>
          </w:p>
        </w:tc>
        <w:tc>
          <w:tcPr>
            <w:tcW w:type="dxa" w:w="5181"/>
          </w:tcPr>
          <w:p>
            <w:pPr>
              <w:pStyle w:val="Compact"/>
              <w:spacing w:after="20"/>
            </w:pPr>
            <w:r>
              <w:rPr>
                <w:b/>
                <w:bCs/>
                <w:sz w:val="17"/>
              </w:rPr>
              <w:t xml:space="preserve">Aucune image biométrique stockée</w:t>
            </w:r>
            <w:r>
              <w:rPr>
                <w:sz w:val="17"/>
              </w:rPr>
              <w:t xml:space="preserve"> </w:t>
            </w:r>
            <w:r>
              <w:rPr>
                <w:sz w:val="17"/>
              </w:rPr>
              <w:t xml:space="preserve">par Volis : seulement</w:t>
            </w:r>
            <w:r>
              <w:rPr>
                <w:sz w:val="17"/>
              </w:rPr>
              <w:t xml:space="preserve"> </w:t>
            </w:r>
            <w:r>
              <w:rPr>
                <w:rStyle w:val="VerbatimChar"/>
                <w:sz w:val="17"/>
              </w:rPr>
              <w:t xml:space="preserve">identity_status</w:t>
            </w:r>
            <w:r>
              <w:rPr>
                <w:sz w:val="17"/>
              </w:rPr>
              <w:t xml:space="preserve"> </w:t>
            </w:r>
            <w:r>
              <w:rPr>
                <w:sz w:val="17"/>
              </w:rPr>
              <w:t xml:space="preserve">et l'ID de session Stripe. Durée de conservation minimale configurée chez Stripe ;</w:t>
            </w:r>
            <w:r>
              <w:rPr>
                <w:sz w:val="17"/>
              </w:rPr>
              <w:t xml:space="preserve"> </w:t>
            </w:r>
            <w:r>
              <w:rPr>
                <w:b/>
                <w:bCs/>
                <w:sz w:val="17"/>
              </w:rPr>
              <w:t xml:space="preserve">effacement (redact) de la session Stripe Identity dès que la vérification est faite</w:t>
            </w:r>
            <w:r>
              <w:rPr>
                <w:sz w:val="17"/>
              </w:rPr>
              <w:t xml:space="preserve"> </w:t>
            </w:r>
            <w:r>
              <w:rPr>
                <w:sz w:val="17"/>
              </w:rPr>
              <w:t xml:space="preserve">(voir 3.1 ; la doc Stripe indique que l'effacement peut prendre jusqu'à 4 jours et émet</w:t>
            </w:r>
            <w:r>
              <w:rPr>
                <w:sz w:val="17"/>
              </w:rPr>
              <w:t xml:space="preserve"> </w:t>
            </w:r>
            <w:r>
              <w:rPr>
                <w:rStyle w:val="VerbatimChar"/>
                <w:sz w:val="17"/>
              </w:rPr>
              <w:t xml:space="preserve">identity.verification_session.redacted</w:t>
            </w:r>
            <w:r>
              <w:rPr>
                <w:sz w:val="17"/>
              </w:rPr>
              <w:t xml:space="preserve">).</w:t>
            </w:r>
          </w:p>
        </w:tc>
        <w:tc>
          <w:tcPr>
            <w:tcW w:type="dxa" w:w="1146"/>
          </w:tcPr>
          <w:p>
            <w:pPr>
              <w:pStyle w:val="Compact"/>
              <w:spacing w:after="20"/>
            </w:pPr>
            <w:r>
              <w:rPr>
                <w:sz w:val="17"/>
              </w:rPr>
              <w:t xml:space="preserve">MASVS-PRIVACY-1 ; Loi 25</w:t>
            </w:r>
          </w:p>
        </w:tc>
        <w:tc>
          <w:tcPr>
            <w:tcW w:type="dxa" w:w="2449"/>
          </w:tcPr>
          <w:p>
            <w:pPr>
              <w:pStyle w:val="Compact"/>
              <w:spacing w:after="20"/>
            </w:pPr>
            <w:r>
              <w:rPr>
                <w:sz w:val="17"/>
              </w:rPr>
              <w:t xml:space="preserve">Revue du schéma ; tests : aucun champ ni fichier d'image d'identité.</w:t>
            </w:r>
          </w:p>
        </w:tc>
      </w:tr>
      <w:tr>
        <w:tc>
          <w:tcPr>
            <w:tcW w:type="dxa" w:w="1146"/>
          </w:tcPr>
          <w:p>
            <w:pPr>
              <w:pStyle w:val="Compact"/>
              <w:spacing w:after="20"/>
            </w:pPr>
            <w:r>
              <w:rPr>
                <w:sz w:val="17"/>
              </w:rPr>
              <w:t xml:space="preserve">SEC-11</w:t>
            </w:r>
          </w:p>
        </w:tc>
        <w:tc>
          <w:tcPr>
            <w:tcW w:type="dxa" w:w="5181"/>
          </w:tcPr>
          <w:p>
            <w:pPr>
              <w:pStyle w:val="Compact"/>
              <w:spacing w:after="20"/>
            </w:pPr>
            <w:r>
              <w:rPr>
                <w:b/>
                <w:bCs/>
                <w:sz w:val="17"/>
              </w:rPr>
              <w:t xml:space="preserve">Données bancaires jamais saisies dans nos écrans</w:t>
            </w:r>
            <w:r>
              <w:rPr>
                <w:sz w:val="17"/>
              </w:rPr>
              <w:t xml:space="preserve"> </w:t>
            </w:r>
            <w:r>
              <w:rPr>
                <w:sz w:val="17"/>
              </w:rPr>
              <w:t xml:space="preserve">: onboarding hébergé Stripe ou composants intégrés ; Volis ne stocke que l'ID du compte connecté. Paiement par carte via PaymentSheet / Payment Element (les données de carte ne transitent pas par nos serveurs).</w:t>
            </w:r>
          </w:p>
        </w:tc>
        <w:tc>
          <w:tcPr>
            <w:tcW w:type="dxa" w:w="1146"/>
          </w:tcPr>
          <w:p>
            <w:pPr>
              <w:pStyle w:val="Compact"/>
              <w:spacing w:after="20"/>
            </w:pPr>
            <w:r>
              <w:rPr>
                <w:sz w:val="17"/>
              </w:rPr>
              <w:t xml:space="preserve">Fiche de recherche ; volet légal 5</w:t>
            </w:r>
          </w:p>
        </w:tc>
        <w:tc>
          <w:tcPr>
            <w:tcW w:type="dxa" w:w="2449"/>
          </w:tcPr>
          <w:p>
            <w:pPr>
              <w:pStyle w:val="Compact"/>
              <w:spacing w:after="20"/>
            </w:pPr>
            <w:r>
              <w:rPr>
                <w:sz w:val="17"/>
              </w:rPr>
              <w:t xml:space="preserve">Revue de code ; aucun champ de numéro de compte ou de carte dans l'app.</w:t>
            </w:r>
          </w:p>
        </w:tc>
      </w:tr>
      <w:tr>
        <w:tc>
          <w:tcPr>
            <w:tcW w:type="dxa" w:w="1146"/>
          </w:tcPr>
          <w:p>
            <w:pPr>
              <w:pStyle w:val="Compact"/>
              <w:spacing w:after="20"/>
            </w:pPr>
            <w:r>
              <w:rPr>
                <w:sz w:val="17"/>
              </w:rPr>
              <w:t xml:space="preserve">SEC-12</w:t>
            </w:r>
          </w:p>
        </w:tc>
        <w:tc>
          <w:tcPr>
            <w:tcW w:type="dxa" w:w="5181"/>
          </w:tcPr>
          <w:p>
            <w:pPr>
              <w:pStyle w:val="Compact"/>
              <w:spacing w:after="20"/>
            </w:pPr>
            <w:r>
              <w:rPr>
                <w:b/>
                <w:bCs/>
                <w:sz w:val="17"/>
              </w:rPr>
              <w:t xml:space="preserve">Chiffrement au repos</w:t>
            </w:r>
            <w:r>
              <w:rPr>
                <w:sz w:val="17"/>
              </w:rPr>
              <w:t xml:space="preserve"> </w:t>
            </w:r>
            <w:r>
              <w:rPr>
                <w:sz w:val="17"/>
              </w:rPr>
              <w:t xml:space="preserve">de la base, du stockage et des sauvegardes (fourni par l'hébergeur,</w:t>
            </w:r>
            <w:r>
              <w:rPr>
                <w:sz w:val="17"/>
              </w:rPr>
              <w:t xml:space="preserve"> </w:t>
            </w:r>
            <w:r>
              <w:rPr>
                <w:b/>
                <w:bCs/>
                <w:sz w:val="17"/>
              </w:rPr>
              <w:t xml:space="preserve">à confirmer</w:t>
            </w:r>
            <w:r>
              <w:rPr>
                <w:sz w:val="17"/>
              </w:rPr>
              <w:t xml:space="preserve"> </w:t>
            </w:r>
            <w:r>
              <w:rPr>
                <w:sz w:val="17"/>
              </w:rPr>
              <w:t xml:space="preserve">dans sa documentation) ; chiffrement supplémentaire au niveau des colonnes pour les champs les plus sensibles si nécessaire.</w:t>
            </w:r>
          </w:p>
        </w:tc>
        <w:tc>
          <w:tcPr>
            <w:tcW w:type="dxa" w:w="1146"/>
          </w:tcPr>
          <w:p>
            <w:pPr>
              <w:pStyle w:val="Compact"/>
              <w:spacing w:after="20"/>
            </w:pPr>
            <w:r>
              <w:rPr>
                <w:sz w:val="17"/>
              </w:rPr>
              <w:t xml:space="preserve">MASVS-CRYPTO ; Loi 25</w:t>
            </w:r>
          </w:p>
        </w:tc>
        <w:tc>
          <w:tcPr>
            <w:tcW w:type="dxa" w:w="2449"/>
          </w:tcPr>
          <w:p>
            <w:pPr>
              <w:pStyle w:val="Compact"/>
              <w:spacing w:after="20"/>
            </w:pPr>
            <w:r>
              <w:rPr>
                <w:sz w:val="17"/>
              </w:rPr>
              <w:t xml:space="preserve">Attestation de l'hébergeur ; revue de config.</w:t>
            </w:r>
          </w:p>
        </w:tc>
      </w:tr>
      <w:tr>
        <w:tc>
          <w:tcPr>
            <w:tcW w:type="dxa" w:w="1146"/>
          </w:tcPr>
          <w:p>
            <w:pPr>
              <w:pStyle w:val="Compact"/>
              <w:spacing w:after="20"/>
            </w:pPr>
            <w:r>
              <w:rPr>
                <w:sz w:val="17"/>
              </w:rPr>
              <w:t xml:space="preserve">SEC-13</w:t>
            </w:r>
          </w:p>
        </w:tc>
        <w:tc>
          <w:tcPr>
            <w:tcW w:type="dxa" w:w="5181"/>
          </w:tcPr>
          <w:p>
            <w:pPr>
              <w:pStyle w:val="Compact"/>
              <w:spacing w:after="20"/>
            </w:pPr>
            <w:r>
              <w:rPr>
                <w:b/>
                <w:bCs/>
                <w:sz w:val="17"/>
              </w:rPr>
              <w:t xml:space="preserve">Journalisation sans données personnelles</w:t>
            </w:r>
            <w:r>
              <w:rPr>
                <w:sz w:val="17"/>
              </w:rPr>
              <w:t xml:space="preserve"> </w:t>
            </w:r>
            <w:r>
              <w:rPr>
                <w:sz w:val="17"/>
              </w:rPr>
              <w:t xml:space="preserve">: identifiants techniques seulement ; masquage (scrubbing) dans Sentry ; aucun jeton, courriel, adresse ou contenu de message dans les journaux. Durées de conservation des journaux</w:t>
            </w:r>
            <w:r>
              <w:rPr>
                <w:sz w:val="17"/>
              </w:rPr>
              <w:t xml:space="preserve"> </w:t>
            </w:r>
            <w:r>
              <w:rPr>
                <w:b/>
                <w:bCs/>
                <w:sz w:val="17"/>
              </w:rPr>
              <w:t xml:space="preserve">à décider</w:t>
            </w:r>
            <w:r>
              <w:rPr>
                <w:sz w:val="17"/>
              </w:rPr>
              <w:t xml:space="preserve">.</w:t>
            </w:r>
          </w:p>
        </w:tc>
        <w:tc>
          <w:tcPr>
            <w:tcW w:type="dxa" w:w="1146"/>
          </w:tcPr>
          <w:p>
            <w:pPr>
              <w:pStyle w:val="Compact"/>
              <w:spacing w:after="20"/>
            </w:pPr>
            <w:r>
              <w:rPr>
                <w:sz w:val="17"/>
              </w:rPr>
              <w:t xml:space="preserve">MASVS-STORAGE-2 ; guide 5.4</w:t>
            </w:r>
          </w:p>
        </w:tc>
        <w:tc>
          <w:tcPr>
            <w:tcW w:type="dxa" w:w="2449"/>
          </w:tcPr>
          <w:p>
            <w:pPr>
              <w:pStyle w:val="Compact"/>
              <w:spacing w:after="20"/>
            </w:pPr>
            <w:r>
              <w:rPr>
                <w:sz w:val="17"/>
              </w:rPr>
              <w:t xml:space="preserve">Test : recherche de motifs (courriel, jeton) dans les journaux = 0.</w:t>
            </w:r>
          </w:p>
        </w:tc>
      </w:tr>
      <w:tr>
        <w:tc>
          <w:tcPr>
            <w:tcW w:type="dxa" w:w="1146"/>
          </w:tcPr>
          <w:p>
            <w:pPr>
              <w:pStyle w:val="Compact"/>
              <w:spacing w:after="20"/>
            </w:pPr>
            <w:r>
              <w:rPr>
                <w:sz w:val="17"/>
              </w:rPr>
              <w:t xml:space="preserve">SEC-14</w:t>
            </w:r>
          </w:p>
        </w:tc>
        <w:tc>
          <w:tcPr>
            <w:tcW w:type="dxa" w:w="5181"/>
          </w:tcPr>
          <w:p>
            <w:pPr>
              <w:pStyle w:val="Compact"/>
              <w:spacing w:after="20"/>
            </w:pPr>
            <w:r>
              <w:rPr>
                <w:b/>
                <w:bCs/>
                <w:sz w:val="17"/>
              </w:rPr>
              <w:t xml:space="preserve">Limitation de débit</w:t>
            </w:r>
            <w:r>
              <w:rPr>
                <w:sz w:val="17"/>
              </w:rPr>
              <w:t xml:space="preserve"> </w:t>
            </w:r>
            <w:r>
              <w:rPr>
                <w:sz w:val="17"/>
              </w:rPr>
              <w:t xml:space="preserve">sur l'authentification, la réinitialisation, l'envoi de messages, la création d'annonces et les fonctions coûteuses ; quotas par utilisateur, IP et appareil. Seuils</w:t>
            </w:r>
            <w:r>
              <w:rPr>
                <w:sz w:val="17"/>
              </w:rPr>
              <w:t xml:space="preserve"> </w:t>
            </w:r>
            <w:r>
              <w:rPr>
                <w:b/>
                <w:bCs/>
                <w:sz w:val="17"/>
              </w:rPr>
              <w:t xml:space="preserve">à décider</w:t>
            </w:r>
            <w:r>
              <w:rPr>
                <w:sz w:val="17"/>
              </w:rPr>
              <w:t xml:space="preserve">.</w:t>
            </w:r>
          </w:p>
        </w:tc>
        <w:tc>
          <w:tcPr>
            <w:tcW w:type="dxa" w:w="1146"/>
          </w:tcPr>
          <w:p>
            <w:pPr>
              <w:pStyle w:val="Compact"/>
              <w:spacing w:after="20"/>
            </w:pPr>
            <w:r>
              <w:rPr>
                <w:sz w:val="17"/>
              </w:rPr>
              <w:t xml:space="preserve">API4/API6</w:t>
            </w:r>
          </w:p>
        </w:tc>
        <w:tc>
          <w:tcPr>
            <w:tcW w:type="dxa" w:w="2449"/>
          </w:tcPr>
          <w:p>
            <w:pPr>
              <w:pStyle w:val="Compact"/>
              <w:spacing w:after="20"/>
            </w:pPr>
            <w:r>
              <w:rPr>
                <w:sz w:val="17"/>
              </w:rPr>
              <w:t xml:space="preserve">Test de charge ciblé : dépassement → 429.</w:t>
            </w:r>
          </w:p>
        </w:tc>
      </w:tr>
      <w:tr>
        <w:tc>
          <w:tcPr>
            <w:tcW w:type="dxa" w:w="1146"/>
          </w:tcPr>
          <w:p>
            <w:pPr>
              <w:pStyle w:val="Compact"/>
              <w:spacing w:after="20"/>
            </w:pPr>
            <w:r>
              <w:rPr>
                <w:sz w:val="17"/>
              </w:rPr>
              <w:t xml:space="preserve">SEC-15</w:t>
            </w:r>
          </w:p>
        </w:tc>
        <w:tc>
          <w:tcPr>
            <w:tcW w:type="dxa" w:w="5181"/>
          </w:tcPr>
          <w:p>
            <w:pPr>
              <w:pStyle w:val="Compact"/>
              <w:spacing w:after="20"/>
            </w:pPr>
            <w:r>
              <w:rPr>
                <w:b/>
                <w:bCs/>
                <w:sz w:val="17"/>
              </w:rPr>
              <w:t xml:space="preserve">Anti-fraude</w:t>
            </w:r>
            <w:r>
              <w:rPr>
                <w:sz w:val="17"/>
              </w:rPr>
              <w:t xml:space="preserve"> </w:t>
            </w:r>
            <w:r>
              <w:rPr>
                <w:sz w:val="17"/>
              </w:rPr>
              <w:t xml:space="preserve">: Stripe Radar sur les paiements ;</w:t>
            </w:r>
            <w:r>
              <w:rPr>
                <w:sz w:val="17"/>
              </w:rPr>
              <w:t xml:space="preserve"> </w:t>
            </w:r>
            <w:r>
              <w:rPr>
                <w:b/>
                <w:bCs/>
                <w:sz w:val="17"/>
              </w:rPr>
              <w:t xml:space="preserve">vérification d'identité obligatoire avant la première transaction</w:t>
            </w:r>
            <w:r>
              <w:rPr>
                <w:sz w:val="17"/>
              </w:rPr>
              <w:t xml:space="preserve"> </w:t>
            </w:r>
            <w:r>
              <w:rPr>
                <w:sz w:val="17"/>
              </w:rPr>
              <w:t xml:space="preserve">(expéditeur et voyageur, périmètre</w:t>
            </w:r>
            <w:r>
              <w:rPr>
                <w:sz w:val="17"/>
              </w:rPr>
              <w:t xml:space="preserve"> </w:t>
            </w:r>
            <w:r>
              <w:rPr>
                <w:b/>
                <w:bCs/>
                <w:sz w:val="17"/>
              </w:rPr>
              <w:t xml:space="preserve">à confirmer</w:t>
            </w:r>
            <w:r>
              <w:rPr>
                <w:sz w:val="17"/>
              </w:rPr>
              <w:t xml:space="preserve">) ; signalements d'utilisateurs ; suspension du transfert en cas d'alerte ; attestation d'app (Play Integrity / App Attest) à évaluer.</w:t>
            </w:r>
          </w:p>
        </w:tc>
        <w:tc>
          <w:tcPr>
            <w:tcW w:type="dxa" w:w="1146"/>
          </w:tcPr>
          <w:p>
            <w:pPr>
              <w:pStyle w:val="Compact"/>
              <w:spacing w:after="20"/>
            </w:pPr>
            <w:r>
              <w:rPr>
                <w:sz w:val="17"/>
              </w:rPr>
              <w:t xml:space="preserve">API6 ; MASVS-RESILIENCE</w:t>
            </w:r>
          </w:p>
        </w:tc>
        <w:tc>
          <w:tcPr>
            <w:tcW w:type="dxa" w:w="2449"/>
          </w:tcPr>
          <w:p>
            <w:pPr>
              <w:pStyle w:val="Compact"/>
              <w:spacing w:after="20"/>
            </w:pPr>
            <w:r>
              <w:rPr>
                <w:sz w:val="17"/>
              </w:rPr>
              <w:t xml:space="preserve">Test : réservation refusée sans</w:t>
            </w:r>
            <w:r>
              <w:rPr>
                <w:sz w:val="17"/>
              </w:rPr>
              <w:t xml:space="preserve"> </w:t>
            </w:r>
            <w:r>
              <w:rPr>
                <w:rStyle w:val="VerbatimChar"/>
                <w:sz w:val="17"/>
              </w:rPr>
              <w:t xml:space="preserve">identity_status = verified</w:t>
            </w:r>
            <w:r>
              <w:rPr>
                <w:sz w:val="17"/>
              </w:rPr>
              <w:t xml:space="preserve">.</w:t>
            </w:r>
          </w:p>
        </w:tc>
      </w:tr>
      <w:tr>
        <w:tc>
          <w:tcPr>
            <w:tcW w:type="dxa" w:w="1146"/>
          </w:tcPr>
          <w:p>
            <w:pPr>
              <w:pStyle w:val="Compact"/>
              <w:spacing w:after="20"/>
            </w:pPr>
            <w:r>
              <w:rPr>
                <w:sz w:val="17"/>
              </w:rPr>
              <w:t xml:space="preserve">SEC-16</w:t>
            </w:r>
          </w:p>
        </w:tc>
        <w:tc>
          <w:tcPr>
            <w:tcW w:type="dxa" w:w="5181"/>
          </w:tcPr>
          <w:p>
            <w:pPr>
              <w:pStyle w:val="Compact"/>
              <w:spacing w:after="20"/>
            </w:pPr>
            <w:r>
              <w:rPr>
                <w:b/>
                <w:bCs/>
                <w:sz w:val="17"/>
              </w:rPr>
              <w:t xml:space="preserve">Modération</w:t>
            </w:r>
            <w:r>
              <w:rPr>
                <w:sz w:val="17"/>
              </w:rPr>
              <w:t xml:space="preserve"> </w:t>
            </w:r>
            <w:r>
              <w:rPr>
                <w:sz w:val="17"/>
              </w:rPr>
              <w:t xml:space="preserve">des photos et des messages : signalement depuis l'app, file de modération, blocage d'un utilisateur ; analyse automatique (service</w:t>
            </w:r>
            <w:r>
              <w:rPr>
                <w:sz w:val="17"/>
              </w:rPr>
              <w:t xml:space="preserve"> </w:t>
            </w:r>
            <w:r>
              <w:rPr>
                <w:b/>
                <w:bCs/>
                <w:sz w:val="17"/>
              </w:rPr>
              <w:t xml:space="preserve">à confirmer</w:t>
            </w:r>
            <w:r>
              <w:rPr>
                <w:sz w:val="17"/>
              </w:rPr>
              <w:t xml:space="preserve">).</w:t>
            </w:r>
          </w:p>
        </w:tc>
        <w:tc>
          <w:tcPr>
            <w:tcW w:type="dxa" w:w="1146"/>
          </w:tcPr>
          <w:p>
            <w:pPr>
              <w:pStyle w:val="Compact"/>
              <w:spacing w:after="20"/>
            </w:pPr>
            <w:r>
              <w:rPr>
                <w:sz w:val="17"/>
              </w:rPr>
              <w:t xml:space="preserve">MASVS-PLATFORM-3 ; exigences des stores sur le contenu des utilisateurs (</w:t>
            </w:r>
            <w:r>
              <w:rPr>
                <w:b/>
                <w:bCs/>
                <w:sz w:val="17"/>
              </w:rPr>
              <w:t xml:space="preserve">à confirmer</w:t>
            </w:r>
            <w:r>
              <w:rPr>
                <w:sz w:val="17"/>
              </w:rPr>
              <w:t xml:space="preserve">)</w:t>
            </w:r>
          </w:p>
        </w:tc>
        <w:tc>
          <w:tcPr>
            <w:tcW w:type="dxa" w:w="2449"/>
          </w:tcPr>
          <w:p>
            <w:pPr>
              <w:pStyle w:val="Compact"/>
              <w:spacing w:after="20"/>
            </w:pPr>
            <w:r>
              <w:rPr>
                <w:sz w:val="17"/>
              </w:rPr>
              <w:t xml:space="preserve">Test E2E : message signalé → masqué en attente de révision.</w:t>
            </w:r>
          </w:p>
        </w:tc>
      </w:tr>
      <w:tr>
        <w:tc>
          <w:tcPr>
            <w:tcW w:type="dxa" w:w="1146"/>
          </w:tcPr>
          <w:p>
            <w:pPr>
              <w:pStyle w:val="Compact"/>
              <w:spacing w:after="20"/>
            </w:pPr>
            <w:r>
              <w:rPr>
                <w:sz w:val="17"/>
              </w:rPr>
              <w:t xml:space="preserve">SEC-17</w:t>
            </w:r>
          </w:p>
        </w:tc>
        <w:tc>
          <w:tcPr>
            <w:tcW w:type="dxa" w:w="5181"/>
          </w:tcPr>
          <w:p>
            <w:pPr>
              <w:pStyle w:val="Compact"/>
              <w:spacing w:after="20"/>
            </w:pPr>
            <w:r>
              <w:rPr>
                <w:b/>
                <w:bCs/>
                <w:sz w:val="17"/>
              </w:rPr>
              <w:t xml:space="preserve">Photos</w:t>
            </w:r>
            <w:r>
              <w:rPr>
                <w:sz w:val="17"/>
              </w:rPr>
              <w:t xml:space="preserve"> </w:t>
            </w:r>
            <w:r>
              <w:rPr>
                <w:sz w:val="17"/>
              </w:rPr>
              <w:t xml:space="preserve">: compartiments privés ; URL signées de courte durée ; EXIF retiré ; types et tailles de fichiers validés côté serveur.</w:t>
            </w:r>
          </w:p>
        </w:tc>
        <w:tc>
          <w:tcPr>
            <w:tcW w:type="dxa" w:w="1146"/>
          </w:tcPr>
          <w:p>
            <w:pPr>
              <w:pStyle w:val="Compact"/>
              <w:spacing w:after="20"/>
            </w:pPr>
            <w:r>
              <w:rPr>
                <w:sz w:val="17"/>
              </w:rPr>
              <w:t xml:space="preserve">MASVS-CODE-4 ; PRIVACY</w:t>
            </w:r>
          </w:p>
        </w:tc>
        <w:tc>
          <w:tcPr>
            <w:tcW w:type="dxa" w:w="2449"/>
          </w:tcPr>
          <w:p>
            <w:pPr>
              <w:pStyle w:val="Compact"/>
              <w:spacing w:after="20"/>
            </w:pPr>
            <w:r>
              <w:rPr>
                <w:sz w:val="17"/>
              </w:rPr>
              <w:t xml:space="preserve">Test : URL d'une photo d'une autre réservation → refusée.</w:t>
            </w:r>
          </w:p>
        </w:tc>
      </w:tr>
      <w:tr>
        <w:tc>
          <w:tcPr>
            <w:tcW w:type="dxa" w:w="1146"/>
          </w:tcPr>
          <w:p>
            <w:pPr>
              <w:pStyle w:val="Compact"/>
              <w:spacing w:after="20"/>
            </w:pPr>
            <w:r>
              <w:rPr>
                <w:sz w:val="17"/>
              </w:rPr>
              <w:t xml:space="preserve">SEC-18</w:t>
            </w:r>
          </w:p>
        </w:tc>
        <w:tc>
          <w:tcPr>
            <w:tcW w:type="dxa" w:w="5181"/>
          </w:tcPr>
          <w:p>
            <w:pPr>
              <w:pStyle w:val="Compact"/>
              <w:spacing w:after="20"/>
            </w:pPr>
            <w:r>
              <w:rPr>
                <w:b/>
                <w:bCs/>
                <w:sz w:val="17"/>
              </w:rPr>
              <w:t xml:space="preserve">Sauvegardes</w:t>
            </w:r>
            <w:r>
              <w:rPr>
                <w:sz w:val="17"/>
              </w:rPr>
              <w:t xml:space="preserve"> </w:t>
            </w:r>
            <w:r>
              <w:rPr>
                <w:sz w:val="17"/>
              </w:rPr>
              <w:t xml:space="preserve">: sauvegardes automatiques et restauration testée ; fréquence et durée de rétention</w:t>
            </w:r>
            <w:r>
              <w:rPr>
                <w:sz w:val="17"/>
              </w:rPr>
              <w:t xml:space="preserve"> </w:t>
            </w:r>
            <w:r>
              <w:rPr>
                <w:b/>
                <w:bCs/>
                <w:sz w:val="17"/>
              </w:rPr>
              <w:t xml:space="preserve">à décider</w:t>
            </w:r>
            <w:r>
              <w:rPr>
                <w:sz w:val="17"/>
              </w:rPr>
              <w:t xml:space="preserve"> </w:t>
            </w:r>
            <w:r>
              <w:rPr>
                <w:sz w:val="17"/>
              </w:rPr>
              <w:t xml:space="preserve">selon l'offre de l'hébergeur.</w:t>
            </w:r>
          </w:p>
        </w:tc>
        <w:tc>
          <w:tcPr>
            <w:tcW w:type="dxa" w:w="1146"/>
          </w:tcPr>
          <w:p>
            <w:pPr>
              <w:pStyle w:val="Compact"/>
              <w:spacing w:after="20"/>
            </w:pPr>
            <w:r>
              <w:rPr>
                <w:sz w:val="17"/>
              </w:rPr>
              <w:t xml:space="preserve">Guide 5.5</w:t>
            </w:r>
          </w:p>
        </w:tc>
        <w:tc>
          <w:tcPr>
            <w:tcW w:type="dxa" w:w="2449"/>
          </w:tcPr>
          <w:p>
            <w:pPr>
              <w:pStyle w:val="Compact"/>
              <w:spacing w:after="20"/>
            </w:pPr>
            <w:r>
              <w:rPr>
                <w:sz w:val="17"/>
              </w:rPr>
              <w:t xml:space="preserve">Exercice de restauration documenté avant le lancement.</w:t>
            </w:r>
          </w:p>
        </w:tc>
      </w:tr>
      <w:tr>
        <w:tc>
          <w:tcPr>
            <w:tcW w:type="dxa" w:w="1146"/>
          </w:tcPr>
          <w:p>
            <w:pPr>
              <w:pStyle w:val="Compact"/>
              <w:spacing w:after="20"/>
            </w:pPr>
            <w:r>
              <w:rPr>
                <w:sz w:val="17"/>
              </w:rPr>
              <w:t xml:space="preserve">SEC-19</w:t>
            </w:r>
          </w:p>
        </w:tc>
        <w:tc>
          <w:tcPr>
            <w:tcW w:type="dxa" w:w="5181"/>
          </w:tcPr>
          <w:p>
            <w:pPr>
              <w:pStyle w:val="Compact"/>
              <w:spacing w:after="20"/>
            </w:pPr>
            <w:r>
              <w:rPr>
                <w:b/>
                <w:bCs/>
                <w:sz w:val="17"/>
              </w:rPr>
              <w:t xml:space="preserve">Suppression du compte dans l'app</w:t>
            </w:r>
            <w:r>
              <w:rPr>
                <w:sz w:val="17"/>
              </w:rPr>
              <w:t xml:space="preserve"> </w:t>
            </w:r>
            <w:r>
              <w:rPr>
                <w:sz w:val="17"/>
              </w:rPr>
              <w:t xml:space="preserve">(exigée par Apple, règle 5.1.1(v)) et</w:t>
            </w:r>
            <w:r>
              <w:rPr>
                <w:sz w:val="17"/>
              </w:rPr>
              <w:t xml:space="preserve"> </w:t>
            </w:r>
            <w:r>
              <w:rPr>
                <w:b/>
                <w:bCs/>
                <w:sz w:val="17"/>
              </w:rPr>
              <w:t xml:space="preserve">export des données</w:t>
            </w:r>
            <w:r>
              <w:rPr>
                <w:sz w:val="17"/>
              </w:rPr>
              <w:t xml:space="preserve"> </w:t>
            </w:r>
            <w:r>
              <w:rPr>
                <w:sz w:val="17"/>
              </w:rPr>
              <w:t xml:space="preserve">dans un format structuré (portabilité, Loi 25). Les données soumises à une obligation de conservation (paiements, preuves de litige, consentements, registre des incidents) sont conservées selon le tableau 3.1, puis détruites ou anonymisées.</w:t>
            </w:r>
          </w:p>
        </w:tc>
        <w:tc>
          <w:tcPr>
            <w:tcW w:type="dxa" w:w="1146"/>
          </w:tcPr>
          <w:p>
            <w:pPr>
              <w:pStyle w:val="Compact"/>
              <w:spacing w:after="20"/>
            </w:pPr>
            <w:r>
              <w:rPr>
                <w:sz w:val="17"/>
              </w:rPr>
              <w:t xml:space="preserve">MASVS-PRIVACY-4</w:t>
            </w:r>
          </w:p>
        </w:tc>
        <w:tc>
          <w:tcPr>
            <w:tcW w:type="dxa" w:w="2449"/>
          </w:tcPr>
          <w:p>
            <w:pPr>
              <w:pStyle w:val="Compact"/>
              <w:spacing w:after="20"/>
            </w:pPr>
            <w:r>
              <w:rPr>
                <w:sz w:val="17"/>
              </w:rPr>
              <w:t xml:space="preserve">Test E2E : suppression → session révoquée, données effacées ou anonymisées, export JSON disponible.</w:t>
            </w:r>
          </w:p>
        </w:tc>
      </w:tr>
      <w:tr>
        <w:tc>
          <w:tcPr>
            <w:tcW w:type="dxa" w:w="1146"/>
          </w:tcPr>
          <w:p>
            <w:pPr>
              <w:pStyle w:val="Compact"/>
              <w:spacing w:after="20"/>
            </w:pPr>
            <w:r>
              <w:rPr>
                <w:sz w:val="17"/>
              </w:rPr>
              <w:t xml:space="preserve">SEC-20</w:t>
            </w:r>
          </w:p>
        </w:tc>
        <w:tc>
          <w:tcPr>
            <w:tcW w:type="dxa" w:w="5181"/>
          </w:tcPr>
          <w:p>
            <w:pPr>
              <w:pStyle w:val="Compact"/>
              <w:spacing w:after="20"/>
            </w:pPr>
            <w:r>
              <w:rPr>
                <w:b/>
                <w:bCs/>
                <w:sz w:val="17"/>
              </w:rPr>
              <w:t xml:space="preserve">Plan de réponse aux incidents</w:t>
            </w:r>
            <w:r>
              <w:rPr>
                <w:sz w:val="17"/>
              </w:rPr>
              <w:t xml:space="preserve"> </w:t>
            </w:r>
            <w:r>
              <w:rPr>
                <w:sz w:val="17"/>
              </w:rPr>
              <w:t xml:space="preserve">: détection → confinement (révocation des jetons, désactivation de fonctions, version minimale) → correctif → évaluation du préjudice → avis à la CAI et aux personnes si risque de préjudice sérieux →</w:t>
            </w:r>
            <w:r>
              <w:rPr>
                <w:sz w:val="17"/>
              </w:rPr>
              <w:t xml:space="preserve"> </w:t>
            </w:r>
            <w:r>
              <w:rPr>
                <w:b/>
                <w:bCs/>
                <w:sz w:val="17"/>
              </w:rPr>
              <w:t xml:space="preserve">registre des incidents</w:t>
            </w:r>
            <w:r>
              <w:rPr>
                <w:sz w:val="17"/>
              </w:rPr>
              <w:t xml:space="preserve"> </w:t>
            </w:r>
            <w:r>
              <w:rPr>
                <w:sz w:val="17"/>
              </w:rPr>
              <w:t xml:space="preserve">(</w:t>
            </w:r>
            <w:r>
              <w:rPr>
                <w:rStyle w:val="VerbatimChar"/>
                <w:sz w:val="17"/>
              </w:rPr>
              <w:t xml:space="preserve">security_incidents</w:t>
            </w:r>
            <w:r>
              <w:rPr>
                <w:sz w:val="17"/>
              </w:rPr>
              <w:t xml:space="preserve">).</w:t>
            </w:r>
          </w:p>
        </w:tc>
        <w:tc>
          <w:tcPr>
            <w:tcW w:type="dxa" w:w="1146"/>
          </w:tcPr>
          <w:p>
            <w:pPr>
              <w:pStyle w:val="Compact"/>
              <w:spacing w:after="20"/>
            </w:pPr>
            <w:r>
              <w:rPr>
                <w:sz w:val="17"/>
              </w:rPr>
              <w:t xml:space="preserve">Guide 5.5 ; Loi 25</w:t>
            </w:r>
          </w:p>
        </w:tc>
        <w:tc>
          <w:tcPr>
            <w:tcW w:type="dxa" w:w="2449"/>
          </w:tcPr>
          <w:p>
            <w:pPr>
              <w:pStyle w:val="Compact"/>
              <w:spacing w:after="20"/>
            </w:pPr>
            <w:r>
              <w:rPr>
                <w:sz w:val="17"/>
              </w:rPr>
              <w:t xml:space="preserve">Exercice sur table avant le lancement.</w:t>
            </w:r>
          </w:p>
        </w:tc>
      </w:tr>
      <w:tr>
        <w:tc>
          <w:tcPr>
            <w:tcW w:type="dxa" w:w="1146"/>
          </w:tcPr>
          <w:p>
            <w:pPr>
              <w:pStyle w:val="Compact"/>
              <w:spacing w:after="20"/>
            </w:pPr>
            <w:r>
              <w:rPr>
                <w:sz w:val="17"/>
              </w:rPr>
              <w:t xml:space="preserve">SEC-21</w:t>
            </w:r>
          </w:p>
        </w:tc>
        <w:tc>
          <w:tcPr>
            <w:tcW w:type="dxa" w:w="5181"/>
          </w:tcPr>
          <w:p>
            <w:pPr>
              <w:pStyle w:val="Compact"/>
              <w:spacing w:after="20"/>
            </w:pPr>
            <w:r>
              <w:rPr>
                <w:b/>
                <w:bCs/>
                <w:sz w:val="17"/>
              </w:rPr>
              <w:t xml:space="preserve">Mise à jour forcée</w:t>
            </w:r>
            <w:r>
              <w:rPr>
                <w:sz w:val="17"/>
              </w:rPr>
              <w:t xml:space="preserve"> </w:t>
            </w:r>
            <w:r>
              <w:rPr>
                <w:sz w:val="17"/>
              </w:rPr>
              <w:t xml:space="preserve">: version minimale renvoyée par le backend, qui bloque les versions vulnérables.</w:t>
            </w:r>
          </w:p>
        </w:tc>
        <w:tc>
          <w:tcPr>
            <w:tcW w:type="dxa" w:w="1146"/>
          </w:tcPr>
          <w:p>
            <w:pPr>
              <w:pStyle w:val="Compact"/>
              <w:spacing w:after="20"/>
            </w:pPr>
            <w:r>
              <w:rPr>
                <w:sz w:val="17"/>
              </w:rPr>
              <w:t xml:space="preserve">MASVS-CODE-2</w:t>
            </w:r>
          </w:p>
        </w:tc>
        <w:tc>
          <w:tcPr>
            <w:tcW w:type="dxa" w:w="2449"/>
          </w:tcPr>
          <w:p>
            <w:pPr>
              <w:pStyle w:val="Compact"/>
              <w:spacing w:after="20"/>
            </w:pPr>
            <w:r>
              <w:rPr>
                <w:sz w:val="17"/>
              </w:rPr>
              <w:t xml:space="preserve">Test : version inférieure au minimum → écran de mise à jour.</w:t>
            </w:r>
          </w:p>
        </w:tc>
      </w:tr>
      <w:tr>
        <w:tc>
          <w:tcPr>
            <w:tcW w:type="dxa" w:w="1146"/>
          </w:tcPr>
          <w:p>
            <w:pPr>
              <w:pStyle w:val="Compact"/>
              <w:spacing w:after="20"/>
            </w:pPr>
            <w:r>
              <w:rPr>
                <w:sz w:val="17"/>
              </w:rPr>
              <w:t xml:space="preserve">SEC-22</w:t>
            </w:r>
          </w:p>
        </w:tc>
        <w:tc>
          <w:tcPr>
            <w:tcW w:type="dxa" w:w="5181"/>
          </w:tcPr>
          <w:p>
            <w:pPr>
              <w:pStyle w:val="Compact"/>
              <w:spacing w:after="20"/>
            </w:pPr>
            <w:r>
              <w:rPr>
                <w:b/>
                <w:bCs/>
                <w:sz w:val="17"/>
              </w:rPr>
              <w:t xml:space="preserve">Tests de sécurité</w:t>
            </w:r>
            <w:r>
              <w:rPr>
                <w:sz w:val="17"/>
              </w:rPr>
              <w:t xml:space="preserve"> </w:t>
            </w:r>
            <w:r>
              <w:rPr>
                <w:sz w:val="17"/>
              </w:rPr>
              <w:t xml:space="preserve">: SAST (CodeQL ou Semgrep) et SCA (Dependabot/Renovate,</w:t>
            </w:r>
            <w:r>
              <w:rPr>
                <w:sz w:val="17"/>
              </w:rPr>
              <w:t xml:space="preserve"> </w:t>
            </w:r>
            <w:r>
              <w:rPr>
                <w:rStyle w:val="VerbatimChar"/>
                <w:sz w:val="17"/>
              </w:rPr>
              <w:t xml:space="preserve">npm audit</w:t>
            </w:r>
            <w:r>
              <w:rPr>
                <w:sz w:val="17"/>
              </w:rPr>
              <w:t xml:space="preserve">, OSV-Scanner) à chaque PR ; scan de secrets ; analyse</w:t>
            </w:r>
            <w:r>
              <w:rPr>
                <w:sz w:val="17"/>
              </w:rPr>
              <w:t xml:space="preserve"> </w:t>
            </w:r>
            <w:r>
              <w:rPr>
                <w:b/>
                <w:bCs/>
                <w:sz w:val="17"/>
              </w:rPr>
              <w:t xml:space="preserve">MobSF</w:t>
            </w:r>
            <w:r>
              <w:rPr>
                <w:sz w:val="17"/>
              </w:rPr>
              <w:t xml:space="preserve"> </w:t>
            </w:r>
            <w:r>
              <w:rPr>
                <w:sz w:val="17"/>
              </w:rPr>
              <w:t xml:space="preserve">des builds de release ;</w:t>
            </w:r>
            <w:r>
              <w:rPr>
                <w:sz w:val="17"/>
              </w:rPr>
              <w:t xml:space="preserve"> </w:t>
            </w:r>
            <w:r>
              <w:rPr>
                <w:b/>
                <w:bCs/>
                <w:sz w:val="17"/>
              </w:rPr>
              <w:t xml:space="preserve">test d'intrusion par un tiers avant le lancement</w:t>
            </w:r>
            <w:r>
              <w:rPr>
                <w:sz w:val="17"/>
              </w:rPr>
              <w:t xml:space="preserve"> </w:t>
            </w:r>
            <w:r>
              <w:rPr>
                <w:sz w:val="17"/>
              </w:rPr>
              <w:t xml:space="preserve">(MASVS/MASTG + API).</w:t>
            </w:r>
          </w:p>
        </w:tc>
        <w:tc>
          <w:tcPr>
            <w:tcW w:type="dxa" w:w="1146"/>
          </w:tcPr>
          <w:p>
            <w:pPr>
              <w:pStyle w:val="Compact"/>
              <w:spacing w:after="20"/>
            </w:pPr>
            <w:r>
              <w:rPr>
                <w:sz w:val="17"/>
              </w:rPr>
              <w:t xml:space="preserve">MASVS-CODE-3 ; guide 2.6–2.7</w:t>
            </w:r>
          </w:p>
        </w:tc>
        <w:tc>
          <w:tcPr>
            <w:tcW w:type="dxa" w:w="2449"/>
          </w:tcPr>
          <w:p>
            <w:pPr>
              <w:pStyle w:val="Compact"/>
              <w:spacing w:after="20"/>
            </w:pPr>
            <w:r>
              <w:rPr>
                <w:sz w:val="17"/>
              </w:rPr>
              <w:t xml:space="preserve">CI verte sans vulnérabilité critique ; rapport de pentest avec constats corrigés.</w:t>
            </w:r>
          </w:p>
        </w:tc>
      </w:tr>
      <w:tr>
        <w:tc>
          <w:tcPr>
            <w:tcW w:type="dxa" w:w="1146"/>
          </w:tcPr>
          <w:p>
            <w:pPr>
              <w:pStyle w:val="Compact"/>
              <w:spacing w:after="20"/>
            </w:pPr>
            <w:r>
              <w:rPr>
                <w:sz w:val="17"/>
              </w:rPr>
              <w:t xml:space="preserve">SEC-23</w:t>
            </w:r>
          </w:p>
        </w:tc>
        <w:tc>
          <w:tcPr>
            <w:tcW w:type="dxa" w:w="5181"/>
          </w:tcPr>
          <w:p>
            <w:pPr>
              <w:pStyle w:val="Compact"/>
              <w:spacing w:after="20"/>
            </w:pPr>
            <w:r>
              <w:rPr>
                <w:b/>
                <w:bCs/>
                <w:sz w:val="17"/>
              </w:rPr>
              <w:t xml:space="preserve">Liens profonds</w:t>
            </w:r>
            <w:r>
              <w:rPr>
                <w:sz w:val="17"/>
              </w:rPr>
              <w:t xml:space="preserve"> </w:t>
            </w:r>
            <w:r>
              <w:rPr>
                <w:sz w:val="17"/>
              </w:rPr>
              <w:t xml:space="preserve">validés comme des entrées non fiables ; Universal Links / App Links pour les retours d'onboarding Stripe et d'authentification ; aucun jeton dans un lien.</w:t>
            </w:r>
          </w:p>
        </w:tc>
        <w:tc>
          <w:tcPr>
            <w:tcW w:type="dxa" w:w="1146"/>
          </w:tcPr>
          <w:p>
            <w:pPr>
              <w:pStyle w:val="Compact"/>
              <w:spacing w:after="20"/>
            </w:pPr>
            <w:r>
              <w:rPr>
                <w:sz w:val="17"/>
              </w:rPr>
              <w:t xml:space="preserve">MASVS-PLATFORM-1</w:t>
            </w:r>
          </w:p>
        </w:tc>
        <w:tc>
          <w:tcPr>
            <w:tcW w:type="dxa" w:w="2449"/>
          </w:tcPr>
          <w:p>
            <w:pPr>
              <w:pStyle w:val="Compact"/>
              <w:spacing w:after="20"/>
            </w:pPr>
            <w:r>
              <w:rPr>
                <w:sz w:val="17"/>
              </w:rPr>
              <w:t xml:space="preserve">Test : lien forgé → aucune action sensible sans confirmation.</w:t>
            </w:r>
          </w:p>
        </w:tc>
      </w:tr>
      <w:tr>
        <w:tc>
          <w:tcPr>
            <w:tcW w:type="dxa" w:w="1146"/>
          </w:tcPr>
          <w:p>
            <w:pPr>
              <w:pStyle w:val="Compact"/>
              <w:spacing w:after="20"/>
            </w:pPr>
            <w:r>
              <w:rPr>
                <w:sz w:val="17"/>
              </w:rPr>
              <w:t xml:space="preserve">SEC-24</w:t>
            </w:r>
          </w:p>
        </w:tc>
        <w:tc>
          <w:tcPr>
            <w:tcW w:type="dxa" w:w="5181"/>
          </w:tcPr>
          <w:p>
            <w:pPr>
              <w:pStyle w:val="Compact"/>
              <w:spacing w:after="20"/>
            </w:pPr>
            <w:r>
              <w:rPr>
                <w:b/>
                <w:bCs/>
                <w:sz w:val="17"/>
              </w:rPr>
              <w:t xml:space="preserve">Permissions minimales</w:t>
            </w:r>
            <w:r>
              <w:rPr>
                <w:sz w:val="17"/>
              </w:rPr>
              <w:t xml:space="preserve">, demandées en contexte (localisation, caméra, photos, notifications) ; sélecteur de photos du système de préférence.</w:t>
            </w:r>
          </w:p>
        </w:tc>
        <w:tc>
          <w:tcPr>
            <w:tcW w:type="dxa" w:w="1146"/>
          </w:tcPr>
          <w:p>
            <w:pPr>
              <w:pStyle w:val="Compact"/>
              <w:spacing w:after="20"/>
            </w:pPr>
            <w:r>
              <w:rPr>
                <w:sz w:val="17"/>
              </w:rPr>
              <w:t xml:space="preserve">MASVS-PRIVACY-1</w:t>
            </w:r>
          </w:p>
        </w:tc>
        <w:tc>
          <w:tcPr>
            <w:tcW w:type="dxa" w:w="2449"/>
          </w:tcPr>
          <w:p>
            <w:pPr>
              <w:pStyle w:val="Compact"/>
              <w:spacing w:after="20"/>
            </w:pPr>
            <w:r>
              <w:rPr>
                <w:sz w:val="17"/>
              </w:rPr>
              <w:t xml:space="preserve">Revue des permissions déclarées ; fiches vie privée des stores cohérentes.</w:t>
            </w:r>
          </w:p>
        </w:tc>
      </w:tr>
      <w:tr>
        <w:tc>
          <w:tcPr>
            <w:tcW w:type="dxa" w:w="1146"/>
          </w:tcPr>
          <w:p>
            <w:pPr>
              <w:pStyle w:val="Compact"/>
              <w:spacing w:after="20"/>
            </w:pPr>
            <w:r>
              <w:rPr>
                <w:sz w:val="17"/>
              </w:rPr>
              <w:t xml:space="preserve">SEC-25</w:t>
            </w:r>
          </w:p>
        </w:tc>
        <w:tc>
          <w:tcPr>
            <w:tcW w:type="dxa" w:w="5181"/>
          </w:tcPr>
          <w:p>
            <w:pPr>
              <w:pStyle w:val="Compact"/>
              <w:spacing w:after="20"/>
            </w:pPr>
            <w:r>
              <w:rPr>
                <w:b/>
                <w:bCs/>
                <w:sz w:val="17"/>
              </w:rPr>
              <w:t xml:space="preserve">Purge et conservation automatisées</w:t>
            </w:r>
            <w:r>
              <w:rPr>
                <w:sz w:val="17"/>
              </w:rPr>
              <w:t xml:space="preserve"> </w:t>
            </w:r>
            <w:r>
              <w:rPr>
                <w:sz w:val="17"/>
              </w:rPr>
              <w:t xml:space="preserve">: tâches planifiées (par ex.</w:t>
            </w:r>
            <w:r>
              <w:rPr>
                <w:sz w:val="17"/>
              </w:rPr>
              <w:t xml:space="preserve"> </w:t>
            </w:r>
            <w:r>
              <w:rPr>
                <w:rStyle w:val="VerbatimChar"/>
                <w:sz w:val="17"/>
              </w:rPr>
              <w:t xml:space="preserve">pg_cron</w:t>
            </w:r>
            <w:r>
              <w:rPr>
                <w:sz w:val="17"/>
              </w:rPr>
              <w:t xml:space="preserve"> </w:t>
            </w:r>
            <w:r>
              <w:rPr>
                <w:sz w:val="17"/>
              </w:rPr>
              <w:t xml:space="preserve">ou fonction planifiée,</w:t>
            </w:r>
            <w:r>
              <w:rPr>
                <w:sz w:val="17"/>
              </w:rPr>
              <w:t xml:space="preserve"> </w:t>
            </w:r>
            <w:r>
              <w:rPr>
                <w:b/>
                <w:bCs/>
                <w:sz w:val="17"/>
              </w:rPr>
              <w:t xml:space="preserve">à confirmer</w:t>
            </w:r>
            <w:r>
              <w:rPr>
                <w:sz w:val="17"/>
              </w:rPr>
              <w:t xml:space="preserve">) qui appliquent les durées du tableau 3.1, puis détruisent ou anonymisent les données ;</w:t>
            </w:r>
            <w:r>
              <w:rPr>
                <w:sz w:val="17"/>
              </w:rPr>
              <w:t xml:space="preserve"> </w:t>
            </w:r>
            <w:r>
              <w:rPr>
                <w:b/>
                <w:bCs/>
                <w:sz w:val="17"/>
              </w:rPr>
              <w:t xml:space="preserve">gel légal</w:t>
            </w:r>
            <w:r>
              <w:rPr>
                <w:sz w:val="17"/>
              </w:rPr>
              <w:t xml:space="preserve"> </w:t>
            </w:r>
            <w:r>
              <w:rPr>
                <w:sz w:val="17"/>
              </w:rPr>
              <w:t xml:space="preserve">(</w:t>
            </w:r>
            <w:r>
              <w:rPr>
                <w:rStyle w:val="VerbatimChar"/>
                <w:sz w:val="17"/>
              </w:rPr>
              <w:t xml:space="preserve">legal_hold</w:t>
            </w:r>
            <w:r>
              <w:rPr>
                <w:sz w:val="17"/>
              </w:rPr>
              <w:t xml:space="preserve">) qui suspend la purge des éléments liés à un litige ou à une rétrofacturation en cours ; journal des purges sans données personnelles.</w:t>
            </w:r>
          </w:p>
        </w:tc>
        <w:tc>
          <w:tcPr>
            <w:tcW w:type="dxa" w:w="1146"/>
          </w:tcPr>
          <w:p>
            <w:pPr>
              <w:pStyle w:val="Compact"/>
              <w:spacing w:after="20"/>
            </w:pPr>
            <w:r>
              <w:rPr>
                <w:sz w:val="17"/>
              </w:rPr>
              <w:t xml:space="preserve">MASVS-PRIVACY-4 ; Loi 25 (art. 23)</w:t>
            </w:r>
          </w:p>
        </w:tc>
        <w:tc>
          <w:tcPr>
            <w:tcW w:type="dxa" w:w="2449"/>
          </w:tcPr>
          <w:p>
            <w:pPr>
              <w:pStyle w:val="Compact"/>
              <w:spacing w:after="20"/>
            </w:pPr>
            <w:r>
              <w:rPr>
                <w:sz w:val="17"/>
              </w:rPr>
              <w:t xml:space="preserve">Test automatisé en CI : données fictives datées → purgées ou anonymisées à l'échéance ; données sous gel légal → conservées ; session Identity vérifiée → redact demandé.</w:t>
            </w:r>
          </w:p>
        </w:tc>
      </w:tr>
    </w:tbl>
    <w:bookmarkStart w:id="53" w:name="X1f9585bc272a28f2875f48ec428afb296078f7f"/>
    <w:p>
      <w:pPr>
        <w:pStyle w:val="Heading3"/>
      </w:pPr>
      <w:r>
        <w:t xml:space="preserve">3.1 Durées de conservation et purge (SEC-19, SEC-25)</w:t>
      </w:r>
    </w:p>
    <w:p>
      <w:pPr>
        <w:pStyle w:val="BlockText"/>
      </w:pPr>
      <w:r>
        <w:rPr>
          <w:b/>
          <w:bCs/>
        </w:rPr>
        <w:t xml:space="preserve">À faire valider par l'avocat.</w:t>
      </w:r>
      <w:r>
        <w:t xml:space="preserve"> </w:t>
      </w:r>
      <w:r>
        <w:t xml:space="preserve">Durées fournies par l'équipe juridique. Le point de départ de chaque délai doit être stocké explicitement (date de fin d'année fiscale, date de livraison, date de prise de connaissance de l'incident, date de fermeture du compte).</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1839"/>
        <w:gridCol w:w="2341"/>
        <w:gridCol w:w="1627"/>
        <w:gridCol w:w="4112"/>
      </w:tblGrid>
      <w:tr>
        <w:trPr>
          <w:tblHeader w:val="on"/>
        </w:trPr>
        <w:tc>
          <w:tcPr>
            <w:tcW w:type="dxa" w:w="1840"/>
            <w:shd w:val="clear" w:color="auto" w:fill="0F766E"/>
          </w:tcPr>
          <w:p>
            <w:pPr>
              <w:pStyle w:val="Compact"/>
              <w:spacing w:after="20"/>
            </w:pPr>
            <w:r>
              <w:rPr>
                <w:b/>
                <w:color w:val="FFFFFF"/>
                <w:sz w:val="17"/>
              </w:rPr>
              <w:t xml:space="preserve">Données</w:t>
            </w:r>
          </w:p>
        </w:tc>
        <w:tc>
          <w:tcPr>
            <w:tcW w:type="dxa" w:w="2341"/>
            <w:shd w:val="clear" w:color="auto" w:fill="0F766E"/>
          </w:tcPr>
          <w:p>
            <w:pPr>
              <w:pStyle w:val="Compact"/>
              <w:spacing w:after="20"/>
            </w:pPr>
            <w:r>
              <w:rPr>
                <w:b/>
                <w:color w:val="FFFFFF"/>
                <w:sz w:val="17"/>
              </w:rPr>
              <w:t xml:space="preserve">Durée de conservation</w:t>
            </w:r>
          </w:p>
        </w:tc>
        <w:tc>
          <w:tcPr>
            <w:tcW w:type="dxa" w:w="1628"/>
            <w:shd w:val="clear" w:color="auto" w:fill="0F766E"/>
          </w:tcPr>
          <w:p>
            <w:pPr>
              <w:pStyle w:val="Compact"/>
              <w:spacing w:after="20"/>
            </w:pPr>
            <w:r>
              <w:rPr>
                <w:b/>
                <w:color w:val="FFFFFF"/>
                <w:sz w:val="17"/>
              </w:rPr>
              <w:t xml:space="preserve">Fondement (selon l'équipe juridique)</w:t>
            </w:r>
          </w:p>
        </w:tc>
        <w:tc>
          <w:tcPr>
            <w:tcW w:type="dxa" w:w="4112"/>
            <w:shd w:val="clear" w:color="auto" w:fill="0F766E"/>
          </w:tcPr>
          <w:p>
            <w:pPr>
              <w:pStyle w:val="Compact"/>
              <w:spacing w:after="20"/>
            </w:pPr>
            <w:r>
              <w:rPr>
                <w:b/>
                <w:color w:val="FFFFFF"/>
                <w:sz w:val="17"/>
              </w:rPr>
              <w:t xml:space="preserve">Mise en œuvre technique</w:t>
            </w:r>
          </w:p>
        </w:tc>
      </w:tr>
      <w:tr>
        <w:tc>
          <w:tcPr>
            <w:tcW w:type="dxa" w:w="1840"/>
          </w:tcPr>
          <w:p>
            <w:pPr>
              <w:pStyle w:val="Compact"/>
              <w:spacing w:after="20"/>
            </w:pPr>
            <w:r>
              <w:rPr>
                <w:sz w:val="17"/>
              </w:rPr>
              <w:t xml:space="preserve">Paiements, factures, commissions</w:t>
            </w:r>
          </w:p>
        </w:tc>
        <w:tc>
          <w:tcPr>
            <w:tcW w:type="dxa" w:w="2341"/>
          </w:tcPr>
          <w:p>
            <w:pPr>
              <w:pStyle w:val="Compact"/>
              <w:spacing w:after="20"/>
            </w:pPr>
            <w:r>
              <w:rPr>
                <w:sz w:val="17"/>
              </w:rPr>
              <w:t xml:space="preserve">6 ans après la fin de l'année fiscale concernée</w:t>
            </w:r>
          </w:p>
        </w:tc>
        <w:tc>
          <w:tcPr>
            <w:tcW w:type="dxa" w:w="1628"/>
          </w:tcPr>
          <w:p>
            <w:pPr>
              <w:pStyle w:val="Compact"/>
              <w:spacing w:after="20"/>
            </w:pPr>
            <w:r>
              <w:rPr>
                <w:sz w:val="17"/>
              </w:rPr>
              <w:t xml:space="preserve">Lois fiscales fédérale et québécoise</w:t>
            </w:r>
          </w:p>
        </w:tc>
        <w:tc>
          <w:tcPr>
            <w:tcW w:type="dxa" w:w="4112"/>
          </w:tcPr>
          <w:p>
            <w:pPr>
              <w:pStyle w:val="Compact"/>
              <w:spacing w:after="20"/>
            </w:pPr>
            <w:r>
              <w:rPr>
                <w:sz w:val="17"/>
              </w:rPr>
              <w:t xml:space="preserve">Tables</w:t>
            </w:r>
            <w:r>
              <w:rPr>
                <w:sz w:val="17"/>
              </w:rPr>
              <w:t xml:space="preserve"> </w:t>
            </w:r>
            <w:r>
              <w:rPr>
                <w:rStyle w:val="VerbatimChar"/>
                <w:sz w:val="17"/>
              </w:rPr>
              <w:t xml:space="preserve">payments</w:t>
            </w:r>
            <w:r>
              <w:rPr>
                <w:sz w:val="17"/>
              </w:rPr>
              <w:t xml:space="preserve">,</w:t>
            </w:r>
            <w:r>
              <w:rPr>
                <w:sz w:val="17"/>
              </w:rPr>
              <w:t xml:space="preserve"> </w:t>
            </w:r>
            <w:r>
              <w:rPr>
                <w:rStyle w:val="VerbatimChar"/>
                <w:sz w:val="17"/>
              </w:rPr>
              <w:t xml:space="preserve">transfers</w:t>
            </w:r>
            <w:r>
              <w:rPr>
                <w:sz w:val="17"/>
              </w:rPr>
              <w:t xml:space="preserve">, reçus ; purge annuelle après l'échéance. Les objets chez Stripe suivent les règles de Stripe.</w:t>
            </w:r>
          </w:p>
        </w:tc>
      </w:tr>
      <w:tr>
        <w:tc>
          <w:tcPr>
            <w:tcW w:type="dxa" w:w="1840"/>
          </w:tcPr>
          <w:p>
            <w:pPr>
              <w:pStyle w:val="Compact"/>
              <w:spacing w:after="20"/>
            </w:pPr>
            <w:r>
              <w:rPr>
                <w:sz w:val="17"/>
              </w:rPr>
              <w:t xml:space="preserve">Preuves de litige (photos de remise, confirmations, messages liés)</w:t>
            </w:r>
          </w:p>
        </w:tc>
        <w:tc>
          <w:tcPr>
            <w:tcW w:type="dxa" w:w="2341"/>
          </w:tcPr>
          <w:p>
            <w:pPr>
              <w:pStyle w:val="Compact"/>
              <w:spacing w:after="20"/>
            </w:pPr>
            <w:r>
              <w:rPr>
                <w:sz w:val="17"/>
              </w:rPr>
              <w:t xml:space="preserve">3 ans après la livraison ;</w:t>
            </w:r>
            <w:r>
              <w:rPr>
                <w:sz w:val="17"/>
              </w:rPr>
              <w:t xml:space="preserve"> </w:t>
            </w:r>
            <w:r>
              <w:rPr>
                <w:b/>
                <w:bCs/>
                <w:sz w:val="17"/>
              </w:rPr>
              <w:t xml:space="preserve">prolongé si un litige est en cours</w:t>
            </w:r>
          </w:p>
        </w:tc>
        <w:tc>
          <w:tcPr>
            <w:tcW w:type="dxa" w:w="1628"/>
          </w:tcPr>
          <w:p>
            <w:pPr>
              <w:pStyle w:val="Compact"/>
              <w:spacing w:after="20"/>
            </w:pPr>
            <w:r>
              <w:rPr>
                <w:sz w:val="17"/>
              </w:rPr>
              <w:t xml:space="preserve">Prescription, C.c.Q. art. 2925</w:t>
            </w:r>
          </w:p>
        </w:tc>
        <w:tc>
          <w:tcPr>
            <w:tcW w:type="dxa" w:w="4112"/>
          </w:tcPr>
          <w:p>
            <w:pPr>
              <w:pStyle w:val="Compact"/>
              <w:spacing w:after="20"/>
            </w:pPr>
            <w:r>
              <w:rPr>
                <w:rStyle w:val="VerbatimChar"/>
                <w:sz w:val="17"/>
              </w:rPr>
              <w:t xml:space="preserve">delivery_proofs</w:t>
            </w:r>
            <w:r>
              <w:rPr>
                <w:sz w:val="17"/>
              </w:rPr>
              <w:t xml:space="preserve">,</w:t>
            </w:r>
            <w:r>
              <w:rPr>
                <w:sz w:val="17"/>
              </w:rPr>
              <w:t xml:space="preserve"> </w:t>
            </w:r>
            <w:r>
              <w:rPr>
                <w:rStyle w:val="VerbatimChar"/>
                <w:sz w:val="17"/>
              </w:rPr>
              <w:t xml:space="preserve">dispute_evidence</w:t>
            </w:r>
            <w:r>
              <w:rPr>
                <w:sz w:val="17"/>
              </w:rPr>
              <w:t xml:space="preserve">, messages rattachés ; gel légal actif tant que le litige ou la rétrofacturation n'est pas clos.</w:t>
            </w:r>
          </w:p>
        </w:tc>
      </w:tr>
      <w:tr>
        <w:tc>
          <w:tcPr>
            <w:tcW w:type="dxa" w:w="1840"/>
          </w:tcPr>
          <w:p>
            <w:pPr>
              <w:pStyle w:val="Compact"/>
              <w:spacing w:after="20"/>
            </w:pPr>
            <w:r>
              <w:rPr>
                <w:sz w:val="17"/>
              </w:rPr>
              <w:t xml:space="preserve">Registre des incidents de confidentialité</w:t>
            </w:r>
          </w:p>
        </w:tc>
        <w:tc>
          <w:tcPr>
            <w:tcW w:type="dxa" w:w="2341"/>
          </w:tcPr>
          <w:p>
            <w:pPr>
              <w:pStyle w:val="Compact"/>
              <w:spacing w:after="20"/>
            </w:pPr>
            <w:r>
              <w:rPr>
                <w:sz w:val="17"/>
              </w:rPr>
              <w:t xml:space="preserve">5 ans à partir de la prise de connaissance de l'incident</w:t>
            </w:r>
          </w:p>
        </w:tc>
        <w:tc>
          <w:tcPr>
            <w:tcW w:type="dxa" w:w="1628"/>
          </w:tcPr>
          <w:p>
            <w:pPr>
              <w:pStyle w:val="Compact"/>
              <w:spacing w:after="20"/>
            </w:pPr>
            <w:r>
              <w:rPr>
                <w:sz w:val="17"/>
              </w:rPr>
              <w:t xml:space="preserve">Règlement de la Loi 25</w:t>
            </w:r>
          </w:p>
        </w:tc>
        <w:tc>
          <w:tcPr>
            <w:tcW w:type="dxa" w:w="4112"/>
          </w:tcPr>
          <w:p>
            <w:pPr>
              <w:pStyle w:val="Compact"/>
              <w:spacing w:after="20"/>
            </w:pPr>
            <w:r>
              <w:rPr>
                <w:rStyle w:val="VerbatimChar"/>
                <w:sz w:val="17"/>
              </w:rPr>
              <w:t xml:space="preserve">security_incidents.discovered_at</w:t>
            </w:r>
            <w:r>
              <w:rPr>
                <w:sz w:val="17"/>
              </w:rPr>
              <w:t xml:space="preserve"> </w:t>
            </w:r>
            <w:r>
              <w:rPr>
                <w:sz w:val="17"/>
              </w:rPr>
              <w:t xml:space="preserve">comme point de départ.</w:t>
            </w:r>
          </w:p>
        </w:tc>
      </w:tr>
      <w:tr>
        <w:tc>
          <w:tcPr>
            <w:tcW w:type="dxa" w:w="1840"/>
          </w:tcPr>
          <w:p>
            <w:pPr>
              <w:pStyle w:val="Compact"/>
              <w:spacing w:after="20"/>
            </w:pPr>
            <w:r>
              <w:rPr>
                <w:sz w:val="17"/>
              </w:rPr>
              <w:t xml:space="preserve">Preuves de consentement</w:t>
            </w:r>
          </w:p>
        </w:tc>
        <w:tc>
          <w:tcPr>
            <w:tcW w:type="dxa" w:w="2341"/>
          </w:tcPr>
          <w:p>
            <w:pPr>
              <w:pStyle w:val="Compact"/>
              <w:spacing w:after="20"/>
            </w:pPr>
            <w:r>
              <w:rPr>
                <w:sz w:val="17"/>
              </w:rPr>
              <w:t xml:space="preserve">Toute la durée du compte, puis 3 ans</w:t>
            </w:r>
          </w:p>
        </w:tc>
        <w:tc>
          <w:tcPr>
            <w:tcW w:type="dxa" w:w="1628"/>
          </w:tcPr>
          <w:p>
            <w:pPr>
              <w:pStyle w:val="Compact"/>
              <w:spacing w:after="20"/>
            </w:pPr>
            <w:r>
              <w:rPr>
                <w:sz w:val="17"/>
              </w:rPr>
              <w:t xml:space="preserve">Équipe juridique</w:t>
            </w:r>
          </w:p>
        </w:tc>
        <w:tc>
          <w:tcPr>
            <w:tcW w:type="dxa" w:w="4112"/>
          </w:tcPr>
          <w:p>
            <w:pPr>
              <w:pStyle w:val="Compact"/>
              <w:spacing w:after="20"/>
            </w:pPr>
            <w:r>
              <w:rPr>
                <w:sz w:val="17"/>
              </w:rPr>
              <w:t xml:space="preserve">Table</w:t>
            </w:r>
            <w:r>
              <w:rPr>
                <w:sz w:val="17"/>
              </w:rPr>
              <w:t xml:space="preserve"> </w:t>
            </w:r>
            <w:r>
              <w:rPr>
                <w:rStyle w:val="VerbatimChar"/>
                <w:sz w:val="17"/>
              </w:rPr>
              <w:t xml:space="preserve">consents</w:t>
            </w:r>
            <w:r>
              <w:rPr>
                <w:sz w:val="17"/>
              </w:rPr>
              <w:t xml:space="preserve"> </w:t>
            </w:r>
            <w:r>
              <w:rPr>
                <w:sz w:val="17"/>
              </w:rPr>
              <w:t xml:space="preserve">(finalité, version du texte, date, retrait) ; purge 3 ans après la fermeture du compte.</w:t>
            </w:r>
          </w:p>
        </w:tc>
      </w:tr>
      <w:tr>
        <w:tc>
          <w:tcPr>
            <w:tcW w:type="dxa" w:w="1840"/>
          </w:tcPr>
          <w:p>
            <w:pPr>
              <w:pStyle w:val="Compact"/>
              <w:spacing w:after="20"/>
            </w:pPr>
            <w:r>
              <w:rPr>
                <w:sz w:val="17"/>
              </w:rPr>
              <w:t xml:space="preserve">Géolocalisation et messages</w:t>
            </w:r>
            <w:r>
              <w:rPr>
                <w:sz w:val="17"/>
              </w:rPr>
              <w:t xml:space="preserve"> </w:t>
            </w:r>
            <w:r>
              <w:rPr>
                <w:b/>
                <w:bCs/>
                <w:sz w:val="17"/>
              </w:rPr>
              <w:t xml:space="preserve">sans litige</w:t>
            </w:r>
          </w:p>
        </w:tc>
        <w:tc>
          <w:tcPr>
            <w:tcW w:type="dxa" w:w="2341"/>
          </w:tcPr>
          <w:p>
            <w:pPr>
              <w:pStyle w:val="Compact"/>
              <w:spacing w:after="20"/>
            </w:pPr>
            <w:r>
              <w:rPr>
                <w:sz w:val="17"/>
              </w:rPr>
              <w:t xml:space="preserve">Supprimés dès la fin de la livraison et du délai de contestation</w:t>
            </w:r>
          </w:p>
        </w:tc>
        <w:tc>
          <w:tcPr>
            <w:tcW w:type="dxa" w:w="1628"/>
          </w:tcPr>
          <w:p>
            <w:pPr>
              <w:pStyle w:val="Compact"/>
              <w:spacing w:after="20"/>
            </w:pPr>
            <w:r>
              <w:rPr>
                <w:sz w:val="17"/>
              </w:rPr>
              <w:t xml:space="preserve">Minimisation (Loi 25)</w:t>
            </w:r>
          </w:p>
        </w:tc>
        <w:tc>
          <w:tcPr>
            <w:tcW w:type="dxa" w:w="4112"/>
          </w:tcPr>
          <w:p>
            <w:pPr>
              <w:pStyle w:val="Compact"/>
              <w:spacing w:after="20"/>
            </w:pPr>
            <w:r>
              <w:rPr>
                <w:sz w:val="17"/>
              </w:rPr>
              <w:t xml:space="preserve">Purge déclenchée par la transition vers « Fonds libérés » (délai de contestation écoulé), sauf gel légal.</w:t>
            </w:r>
          </w:p>
        </w:tc>
      </w:tr>
      <w:tr>
        <w:tc>
          <w:tcPr>
            <w:tcW w:type="dxa" w:w="1840"/>
          </w:tcPr>
          <w:p>
            <w:pPr>
              <w:pStyle w:val="Compact"/>
              <w:spacing w:after="20"/>
            </w:pPr>
            <w:r>
              <w:rPr>
                <w:sz w:val="17"/>
              </w:rPr>
              <w:t xml:space="preserve">Session Stripe Identity</w:t>
            </w:r>
          </w:p>
        </w:tc>
        <w:tc>
          <w:tcPr>
            <w:tcW w:type="dxa" w:w="2341"/>
          </w:tcPr>
          <w:p>
            <w:pPr>
              <w:pStyle w:val="Compact"/>
              <w:spacing w:after="20"/>
            </w:pPr>
            <w:r>
              <w:rPr>
                <w:sz w:val="17"/>
              </w:rPr>
              <w:t xml:space="preserve">Effacée dès que la vérification est faite</w:t>
            </w:r>
          </w:p>
        </w:tc>
        <w:tc>
          <w:tcPr>
            <w:tcW w:type="dxa" w:w="1628"/>
          </w:tcPr>
          <w:p>
            <w:pPr>
              <w:pStyle w:val="Compact"/>
              <w:spacing w:after="20"/>
            </w:pPr>
            <w:r>
              <w:rPr>
                <w:sz w:val="17"/>
              </w:rPr>
              <w:t xml:space="preserve">Minimisation (Loi 25) ; biométrie</w:t>
            </w:r>
          </w:p>
        </w:tc>
        <w:tc>
          <w:tcPr>
            <w:tcW w:type="dxa" w:w="4112"/>
          </w:tcPr>
          <w:p>
            <w:pPr>
              <w:pStyle w:val="Compact"/>
              <w:spacing w:after="20"/>
            </w:pPr>
            <w:r>
              <w:rPr>
                <w:sz w:val="17"/>
              </w:rPr>
              <w:t xml:space="preserve">Appel</w:t>
            </w:r>
            <w:r>
              <w:rPr>
                <w:sz w:val="17"/>
              </w:rPr>
              <w:t xml:space="preserve"> </w:t>
            </w:r>
            <w:r>
              <w:rPr>
                <w:rStyle w:val="VerbatimChar"/>
                <w:sz w:val="17"/>
              </w:rPr>
              <w:t xml:space="preserve">redact</w:t>
            </w:r>
            <w:r>
              <w:rPr>
                <w:sz w:val="17"/>
              </w:rPr>
              <w:t xml:space="preserve"> </w:t>
            </w:r>
            <w:r>
              <w:rPr>
                <w:sz w:val="17"/>
              </w:rPr>
              <w:t xml:space="preserve">à la réception de</w:t>
            </w:r>
            <w:r>
              <w:rPr>
                <w:sz w:val="17"/>
              </w:rPr>
              <w:t xml:space="preserve"> </w:t>
            </w:r>
            <w:r>
              <w:rPr>
                <w:rStyle w:val="VerbatimChar"/>
                <w:sz w:val="17"/>
              </w:rPr>
              <w:t xml:space="preserve">identity.verification_session.verified</w:t>
            </w:r>
            <w:r>
              <w:rPr>
                <w:sz w:val="17"/>
              </w:rPr>
              <w:t xml:space="preserve"> </w:t>
            </w:r>
            <w:r>
              <w:rPr>
                <w:sz w:val="17"/>
              </w:rPr>
              <w:t xml:space="preserve">; Volis ne garde que</w:t>
            </w:r>
            <w:r>
              <w:rPr>
                <w:sz w:val="17"/>
              </w:rPr>
              <w:t xml:space="preserve"> </w:t>
            </w:r>
            <w:r>
              <w:rPr>
                <w:rStyle w:val="VerbatimChar"/>
                <w:sz w:val="17"/>
              </w:rPr>
              <w:t xml:space="preserve">identity_status</w:t>
            </w:r>
            <w:r>
              <w:rPr>
                <w:sz w:val="17"/>
              </w:rPr>
              <w:t xml:space="preserve"> </w:t>
            </w:r>
            <w:r>
              <w:rPr>
                <w:sz w:val="17"/>
              </w:rPr>
              <w:t xml:space="preserve">et l'ID de session. Traitement après un échec définitif :</w:t>
            </w:r>
            <w:r>
              <w:rPr>
                <w:sz w:val="17"/>
              </w:rPr>
              <w:t xml:space="preserve"> </w:t>
            </w:r>
            <w:r>
              <w:rPr>
                <w:b/>
                <w:bCs/>
                <w:sz w:val="17"/>
              </w:rPr>
              <w:t xml:space="preserve">à faire valider par l'avocat</w:t>
            </w:r>
            <w:r>
              <w:rPr>
                <w:sz w:val="17"/>
              </w:rPr>
              <w:t xml:space="preserve">.</w:t>
            </w:r>
          </w:p>
        </w:tc>
      </w:tr>
    </w:tbl>
    <w:p>
      <w:pPr>
        <w:pStyle w:val="BodyText"/>
      </w:pPr>
      <w:r>
        <w:rPr>
          <w:b/>
          <w:bCs/>
        </w:rPr>
        <w:t xml:space="preserve">Après ces délais : destruction ou anonymisation</w:t>
      </w:r>
      <w:r>
        <w:t xml:space="preserve"> </w:t>
      </w:r>
      <w:r>
        <w:t xml:space="preserve">(Loi 25, art. 23). L'anonymisation doit être irréversible ; sinon, on détruit.</w:t>
      </w:r>
    </w:p>
    <w:p>
      <w:pPr>
        <w:pStyle w:val="BodyText"/>
      </w:pPr>
      <w:r>
        <w:t xml:space="preserve">Exigences techniques (SEC-25) :</w:t>
      </w:r>
    </w:p>
    <w:p>
      <w:pPr>
        <w:pStyle w:val="Compact"/>
        <w:numPr>
          <w:ilvl w:val="0"/>
          <w:numId w:val="1011"/>
        </w:numPr>
      </w:pPr>
      <w:r>
        <w:rPr>
          <w:b/>
          <w:bCs/>
        </w:rPr>
        <w:t xml:space="preserve">Tâches de purge planifiées</w:t>
      </w:r>
      <w:r>
        <w:t xml:space="preserve">, idempotentes, exécutées côté serveur, avec un journal (catégorie, nombre d'éléments, date) sans données personnelles. Les fichiers du stockage sont supprimés en même temps que leurs lignes.</w:t>
      </w:r>
    </w:p>
    <w:p>
      <w:pPr>
        <w:pStyle w:val="Compact"/>
        <w:numPr>
          <w:ilvl w:val="0"/>
          <w:numId w:val="1011"/>
        </w:numPr>
      </w:pPr>
      <w:r>
        <w:rPr>
          <w:b/>
          <w:bCs/>
        </w:rPr>
        <w:t xml:space="preserve">Gel légal</w:t>
      </w:r>
      <w:r>
        <w:t xml:space="preserve"> </w:t>
      </w:r>
      <w:r>
        <w:t xml:space="preserve">: table</w:t>
      </w:r>
      <w:r>
        <w:t xml:space="preserve"> </w:t>
      </w:r>
      <w:r>
        <w:rPr>
          <w:rStyle w:val="VerbatimChar"/>
        </w:rPr>
        <w:t xml:space="preserve">legal_holds</w:t>
      </w:r>
      <w:r>
        <w:t xml:space="preserve"> </w:t>
      </w:r>
      <w:r>
        <w:t xml:space="preserve">(ressource, motif, ouvert le, levé le), posé automatiquement à</w:t>
      </w:r>
      <w:r>
        <w:t xml:space="preserve"> </w:t>
      </w:r>
      <w:r>
        <w:rPr>
          <w:rStyle w:val="VerbatimChar"/>
        </w:rPr>
        <w:t xml:space="preserve">charge.dispute.created</w:t>
      </w:r>
      <w:r>
        <w:t xml:space="preserve"> </w:t>
      </w:r>
      <w:r>
        <w:t xml:space="preserve">et à l'ouverture d'un litige interne, levé à la clôture. Toute purge vérifie l'absence de gel.</w:t>
      </w:r>
    </w:p>
    <w:p>
      <w:pPr>
        <w:pStyle w:val="Compact"/>
        <w:numPr>
          <w:ilvl w:val="0"/>
          <w:numId w:val="1011"/>
        </w:numPr>
      </w:pPr>
      <w:r>
        <w:rPr>
          <w:b/>
          <w:bCs/>
        </w:rPr>
        <w:t xml:space="preserve">Sauvegardes</w:t>
      </w:r>
      <w:r>
        <w:t xml:space="preserve"> </w:t>
      </w:r>
      <w:r>
        <w:t xml:space="preserve">: leur durée de rétention doit rester compatible avec ces délais (une donnée purgée disparaît des sauvegardes à leur expiration) :</w:t>
      </w:r>
      <w:r>
        <w:t xml:space="preserve"> </w:t>
      </w:r>
      <w:r>
        <w:rPr>
          <w:b/>
          <w:bCs/>
        </w:rPr>
        <w:t xml:space="preserve">à confirmer</w:t>
      </w:r>
      <w:r>
        <w:t xml:space="preserve"> </w:t>
      </w:r>
      <w:r>
        <w:t xml:space="preserve">selon l'offre Supabase.</w:t>
      </w:r>
    </w:p>
    <w:p>
      <w:pPr>
        <w:pStyle w:val="Compact"/>
        <w:numPr>
          <w:ilvl w:val="0"/>
          <w:numId w:val="1011"/>
        </w:numPr>
      </w:pPr>
      <w:r>
        <w:rPr>
          <w:b/>
          <w:bCs/>
        </w:rPr>
        <w:t xml:space="preserve">Test automatisé</w:t>
      </w:r>
      <w:r>
        <w:t xml:space="preserve"> </w:t>
      </w:r>
      <w:r>
        <w:t xml:space="preserve">en CI (critère de SEC-25).</w:t>
      </w:r>
    </w:p>
    <w:bookmarkEnd w:id="53"/>
    <w:bookmarkEnd w:id="54"/>
    <w:bookmarkStart w:id="61" w:name="monétisation-partie-technique"/>
    <w:p>
      <w:pPr>
        <w:pStyle w:val="Heading2"/>
      </w:pPr>
      <w:r>
        <w:t xml:space="preserve">4. Monétisation — partie technique</w:t>
      </w:r>
    </w:p>
    <w:p>
      <w:pPr>
        <w:pStyle w:val="BlockText"/>
      </w:pPr>
      <w:r>
        <w:t xml:space="preserve">Cette section décrit</w:t>
      </w:r>
      <w:r>
        <w:t xml:space="preserve"> </w:t>
      </w:r>
      <w:r>
        <w:rPr>
          <w:b/>
          <w:bCs/>
        </w:rPr>
        <w:t xml:space="preserve">comment</w:t>
      </w:r>
      <w:r>
        <w:t xml:space="preserve"> </w:t>
      </w:r>
      <w:r>
        <w:t xml:space="preserve">implémenter les sources de revenus. Le</w:t>
      </w:r>
      <w:r>
        <w:t xml:space="preserve"> </w:t>
      </w:r>
      <w:r>
        <w:rPr>
          <w:b/>
          <w:bCs/>
        </w:rPr>
        <w:t xml:space="preserve">cadre légal</w:t>
      </w:r>
      <w:r>
        <w:t xml:space="preserve"> </w:t>
      </w:r>
      <w:r>
        <w:t xml:space="preserve">(prix tout inclus, divulgation, assurance, taxes, remboursements, rétrofacturations, abonnements) est traité dans la section de l'équipe juridique, « Volet légal de la monétisation » (</w:t>
      </w:r>
      <w:r>
        <w:rPr>
          <w:rStyle w:val="VerbatimChar"/>
        </w:rPr>
        <w:t xml:space="preserve">cahier-legal-monetisation.md</w:t>
      </w:r>
      <w:r>
        <w:t xml:space="preserve">), à laquelle ce texte renvoie.</w:t>
      </w:r>
      <w:r>
        <w:t xml:space="preserve"> </w:t>
      </w:r>
      <w:r>
        <w:rPr>
          <w:b/>
          <w:bCs/>
        </w:rPr>
        <w:t xml:space="preserve">Tous les montants et taux (commission, marge, primes, prix d'abonnement) restent à décider par Faycal.</w:t>
      </w:r>
    </w:p>
    <w:bookmarkStart w:id="55" w:name="X18f5ee44917c19250a9a7034d9ef363c929b36c"/>
    <w:p>
      <w:pPr>
        <w:pStyle w:val="Heading3"/>
      </w:pPr>
      <w:r>
        <w:t xml:space="preserve">4.1 Prix tout inclus et détail avant paiement</w:t>
      </w:r>
    </w:p>
    <w:p>
      <w:pPr>
        <w:pStyle w:val="FirstParagraph"/>
      </w:pPr>
      <w:r>
        <w:t xml:space="preserve">Voir volet légal, section 2.</w:t>
      </w:r>
    </w:p>
    <w:p>
      <w:pPr>
        <w:pStyle w:val="Compact"/>
        <w:numPr>
          <w:ilvl w:val="0"/>
          <w:numId w:val="1012"/>
        </w:numPr>
      </w:pPr>
      <w:r>
        <w:t xml:space="preserve">Le</w:t>
      </w:r>
      <w:r>
        <w:t xml:space="preserve"> </w:t>
      </w:r>
      <w:r>
        <w:rPr>
          <w:b/>
          <w:bCs/>
        </w:rPr>
        <w:t xml:space="preserve">serveur calcule</w:t>
      </w:r>
      <w:r>
        <w:t xml:space="preserve"> </w:t>
      </w:r>
      <w:r>
        <w:t xml:space="preserve">le détail du prix et le fige dans la réservation (</w:t>
      </w:r>
      <w:r>
        <w:rPr>
          <w:rStyle w:val="VerbatimChar"/>
        </w:rPr>
        <w:t xml:space="preserve">bookings</w:t>
      </w:r>
      <w:r>
        <w:t xml:space="preserve">) : prix du transport, commission Volis, assurance si choisie, TPS/TVQ, total. L'app ne fait qu'afficher ce détail. Elle ne recalcule rien qui serve à facturer.</w:t>
      </w:r>
    </w:p>
    <w:p>
      <w:pPr>
        <w:pStyle w:val="Compact"/>
        <w:numPr>
          <w:ilvl w:val="0"/>
          <w:numId w:val="1012"/>
        </w:numPr>
      </w:pPr>
      <w:r>
        <w:t xml:space="preserve">Le prix affiché dans les listes et les fiches inclut tous les frais obligatoires. Seules les taxes s'ajoutent, conformément au volet légal.</w:t>
      </w:r>
    </w:p>
    <w:p>
      <w:pPr>
        <w:pStyle w:val="Compact"/>
        <w:numPr>
          <w:ilvl w:val="0"/>
          <w:numId w:val="1012"/>
        </w:numPr>
      </w:pPr>
      <w:r>
        <w:t xml:space="preserve">L'écran de confirmation (équipe UI) affiche le détail reçu du serveur. Le</w:t>
      </w:r>
      <w:r>
        <w:t xml:space="preserve"> </w:t>
      </w:r>
      <w:r>
        <w:rPr>
          <w:rStyle w:val="VerbatimChar"/>
        </w:rPr>
        <w:t xml:space="preserve">PaymentIntent</w:t>
      </w:r>
      <w:r>
        <w:t xml:space="preserve"> </w:t>
      </w:r>
      <w:r>
        <w:t xml:space="preserve">est créé pour</w:t>
      </w:r>
      <w:r>
        <w:t xml:space="preserve"> </w:t>
      </w:r>
      <w:r>
        <w:rPr>
          <w:b/>
          <w:bCs/>
        </w:rPr>
        <w:t xml:space="preserve">exactement</w:t>
      </w:r>
      <w:r>
        <w:t xml:space="preserve"> </w:t>
      </w:r>
      <w:r>
        <w:t xml:space="preserve">le total figé ; toute différence bloque le paiement.</w:t>
      </w:r>
    </w:p>
    <w:p>
      <w:pPr>
        <w:pStyle w:val="Compact"/>
        <w:numPr>
          <w:ilvl w:val="0"/>
          <w:numId w:val="1012"/>
        </w:numPr>
      </w:pPr>
      <w:r>
        <w:t xml:space="preserve">Les montants sont stockés en unités mineures entières avec leur code de devise. Arrondis et règles de calcul des taxes :</w:t>
      </w:r>
      <w:r>
        <w:t xml:space="preserve"> </w:t>
      </w:r>
      <w:r>
        <w:rPr>
          <w:b/>
          <w:bCs/>
        </w:rPr>
        <w:t xml:space="preserve">à confirmer avec le comptable</w:t>
      </w:r>
      <w:r>
        <w:t xml:space="preserve">.</w:t>
      </w:r>
    </w:p>
    <w:p>
      <w:pPr>
        <w:pStyle w:val="Compact"/>
        <w:numPr>
          <w:ilvl w:val="0"/>
          <w:numId w:val="1012"/>
        </w:numPr>
      </w:pPr>
      <w:r>
        <w:rPr>
          <w:b/>
          <w:bCs/>
        </w:rPr>
        <w:t xml:space="preserve">Reçus en français</w:t>
      </w:r>
      <w:r>
        <w:t xml:space="preserve"> </w:t>
      </w:r>
      <w:r>
        <w:t xml:space="preserve">(volet légal 2) générés par le serveur avec les numéros de TPS/TVQ dès l'inscription ; copie du contrat transmise à l'utilisateur (gabarit fourni par l'équipe juridique).</w:t>
      </w:r>
    </w:p>
    <w:bookmarkEnd w:id="55"/>
    <w:bookmarkStart w:id="56" w:name="commission-de-la-plateforme"/>
    <w:p>
      <w:pPr>
        <w:pStyle w:val="Heading3"/>
      </w:pPr>
      <w:r>
        <w:t xml:space="preserve">4.2 Commission de la plateforme</w:t>
      </w:r>
    </w:p>
    <w:p>
      <w:pPr>
        <w:pStyle w:val="FirstParagraph"/>
      </w:pPr>
      <w:r>
        <w:t xml:space="preserve">Voir volet légal, sections 1 et 3.</w:t>
      </w:r>
    </w:p>
    <w:p>
      <w:pPr>
        <w:pStyle w:val="Compact"/>
        <w:numPr>
          <w:ilvl w:val="0"/>
          <w:numId w:val="1013"/>
        </w:numPr>
      </w:pPr>
      <w:r>
        <w:t xml:space="preserve">Avec</w:t>
      </w:r>
      <w:r>
        <w:t xml:space="preserve"> </w:t>
      </w:r>
      <w:r>
        <w:rPr>
          <w:b/>
          <w:bCs/>
        </w:rPr>
        <w:t xml:space="preserve">separate charges and transfers</w:t>
      </w:r>
      <w:r>
        <w:t xml:space="preserve">, il n'y a pas d'</w:t>
      </w:r>
      <w:r>
        <w:rPr>
          <w:rStyle w:val="VerbatimChar"/>
        </w:rPr>
        <w:t xml:space="preserve">application_fee_amount</w:t>
      </w:r>
      <w:r>
        <w:t xml:space="preserve"> </w:t>
      </w:r>
      <w:r>
        <w:t xml:space="preserve">standard sur le transfert. La plateforme</w:t>
      </w:r>
      <w:r>
        <w:t xml:space="preserve"> </w:t>
      </w:r>
      <w:r>
        <w:rPr>
          <w:b/>
          <w:bCs/>
        </w:rPr>
        <w:t xml:space="preserve">transfère au voyageur un montant inférieur au paiement</w:t>
      </w:r>
      <w:r>
        <w:t xml:space="preserve">, et la différence reste sur son solde (doc Stripe « Collect fees when using separate charges and transfers »). La commission Volis = total payé − taxes perçues par Volis − part versée au voyageur − assurance reversée au partenaire. La formule exacte des taxes est</w:t>
      </w:r>
      <w:r>
        <w:t xml:space="preserve"> </w:t>
      </w:r>
      <w:r>
        <w:rPr>
          <w:b/>
          <w:bCs/>
        </w:rPr>
        <w:t xml:space="preserve">à confirmer avec le comptable</w:t>
      </w:r>
      <w:r>
        <w:t xml:space="preserve">.</w:t>
      </w:r>
    </w:p>
    <w:p>
      <w:pPr>
        <w:pStyle w:val="Compact"/>
        <w:numPr>
          <w:ilvl w:val="0"/>
          <w:numId w:val="1013"/>
        </w:numPr>
      </w:pPr>
      <w:r>
        <w:t xml:space="preserve">Stripe propose une fonction de « funds segregation » (aperçu privé) qui permet un</w:t>
      </w:r>
      <w:r>
        <w:t xml:space="preserve"> </w:t>
      </w:r>
      <w:r>
        <w:rPr>
          <w:rStyle w:val="VerbatimChar"/>
        </w:rPr>
        <w:t xml:space="preserve">application_fee_amount</w:t>
      </w:r>
      <w:r>
        <w:t xml:space="preserve"> </w:t>
      </w:r>
      <w:r>
        <w:t xml:space="preserve">sur le transfert. Elle est optionnelle et sur demande auprès de Stripe :</w:t>
      </w:r>
      <w:r>
        <w:t xml:space="preserve"> </w:t>
      </w:r>
      <w:r>
        <w:rPr>
          <w:b/>
          <w:bCs/>
        </w:rPr>
        <w:t xml:space="preserve">à confirmer</w:t>
      </w:r>
      <w:r>
        <w:t xml:space="preserve">.</w:t>
      </w:r>
    </w:p>
    <w:p>
      <w:pPr>
        <w:pStyle w:val="Compact"/>
        <w:numPr>
          <w:ilvl w:val="0"/>
          <w:numId w:val="1013"/>
        </w:numPr>
      </w:pPr>
      <w:r>
        <w:t xml:space="preserve">Les frais de traitement Stripe sont débités du solde de la plateforme. Ils doivent être pris en compte dans le calcul, mais</w:t>
      </w:r>
      <w:r>
        <w:t xml:space="preserve"> </w:t>
      </w:r>
      <w:r>
        <w:rPr>
          <w:b/>
          <w:bCs/>
        </w:rPr>
        <w:t xml:space="preserve">pas</w:t>
      </w:r>
      <w:r>
        <w:t xml:space="preserve"> </w:t>
      </w:r>
      <w:r>
        <w:t xml:space="preserve">affichés comme « frais de Stripe » s'ils contiennent une marge (volet légal 5).</w:t>
      </w:r>
    </w:p>
    <w:p>
      <w:pPr>
        <w:pStyle w:val="Compact"/>
        <w:numPr>
          <w:ilvl w:val="0"/>
          <w:numId w:val="1013"/>
        </w:numPr>
      </w:pPr>
      <w:r>
        <w:t xml:space="preserve">Stripe recommande ce type de paiement seulement si la plateforme assume les soldes négatifs de ses comptes connectés (doc Stripe). Cela a un impact sur la configuration de Connect et sur la gestion des risques.</w:t>
      </w:r>
    </w:p>
    <w:p>
      <w:pPr>
        <w:pStyle w:val="Compact"/>
        <w:numPr>
          <w:ilvl w:val="0"/>
          <w:numId w:val="1013"/>
        </w:numPr>
      </w:pPr>
      <w:r>
        <w:t xml:space="preserve">Le modèle de comptabilité interne (registre</w:t>
      </w:r>
      <w:r>
        <w:t xml:space="preserve"> </w:t>
      </w:r>
      <w:r>
        <w:rPr>
          <w:rStyle w:val="VerbatimChar"/>
        </w:rPr>
        <w:t xml:space="preserve">payments</w:t>
      </w:r>
      <w:r>
        <w:t xml:space="preserve"> </w:t>
      </w:r>
      <w:r>
        <w:t xml:space="preserve">/</w:t>
      </w:r>
      <w:r>
        <w:t xml:space="preserve"> </w:t>
      </w:r>
      <w:r>
        <w:rPr>
          <w:rStyle w:val="VerbatimChar"/>
        </w:rPr>
        <w:t xml:space="preserve">transfers</w:t>
      </w:r>
      <w:r>
        <w:t xml:space="preserve"> </w:t>
      </w:r>
      <w:r>
        <w:t xml:space="preserve">/ commission) permet de rapprocher chaque réservation avec les rapports Stripe.</w:t>
      </w:r>
    </w:p>
    <w:bookmarkEnd w:id="56"/>
    <w:bookmarkStart w:id="57" w:name="frais-de-versement-instantané"/>
    <w:p>
      <w:pPr>
        <w:pStyle w:val="Heading3"/>
      </w:pPr>
      <w:r>
        <w:t xml:space="preserve">4.3 Frais de versement instantané</w:t>
      </w:r>
    </w:p>
    <w:p>
      <w:pPr>
        <w:pStyle w:val="FirstParagraph"/>
      </w:pPr>
      <w:r>
        <w:t xml:space="preserve">Voir volet légal, section 5.</w:t>
      </w:r>
    </w:p>
    <w:p>
      <w:pPr>
        <w:pStyle w:val="Compact"/>
        <w:numPr>
          <w:ilvl w:val="0"/>
          <w:numId w:val="1014"/>
        </w:numPr>
      </w:pPr>
      <w:r>
        <w:t xml:space="preserve">Stripe permet de monétiser les versements instantanés de Connect par des</w:t>
      </w:r>
      <w:r>
        <w:t xml:space="preserve"> </w:t>
      </w:r>
      <w:r>
        <w:rPr>
          <w:b/>
          <w:bCs/>
        </w:rPr>
        <w:t xml:space="preserve">frais d'application</w:t>
      </w:r>
      <w:r>
        <w:t xml:space="preserve"> </w:t>
      </w:r>
      <w:r>
        <w:t xml:space="preserve">(méthode recommandée par Stripe) ou par un débit du compte, configurables avec le</w:t>
      </w:r>
      <w:r>
        <w:t xml:space="preserve"> </w:t>
      </w:r>
      <w:r>
        <w:rPr>
          <w:b/>
          <w:bCs/>
        </w:rPr>
        <w:t xml:space="preserve">Platform Pricing Tool</w:t>
      </w:r>
      <w:r>
        <w:t xml:space="preserve">. Stripe facture aussi des frais à la plateforme pour chaque versement instantané (voir la grille tarifaire de Stripe Connect). Applicabilité exacte à la configuration de Volis :</w:t>
      </w:r>
      <w:r>
        <w:t xml:space="preserve"> </w:t>
      </w:r>
      <w:r>
        <w:rPr>
          <w:b/>
          <w:bCs/>
        </w:rPr>
        <w:t xml:space="preserve">à confirmer avec Stripe</w:t>
      </w:r>
      <w:r>
        <w:t xml:space="preserve">.</w:t>
      </w:r>
    </w:p>
    <w:p>
      <w:pPr>
        <w:pStyle w:val="Compact"/>
        <w:numPr>
          <w:ilvl w:val="0"/>
          <w:numId w:val="1014"/>
        </w:numPr>
      </w:pPr>
      <w:r>
        <w:t xml:space="preserve">L'écran de versement montre les frais</w:t>
      </w:r>
      <w:r>
        <w:t xml:space="preserve"> </w:t>
      </w:r>
      <w:r>
        <w:rPr>
          <w:b/>
          <w:bCs/>
        </w:rPr>
        <w:t xml:space="preserve">avant</w:t>
      </w:r>
      <w:r>
        <w:t xml:space="preserve"> </w:t>
      </w:r>
      <w:r>
        <w:t xml:space="preserve">que le voyageur choisisse. Le</w:t>
      </w:r>
      <w:r>
        <w:t xml:space="preserve"> </w:t>
      </w:r>
      <w:r>
        <w:rPr>
          <w:b/>
          <w:bCs/>
        </w:rPr>
        <w:t xml:space="preserve">virement standard sans frais Volis reste toujours offert</w:t>
      </w:r>
      <w:r>
        <w:t xml:space="preserve">. Si une marge s'ajoute aux frais de Stripe, elle est libellée comme frais Volis.</w:t>
      </w:r>
    </w:p>
    <w:p>
      <w:pPr>
        <w:pStyle w:val="Compact"/>
        <w:numPr>
          <w:ilvl w:val="0"/>
          <w:numId w:val="1014"/>
        </w:numPr>
      </w:pPr>
      <w:r>
        <w:t xml:space="preserve">Admissibilité : seulement si le compte connecté a une carte de débit admissible. Le statut est lu chez Stripe (</w:t>
      </w:r>
      <w:r>
        <w:rPr>
          <w:rStyle w:val="VerbatimChar"/>
        </w:rPr>
        <w:t xml:space="preserve">account.updated</w:t>
      </w:r>
      <w:r>
        <w:t xml:space="preserve">) et non déduit par l'app.</w:t>
      </w:r>
    </w:p>
    <w:p>
      <w:pPr>
        <w:pStyle w:val="Compact"/>
        <w:numPr>
          <w:ilvl w:val="0"/>
          <w:numId w:val="1014"/>
        </w:numPr>
      </w:pPr>
      <w:r>
        <w:t xml:space="preserve">Statuts « en cours → déposé » alimentés par</w:t>
      </w:r>
      <w:r>
        <w:t xml:space="preserve"> </w:t>
      </w:r>
      <w:r>
        <w:rPr>
          <w:rStyle w:val="VerbatimChar"/>
        </w:rPr>
        <w:t xml:space="preserve">payout.*</w:t>
      </w:r>
      <w:r>
        <w:t xml:space="preserve"> </w:t>
      </w:r>
      <w:r>
        <w:t xml:space="preserve">(point de terminaison Connect).</w:t>
      </w:r>
    </w:p>
    <w:bookmarkEnd w:id="57"/>
    <w:bookmarkStart w:id="58" w:name="assurance-optionnelle-via-un-partenaire"/>
    <w:p>
      <w:pPr>
        <w:pStyle w:val="Heading3"/>
      </w:pPr>
      <w:r>
        <w:t xml:space="preserve">4.4 Assurance optionnelle via un partenaire</w:t>
      </w:r>
    </w:p>
    <w:p>
      <w:pPr>
        <w:pStyle w:val="FirstParagraph"/>
      </w:pPr>
      <w:r>
        <w:t xml:space="preserve">Voir volet légal, section 4. Le partenaire, son API et le mode de distribution (option A « recommandation » ou option B « distribution sans représentant ») sont</w:t>
      </w:r>
      <w:r>
        <w:t xml:space="preserve"> </w:t>
      </w:r>
      <w:r>
        <w:rPr>
          <w:b/>
          <w:bCs/>
        </w:rPr>
        <w:t xml:space="preserve">à confirmer</w:t>
      </w:r>
      <w:r>
        <w:t xml:space="preserve">.</w:t>
      </w:r>
    </w:p>
    <w:p>
      <w:pPr>
        <w:pStyle w:val="Compact"/>
        <w:numPr>
          <w:ilvl w:val="0"/>
          <w:numId w:val="1015"/>
        </w:numPr>
      </w:pPr>
      <w:r>
        <w:rPr>
          <w:b/>
          <w:bCs/>
        </w:rPr>
        <w:t xml:space="preserve">Option A</w:t>
      </w:r>
      <w:r>
        <w:t xml:space="preserve"> </w:t>
      </w:r>
      <w:r>
        <w:t xml:space="preserve">: lien ou redirection vers l'assureur, qui vend et encaisse lui-même. Côté technique : lien de recommandation suivi, puis retour éventuel d'un statut de police par API ou webhook du partenaire (</w:t>
      </w:r>
      <w:r>
        <w:rPr>
          <w:b/>
          <w:bCs/>
        </w:rPr>
        <w:t xml:space="preserve">à confirmer</w:t>
      </w:r>
      <w:r>
        <w:t xml:space="preserve">). Aucun encaissement de prime par Volis.</w:t>
      </w:r>
    </w:p>
    <w:p>
      <w:pPr>
        <w:pStyle w:val="Compact"/>
        <w:numPr>
          <w:ilvl w:val="0"/>
          <w:numId w:val="1015"/>
        </w:numPr>
      </w:pPr>
      <w:r>
        <w:rPr>
          <w:b/>
          <w:bCs/>
        </w:rPr>
        <w:t xml:space="preserve">Option B</w:t>
      </w:r>
      <w:r>
        <w:t xml:space="preserve"> </w:t>
      </w:r>
      <w:r>
        <w:t xml:space="preserve">: intégration API avec l'assureur (devis, émission, annulation). Le traitement de la prime (encaissée par Volis puis reversée, ou par l'assureur) est</w:t>
      </w:r>
      <w:r>
        <w:t xml:space="preserve"> </w:t>
      </w:r>
      <w:r>
        <w:rPr>
          <w:b/>
          <w:bCs/>
        </w:rPr>
        <w:t xml:space="preserve">à confirmer avec l'avocat et l'assureur</w:t>
      </w:r>
      <w:r>
        <w:t xml:space="preserve"> </w:t>
      </w:r>
      <w:r>
        <w:t xml:space="preserve">avant toute conception du flux de paiement.</w:t>
      </w:r>
    </w:p>
    <w:p>
      <w:pPr>
        <w:pStyle w:val="Compact"/>
        <w:numPr>
          <w:ilvl w:val="0"/>
          <w:numId w:val="1015"/>
        </w:numPr>
      </w:pPr>
      <w:r>
        <w:t xml:space="preserve">Exigences d'interface reprises du volet légal : case</w:t>
      </w:r>
      <w:r>
        <w:t xml:space="preserve"> </w:t>
      </w:r>
      <w:r>
        <w:rPr>
          <w:b/>
          <w:bCs/>
        </w:rPr>
        <w:t xml:space="preserve">non cochée d'avance</w:t>
      </w:r>
      <w:r>
        <w:t xml:space="preserve">, prix montré à part, limites, exclusions et plafond affichés près de la valeur déclarée ; jamais obligatoire.</w:t>
      </w:r>
    </w:p>
    <w:p>
      <w:pPr>
        <w:pStyle w:val="Compact"/>
        <w:numPr>
          <w:ilvl w:val="0"/>
          <w:numId w:val="1015"/>
        </w:numPr>
      </w:pPr>
      <w:r>
        <w:t xml:space="preserve">Données transmises à l'assureur : minimales, couvertes par l'ÉFVP et le consentement (Loi 25).</w:t>
      </w:r>
    </w:p>
    <w:bookmarkEnd w:id="58"/>
    <w:bookmarkStart w:id="59" w:name="mises-en-avant-ou-abonnement-plus-tard"/>
    <w:p>
      <w:pPr>
        <w:pStyle w:val="Heading3"/>
      </w:pPr>
      <w:r>
        <w:t xml:space="preserve">4.5 Mises en avant ou abonnement (plus tard)</w:t>
      </w:r>
    </w:p>
    <w:p>
      <w:pPr>
        <w:pStyle w:val="FirstParagraph"/>
      </w:pPr>
      <w:r>
        <w:t xml:space="preserve">Voir volet légal, section 6 (contrats à exécution successive).</w:t>
      </w:r>
    </w:p>
    <w:p>
      <w:pPr>
        <w:pStyle w:val="Compact"/>
        <w:numPr>
          <w:ilvl w:val="0"/>
          <w:numId w:val="1016"/>
        </w:numPr>
      </w:pPr>
      <w:r>
        <w:rPr>
          <w:b/>
          <w:bCs/>
        </w:rPr>
        <w:t xml:space="preserve">Mise en avant d'une annonce</w:t>
      </w:r>
      <w:r>
        <w:t xml:space="preserve"> </w:t>
      </w:r>
      <w:r>
        <w:t xml:space="preserve">: achat ponctuel par un</w:t>
      </w:r>
      <w:r>
        <w:t xml:space="preserve"> </w:t>
      </w:r>
      <w:r>
        <w:rPr>
          <w:rStyle w:val="VerbatimChar"/>
        </w:rPr>
        <w:t xml:space="preserve">PaymentIntent</w:t>
      </w:r>
      <w:r>
        <w:t xml:space="preserve"> </w:t>
      </w:r>
      <w:r>
        <w:t xml:space="preserve">de la plateforme (sans transfert) ; durée et prix</w:t>
      </w:r>
      <w:r>
        <w:t xml:space="preserve"> </w:t>
      </w:r>
      <w:r>
        <w:rPr>
          <w:b/>
          <w:bCs/>
        </w:rPr>
        <w:t xml:space="preserve">à décider</w:t>
      </w:r>
      <w:r>
        <w:t xml:space="preserve">.</w:t>
      </w:r>
    </w:p>
    <w:p>
      <w:pPr>
        <w:pStyle w:val="Compact"/>
        <w:numPr>
          <w:ilvl w:val="0"/>
          <w:numId w:val="1016"/>
        </w:numPr>
      </w:pPr>
      <w:r>
        <w:rPr>
          <w:b/>
          <w:bCs/>
        </w:rPr>
        <w:t xml:space="preserve">Abonnement</w:t>
      </w:r>
      <w:r>
        <w:t xml:space="preserve"> </w:t>
      </w:r>
      <w:r>
        <w:t xml:space="preserve">:</w:t>
      </w:r>
      <w:r>
        <w:t xml:space="preserve"> </w:t>
      </w:r>
      <w:r>
        <w:rPr>
          <w:b/>
          <w:bCs/>
        </w:rPr>
        <w:t xml:space="preserve">Stripe Billing</w:t>
      </w:r>
      <w:r>
        <w:t xml:space="preserve"> </w:t>
      </w:r>
      <w:r>
        <w:t xml:space="preserve">(produits, prix, abonnements, portail client) ; webhooks</w:t>
      </w:r>
      <w:r>
        <w:t xml:space="preserve"> </w:t>
      </w:r>
      <w:r>
        <w:rPr>
          <w:rStyle w:val="VerbatimChar"/>
        </w:rPr>
        <w:t xml:space="preserve">customer.subscription.*</w:t>
      </w:r>
      <w:r>
        <w:t xml:space="preserve"> </w:t>
      </w:r>
      <w:r>
        <w:t xml:space="preserve">et</w:t>
      </w:r>
      <w:r>
        <w:t xml:space="preserve"> </w:t>
      </w:r>
      <w:r>
        <w:rPr>
          <w:rStyle w:val="VerbatimChar"/>
        </w:rPr>
        <w:t xml:space="preserve">invoice.*</w:t>
      </w:r>
      <w:r>
        <w:t xml:space="preserve">. Le serveur contrôle les droits (jamais une simple valeur « premium » dans l'app, voir guide 2.2.3).</w:t>
      </w:r>
    </w:p>
    <w:p>
      <w:pPr>
        <w:pStyle w:val="Compact"/>
        <w:numPr>
          <w:ilvl w:val="0"/>
          <w:numId w:val="1016"/>
        </w:numPr>
      </w:pPr>
      <w:r>
        <w:t xml:space="preserve">Avis avant renouvellement, résiliation et prix clair : selon le volet légal.</w:t>
      </w:r>
    </w:p>
    <w:p>
      <w:pPr>
        <w:pStyle w:val="Compact"/>
        <w:numPr>
          <w:ilvl w:val="0"/>
          <w:numId w:val="1016"/>
        </w:numPr>
      </w:pPr>
      <w:r>
        <w:t xml:space="preserve">Si un achat se fait dans l'app mobile pour un contenu ou une fonction numérique, les règles des stores sur les achats intégrés peuvent s'appliquer :</w:t>
      </w:r>
      <w:r>
        <w:t xml:space="preserve"> </w:t>
      </w:r>
      <w:r>
        <w:rPr>
          <w:b/>
          <w:bCs/>
        </w:rPr>
        <w:t xml:space="preserve">à confirmer</w:t>
      </w:r>
      <w:r>
        <w:t xml:space="preserve"> </w:t>
      </w:r>
      <w:r>
        <w:t xml:space="preserve">avant de concevoir ces offres.</w:t>
      </w:r>
    </w:p>
    <w:bookmarkEnd w:id="59"/>
    <w:bookmarkStart w:id="60" w:name="remboursements-et-litiges"/>
    <w:p>
      <w:pPr>
        <w:pStyle w:val="Heading3"/>
      </w:pPr>
      <w:r>
        <w:t xml:space="preserve">4.6 Remboursements et litiges</w:t>
      </w:r>
    </w:p>
    <w:p>
      <w:pPr>
        <w:pStyle w:val="FirstParagraph"/>
      </w:pPr>
      <w:r>
        <w:t xml:space="preserve">Voir volet légal, section 6.</w:t>
      </w:r>
    </w:p>
    <w:p>
      <w:pPr>
        <w:pStyle w:val="Compact"/>
        <w:numPr>
          <w:ilvl w:val="0"/>
          <w:numId w:val="1017"/>
        </w:numPr>
      </w:pPr>
      <w:r>
        <w:t xml:space="preserve">Remboursement total ou partiel par</w:t>
      </w:r>
      <w:r>
        <w:t xml:space="preserve"> </w:t>
      </w:r>
      <w:r>
        <w:rPr>
          <w:rStyle w:val="VerbatimChar"/>
        </w:rPr>
        <w:t xml:space="preserve">Refund</w:t>
      </w:r>
      <w:r>
        <w:t xml:space="preserve"> </w:t>
      </w:r>
      <w:r>
        <w:t xml:space="preserve">sur le paiement de la plateforme. S'il a déjà eu lieu, un transfert peut être annulé (reversal) selon les conditions acceptées par le voyageur (</w:t>
      </w:r>
      <w:r>
        <w:rPr>
          <w:b/>
          <w:bCs/>
        </w:rPr>
        <w:t xml:space="preserve">à confirmer avec l'équipe juridique</w:t>
      </w:r>
      <w:r>
        <w:t xml:space="preserve">).</w:t>
      </w:r>
    </w:p>
    <w:p>
      <w:pPr>
        <w:pStyle w:val="Compact"/>
        <w:numPr>
          <w:ilvl w:val="0"/>
          <w:numId w:val="1017"/>
        </w:numPr>
      </w:pPr>
      <w:r>
        <w:t xml:space="preserve">Quels frais sont remboursés : paramétrable côté serveur selon la politique de remboursement finale (volet légal).</w:t>
      </w:r>
    </w:p>
    <w:p>
      <w:pPr>
        <w:pStyle w:val="Compact"/>
        <w:numPr>
          <w:ilvl w:val="0"/>
          <w:numId w:val="1017"/>
        </w:numPr>
      </w:pPr>
      <w:r>
        <w:rPr>
          <w:b/>
          <w:bCs/>
        </w:rPr>
        <w:t xml:space="preserve">Rétrofacturations</w:t>
      </w:r>
      <w:r>
        <w:t xml:space="preserve"> </w:t>
      </w:r>
      <w:r>
        <w:t xml:space="preserve">: à</w:t>
      </w:r>
      <w:r>
        <w:t xml:space="preserve"> </w:t>
      </w:r>
      <w:r>
        <w:rPr>
          <w:rStyle w:val="VerbatimChar"/>
        </w:rPr>
        <w:t xml:space="preserve">charge.dispute.created</w:t>
      </w:r>
      <w:r>
        <w:t xml:space="preserve">, le serveur assemble les preuves (photos de remise, confirmations horodatées, messages pertinents) pour la réponse à Stripe. Perte assumée selon les conditions (volet légal 6).</w:t>
      </w:r>
    </w:p>
    <w:p>
      <w:pPr>
        <w:pStyle w:val="Compact"/>
        <w:numPr>
          <w:ilvl w:val="0"/>
          <w:numId w:val="1017"/>
        </w:numPr>
      </w:pPr>
      <w:r>
        <w:rPr>
          <w:b/>
          <w:bCs/>
        </w:rPr>
        <w:t xml:space="preserve">Encaissement des fonds</w:t>
      </w:r>
      <w:r>
        <w:t xml:space="preserve"> </w:t>
      </w:r>
      <w:r>
        <w:t xml:space="preserve">: le modèle « separate charges and transfers » fait transiter l'argent par le solde Stripe de Volis. Statut au regard de la Loi sur les activités associées aux paiements de détail :</w:t>
      </w:r>
      <w:r>
        <w:t xml:space="preserve"> </w:t>
      </w:r>
      <w:r>
        <w:rPr>
          <w:b/>
          <w:bCs/>
        </w:rPr>
        <w:t xml:space="preserve">à confirmer par l'avocat</w:t>
      </w:r>
      <w:r>
        <w:t xml:space="preserve"> </w:t>
      </w:r>
      <w:r>
        <w:t xml:space="preserve">(volet légal 6). Ne pas modifier ce flux sans cet avis.</w:t>
      </w:r>
    </w:p>
    <w:bookmarkEnd w:id="60"/>
    <w:bookmarkEnd w:id="61"/>
    <w:bookmarkStart w:id="62" w:name="exigences-non-fonctionnelles"/>
    <w:p>
      <w:pPr>
        <w:pStyle w:val="Heading2"/>
      </w:pPr>
      <w:r>
        <w:t xml:space="preserve">5. Exigences non fonctionnelles</w:t>
      </w:r>
    </w:p>
    <w:p>
      <w:pPr>
        <w:pStyle w:val="FirstParagraph"/>
      </w:pPr>
      <w:r>
        <w:t xml:space="preserve">Les objectifs chiffrés ci-dessous sont</w:t>
      </w:r>
      <w:r>
        <w:t xml:space="preserve"> </w:t>
      </w:r>
      <w:r>
        <w:rPr>
          <w:b/>
          <w:bCs/>
        </w:rPr>
        <w:t xml:space="preserve">à définir</w:t>
      </w:r>
      <w:r>
        <w:t xml:space="preserve"> </w:t>
      </w:r>
      <w:r>
        <w:t xml:space="preserve">avec Faycal avant le MVP. Ce document fixe les indicateurs à mesurer, pas leurs seuils.</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1563"/>
        <w:gridCol w:w="6044"/>
        <w:gridCol w:w="2312"/>
      </w:tblGrid>
      <w:tr>
        <w:trPr>
          <w:tblHeader w:val="on"/>
        </w:trPr>
        <w:tc>
          <w:tcPr>
            <w:tcW w:type="dxa" w:w="1563"/>
            <w:shd w:val="clear" w:color="auto" w:fill="0F766E"/>
          </w:tcPr>
          <w:p>
            <w:pPr>
              <w:pStyle w:val="Compact"/>
              <w:spacing w:after="20"/>
            </w:pPr>
            <w:r>
              <w:rPr>
                <w:b/>
                <w:color w:val="FFFFFF"/>
                <w:sz w:val="17"/>
              </w:rPr>
              <w:t xml:space="preserve">Domaine</w:t>
            </w:r>
          </w:p>
        </w:tc>
        <w:tc>
          <w:tcPr>
            <w:tcW w:type="dxa" w:w="6045"/>
            <w:shd w:val="clear" w:color="auto" w:fill="0F766E"/>
          </w:tcPr>
          <w:p>
            <w:pPr>
              <w:pStyle w:val="Compact"/>
              <w:spacing w:after="20"/>
            </w:pPr>
            <w:r>
              <w:rPr>
                <w:b/>
                <w:color w:val="FFFFFF"/>
                <w:sz w:val="17"/>
              </w:rPr>
              <w:t xml:space="preserve">Exigence</w:t>
            </w:r>
          </w:p>
        </w:tc>
        <w:tc>
          <w:tcPr>
            <w:tcW w:type="dxa" w:w="2313"/>
            <w:shd w:val="clear" w:color="auto" w:fill="0F766E"/>
          </w:tcPr>
          <w:p>
            <w:pPr>
              <w:pStyle w:val="Compact"/>
              <w:spacing w:after="20"/>
            </w:pPr>
            <w:r>
              <w:rPr>
                <w:b/>
                <w:color w:val="FFFFFF"/>
                <w:sz w:val="17"/>
              </w:rPr>
              <w:t xml:space="preserve">Mesure</w:t>
            </w:r>
          </w:p>
        </w:tc>
      </w:tr>
      <w:tr>
        <w:tc>
          <w:tcPr>
            <w:tcW w:type="dxa" w:w="1563"/>
          </w:tcPr>
          <w:p>
            <w:pPr>
              <w:pStyle w:val="Compact"/>
              <w:spacing w:after="20"/>
            </w:pPr>
            <w:r>
              <w:rPr>
                <w:sz w:val="17"/>
              </w:rPr>
              <w:t xml:space="preserve">Performance</w:t>
            </w:r>
          </w:p>
        </w:tc>
        <w:tc>
          <w:tcPr>
            <w:tcW w:type="dxa" w:w="6045"/>
          </w:tcPr>
          <w:p>
            <w:pPr>
              <w:pStyle w:val="Compact"/>
              <w:spacing w:after="20"/>
            </w:pPr>
            <w:r>
              <w:rPr>
                <w:sz w:val="17"/>
              </w:rPr>
              <w:t xml:space="preserve">Démarrage, temps d'affichage des listes de trajets et temps de réponse des API mesurés en continu ; pagination de toutes les listes ; images redimensionnées côté serveur.</w:t>
            </w:r>
          </w:p>
        </w:tc>
        <w:tc>
          <w:tcPr>
            <w:tcW w:type="dxa" w:w="2313"/>
          </w:tcPr>
          <w:p>
            <w:pPr>
              <w:pStyle w:val="Compact"/>
              <w:spacing w:after="20"/>
            </w:pPr>
            <w:r>
              <w:rPr>
                <w:sz w:val="17"/>
              </w:rPr>
              <w:t xml:space="preserve">Sentry Performance ; seuils</w:t>
            </w:r>
            <w:r>
              <w:rPr>
                <w:sz w:val="17"/>
              </w:rPr>
              <w:t xml:space="preserve"> </w:t>
            </w:r>
            <w:r>
              <w:rPr>
                <w:b/>
                <w:bCs/>
                <w:sz w:val="17"/>
              </w:rPr>
              <w:t xml:space="preserve">à définir</w:t>
            </w:r>
            <w:r>
              <w:rPr>
                <w:sz w:val="17"/>
              </w:rPr>
              <w:t xml:space="preserve">.</w:t>
            </w:r>
          </w:p>
        </w:tc>
      </w:tr>
      <w:tr>
        <w:tc>
          <w:tcPr>
            <w:tcW w:type="dxa" w:w="1563"/>
          </w:tcPr>
          <w:p>
            <w:pPr>
              <w:pStyle w:val="Compact"/>
              <w:spacing w:after="20"/>
            </w:pPr>
            <w:r>
              <w:rPr>
                <w:sz w:val="17"/>
              </w:rPr>
              <w:t xml:space="preserve">Disponibilité</w:t>
            </w:r>
          </w:p>
        </w:tc>
        <w:tc>
          <w:tcPr>
            <w:tcW w:type="dxa" w:w="6045"/>
          </w:tcPr>
          <w:p>
            <w:pPr>
              <w:pStyle w:val="Compact"/>
              <w:spacing w:after="20"/>
            </w:pPr>
            <w:r>
              <w:rPr>
                <w:sz w:val="17"/>
              </w:rPr>
              <w:t xml:space="preserve">Objectif de disponibilité</w:t>
            </w:r>
            <w:r>
              <w:rPr>
                <w:sz w:val="17"/>
              </w:rPr>
              <w:t xml:space="preserve"> </w:t>
            </w:r>
            <w:r>
              <w:rPr>
                <w:b/>
                <w:bCs/>
                <w:sz w:val="17"/>
              </w:rPr>
              <w:t xml:space="preserve">à définir</w:t>
            </w:r>
            <w:r>
              <w:rPr>
                <w:sz w:val="17"/>
              </w:rPr>
              <w:t xml:space="preserve"> </w:t>
            </w:r>
            <w:r>
              <w:rPr>
                <w:sz w:val="17"/>
              </w:rPr>
              <w:t xml:space="preserve">; dégradation contrôlée si Stripe ou le push est indisponible (les webhooks sont rejoués par Stripe, idempotence SEC-08).</w:t>
            </w:r>
          </w:p>
        </w:tc>
        <w:tc>
          <w:tcPr>
            <w:tcW w:type="dxa" w:w="2313"/>
          </w:tcPr>
          <w:p>
            <w:pPr>
              <w:pStyle w:val="Compact"/>
              <w:spacing w:after="20"/>
            </w:pPr>
            <w:r>
              <w:rPr>
                <w:sz w:val="17"/>
              </w:rPr>
              <w:t xml:space="preserve">Surveillance de disponibilité ; alertes.</w:t>
            </w:r>
          </w:p>
        </w:tc>
      </w:tr>
      <w:tr>
        <w:tc>
          <w:tcPr>
            <w:tcW w:type="dxa" w:w="1563"/>
          </w:tcPr>
          <w:p>
            <w:pPr>
              <w:pStyle w:val="Compact"/>
              <w:spacing w:after="20"/>
            </w:pPr>
            <w:r>
              <w:rPr>
                <w:sz w:val="17"/>
              </w:rPr>
              <w:t xml:space="preserve">Accessibilité</w:t>
            </w:r>
          </w:p>
        </w:tc>
        <w:tc>
          <w:tcPr>
            <w:tcW w:type="dxa" w:w="6045"/>
          </w:tcPr>
          <w:p>
            <w:pPr>
              <w:pStyle w:val="Compact"/>
              <w:spacing w:after="20"/>
            </w:pPr>
            <w:r>
              <w:rPr>
                <w:b/>
                <w:bCs/>
                <w:sz w:val="17"/>
              </w:rPr>
              <w:t xml:space="preserve">WCAG 2.2 niveau AA</w:t>
            </w:r>
            <w:r>
              <w:rPr>
                <w:sz w:val="17"/>
              </w:rPr>
              <w:t xml:space="preserve"> </w:t>
            </w:r>
            <w:r>
              <w:rPr>
                <w:sz w:val="17"/>
              </w:rPr>
              <w:t xml:space="preserve">pour l'app et le web : contrastes, tailles des cibles, libellés des lecteurs d'écran (VoiceOver, TalkBack), navigation au clavier sur le web, respect de la taille de texte du système, mise en page RTL correcte en arabe.</w:t>
            </w:r>
          </w:p>
        </w:tc>
        <w:tc>
          <w:tcPr>
            <w:tcW w:type="dxa" w:w="2313"/>
          </w:tcPr>
          <w:p>
            <w:pPr>
              <w:pStyle w:val="Compact"/>
              <w:spacing w:after="20"/>
            </w:pPr>
            <w:r>
              <w:rPr>
                <w:sz w:val="17"/>
              </w:rPr>
              <w:t xml:space="preserve">Audit d'accessibilité avant le lancement ; tests automatisés sur le web (</w:t>
            </w:r>
            <w:r>
              <w:rPr>
                <w:b/>
                <w:bCs/>
                <w:sz w:val="17"/>
              </w:rPr>
              <w:t xml:space="preserve">outil à confirmer</w:t>
            </w:r>
            <w:r>
              <w:rPr>
                <w:sz w:val="17"/>
              </w:rPr>
              <w:t xml:space="preserve">).</w:t>
            </w:r>
          </w:p>
        </w:tc>
      </w:tr>
      <w:tr>
        <w:tc>
          <w:tcPr>
            <w:tcW w:type="dxa" w:w="1563"/>
          </w:tcPr>
          <w:p>
            <w:pPr>
              <w:pStyle w:val="Compact"/>
              <w:spacing w:after="20"/>
            </w:pPr>
            <w:r>
              <w:rPr>
                <w:sz w:val="17"/>
              </w:rPr>
              <w:t xml:space="preserve">Hors-ligne partiel</w:t>
            </w:r>
          </w:p>
        </w:tc>
        <w:tc>
          <w:tcPr>
            <w:tcW w:type="dxa" w:w="6045"/>
          </w:tcPr>
          <w:p>
            <w:pPr>
              <w:pStyle w:val="Compact"/>
              <w:spacing w:after="20"/>
            </w:pPr>
            <w:r>
              <w:rPr>
                <w:sz w:val="17"/>
              </w:rPr>
              <w:t xml:space="preserve">Lecture des réservations, de l'historique et des messages déjà chargés hors connexion ; prise de photos de remise mise en file d'attente et envoyée au retour du réseau ;</w:t>
            </w:r>
            <w:r>
              <w:rPr>
                <w:sz w:val="17"/>
              </w:rPr>
              <w:t xml:space="preserve"> </w:t>
            </w:r>
            <w:r>
              <w:rPr>
                <w:b/>
                <w:bCs/>
                <w:sz w:val="17"/>
              </w:rPr>
              <w:t xml:space="preserve">aucune transition de paiement ni de statut validée hors ligne</w:t>
            </w:r>
            <w:r>
              <w:rPr>
                <w:sz w:val="17"/>
              </w:rPr>
              <w:t xml:space="preserve"> </w:t>
            </w:r>
            <w:r>
              <w:rPr>
                <w:sz w:val="17"/>
              </w:rPr>
              <w:t xml:space="preserve">(le serveur reste l'arbitre). Cache local sans données sensibles, purgé à la déconnexion.</w:t>
            </w:r>
          </w:p>
        </w:tc>
        <w:tc>
          <w:tcPr>
            <w:tcW w:type="dxa" w:w="2313"/>
          </w:tcPr>
          <w:p>
            <w:pPr>
              <w:pStyle w:val="Compact"/>
              <w:spacing w:after="20"/>
            </w:pPr>
            <w:r>
              <w:rPr>
                <w:sz w:val="17"/>
              </w:rPr>
              <w:t xml:space="preserve">Tests E2E en mode avion.</w:t>
            </w:r>
          </w:p>
        </w:tc>
      </w:tr>
      <w:tr>
        <w:tc>
          <w:tcPr>
            <w:tcW w:type="dxa" w:w="1563"/>
          </w:tcPr>
          <w:p>
            <w:pPr>
              <w:pStyle w:val="Compact"/>
              <w:spacing w:after="20"/>
            </w:pPr>
            <w:r>
              <w:rPr>
                <w:sz w:val="17"/>
              </w:rPr>
              <w:t xml:space="preserve">Compatibilité</w:t>
            </w:r>
          </w:p>
        </w:tc>
        <w:tc>
          <w:tcPr>
            <w:tcW w:type="dxa" w:w="6045"/>
          </w:tcPr>
          <w:p>
            <w:pPr>
              <w:pStyle w:val="Compact"/>
              <w:spacing w:after="20"/>
            </w:pPr>
            <w:r>
              <w:rPr>
                <w:sz w:val="17"/>
              </w:rPr>
              <w:t xml:space="preserve">Versions minimales d'iOS et d'Android :</w:t>
            </w:r>
            <w:r>
              <w:rPr>
                <w:sz w:val="17"/>
              </w:rPr>
              <w:t xml:space="preserve"> </w:t>
            </w:r>
            <w:r>
              <w:rPr>
                <w:b/>
                <w:bCs/>
                <w:sz w:val="17"/>
              </w:rPr>
              <w:t xml:space="preserve">à confirmer</w:t>
            </w:r>
            <w:r>
              <w:rPr>
                <w:sz w:val="17"/>
              </w:rPr>
              <w:t xml:space="preserve"> </w:t>
            </w:r>
            <w:r>
              <w:rPr>
                <w:sz w:val="17"/>
              </w:rPr>
              <w:t xml:space="preserve">selon la version du SDK Expo retenue. Navigateurs web : versions récentes des principaux navigateurs (</w:t>
            </w:r>
            <w:r>
              <w:rPr>
                <w:b/>
                <w:bCs/>
                <w:sz w:val="17"/>
              </w:rPr>
              <w:t xml:space="preserve">liste à confirmer</w:t>
            </w:r>
            <w:r>
              <w:rPr>
                <w:sz w:val="17"/>
              </w:rPr>
              <w:t xml:space="preserve">).</w:t>
            </w:r>
          </w:p>
        </w:tc>
        <w:tc>
          <w:tcPr>
            <w:tcW w:type="dxa" w:w="2313"/>
          </w:tcPr>
          <w:p>
            <w:pPr>
              <w:pStyle w:val="Compact"/>
              <w:spacing w:after="20"/>
            </w:pPr>
            <w:r>
              <w:rPr>
                <w:sz w:val="17"/>
              </w:rPr>
              <w:t xml:space="preserve">Matrice d'appareils de test.</w:t>
            </w:r>
          </w:p>
        </w:tc>
      </w:tr>
      <w:tr>
        <w:tc>
          <w:tcPr>
            <w:tcW w:type="dxa" w:w="1563"/>
          </w:tcPr>
          <w:p>
            <w:pPr>
              <w:pStyle w:val="Compact"/>
              <w:spacing w:after="20"/>
            </w:pPr>
            <w:r>
              <w:rPr>
                <w:sz w:val="17"/>
              </w:rPr>
              <w:t xml:space="preserve">Conformité stores 2026</w:t>
            </w:r>
          </w:p>
        </w:tc>
        <w:tc>
          <w:tcPr>
            <w:tcW w:type="dxa" w:w="6045"/>
          </w:tcPr>
          <w:p>
            <w:pPr>
              <w:pStyle w:val="Compact"/>
              <w:spacing w:after="20"/>
            </w:pPr>
            <w:r>
              <w:rPr>
                <w:b/>
                <w:bCs/>
                <w:sz w:val="17"/>
              </w:rPr>
              <w:t xml:space="preserve">Google Play : cibler l'API 36 (Android 16)</w:t>
            </w:r>
            <w:r>
              <w:rPr>
                <w:sz w:val="17"/>
              </w:rPr>
              <w:t xml:space="preserve"> </w:t>
            </w:r>
            <w:r>
              <w:rPr>
                <w:sz w:val="17"/>
              </w:rPr>
              <w:t xml:space="preserve">pour toute nouvelle app ou mise à jour depuis le 31 août 2026.</w:t>
            </w:r>
            <w:r>
              <w:rPr>
                <w:sz w:val="17"/>
              </w:rPr>
              <w:t xml:space="preserve"> </w:t>
            </w:r>
            <w:r>
              <w:rPr>
                <w:b/>
                <w:bCs/>
                <w:sz w:val="17"/>
              </w:rPr>
              <w:t xml:space="preserve">Apple : builds avec Xcode 26 et le SDK iOS 26</w:t>
            </w:r>
            <w:r>
              <w:rPr>
                <w:sz w:val="17"/>
              </w:rPr>
              <w:t xml:space="preserve"> </w:t>
            </w:r>
            <w:r>
              <w:rPr>
                <w:sz w:val="17"/>
              </w:rPr>
              <w:t xml:space="preserve">depuis le 28 avril 2026. Compatibilité de la version du SDK Expo retenue avec ces exigences :</w:t>
            </w:r>
            <w:r>
              <w:rPr>
                <w:sz w:val="17"/>
              </w:rPr>
              <w:t xml:space="preserve"> </w:t>
            </w:r>
            <w:r>
              <w:rPr>
                <w:b/>
                <w:bCs/>
                <w:sz w:val="17"/>
              </w:rPr>
              <w:t xml:space="preserve">à confirmer</w:t>
            </w:r>
            <w:r>
              <w:rPr>
                <w:sz w:val="17"/>
              </w:rPr>
              <w:t xml:space="preserve">. Fiches Sécurité des données (Google) et étiquettes de confidentialité + privacy manifest (Apple) exactes.</w:t>
            </w:r>
          </w:p>
        </w:tc>
        <w:tc>
          <w:tcPr>
            <w:tcW w:type="dxa" w:w="2313"/>
          </w:tcPr>
          <w:p>
            <w:pPr>
              <w:pStyle w:val="Compact"/>
              <w:spacing w:after="20"/>
            </w:pPr>
            <w:r>
              <w:rPr>
                <w:sz w:val="17"/>
              </w:rPr>
              <w:t xml:space="preserve">Vérification à chaque release (pages officielles « Target API level requirements » et « Upcoming Requirements »).</w:t>
            </w:r>
          </w:p>
        </w:tc>
      </w:tr>
      <w:tr>
        <w:tc>
          <w:tcPr>
            <w:tcW w:type="dxa" w:w="1563"/>
          </w:tcPr>
          <w:p>
            <w:pPr>
              <w:pStyle w:val="Compact"/>
              <w:spacing w:after="20"/>
            </w:pPr>
            <w:r>
              <w:rPr>
                <w:sz w:val="17"/>
              </w:rPr>
              <w:t xml:space="preserve">Internationalisation</w:t>
            </w:r>
          </w:p>
        </w:tc>
        <w:tc>
          <w:tcPr>
            <w:tcW w:type="dxa" w:w="6045"/>
          </w:tcPr>
          <w:p>
            <w:pPr>
              <w:pStyle w:val="Compact"/>
              <w:spacing w:after="20"/>
            </w:pPr>
            <w:r>
              <w:rPr>
                <w:sz w:val="17"/>
              </w:rPr>
              <w:t xml:space="preserve">fr, en, ar (RTL) ; formats de date, nombre et devise selon la langue ; textes légaux en français disponibles en priorité.</w:t>
            </w:r>
          </w:p>
        </w:tc>
        <w:tc>
          <w:tcPr>
            <w:tcW w:type="dxa" w:w="2313"/>
          </w:tcPr>
          <w:p>
            <w:pPr>
              <w:pStyle w:val="Compact"/>
              <w:spacing w:after="20"/>
            </w:pPr>
            <w:r>
              <w:rPr>
                <w:sz w:val="17"/>
              </w:rPr>
              <w:t xml:space="preserve">Revue linguistique ; tests visuels RTL.</w:t>
            </w:r>
          </w:p>
        </w:tc>
      </w:tr>
      <w:tr>
        <w:tc>
          <w:tcPr>
            <w:tcW w:type="dxa" w:w="1563"/>
          </w:tcPr>
          <w:p>
            <w:pPr>
              <w:pStyle w:val="Compact"/>
              <w:spacing w:after="20"/>
            </w:pPr>
            <w:r>
              <w:rPr>
                <w:sz w:val="17"/>
              </w:rPr>
              <w:t xml:space="preserve">Maintenabilité</w:t>
            </w:r>
          </w:p>
        </w:tc>
        <w:tc>
          <w:tcPr>
            <w:tcW w:type="dxa" w:w="6045"/>
          </w:tcPr>
          <w:p>
            <w:pPr>
              <w:pStyle w:val="Compact"/>
              <w:spacing w:after="20"/>
            </w:pPr>
            <w:r>
              <w:rPr>
                <w:sz w:val="17"/>
              </w:rPr>
              <w:t xml:space="preserve">TypeScript strict ; lint et formatage ; tests unitaires (domaine, ViewModels), tests RLS, tests E2E des parcours critiques (inscription, vérification, réservation, paiement, remise, litige).</w:t>
            </w:r>
          </w:p>
        </w:tc>
        <w:tc>
          <w:tcPr>
            <w:tcW w:type="dxa" w:w="2313"/>
          </w:tcPr>
          <w:p>
            <w:pPr>
              <w:pStyle w:val="Compact"/>
              <w:spacing w:after="20"/>
            </w:pPr>
            <w:r>
              <w:rPr>
                <w:sz w:val="17"/>
              </w:rPr>
              <w:t xml:space="preserve">Couverture des parcours critiques en CI.</w:t>
            </w:r>
          </w:p>
        </w:tc>
      </w:tr>
    </w:tbl>
    <w:bookmarkEnd w:id="62"/>
    <w:bookmarkStart w:id="66" w:name="environnements-jalons-et-risques"/>
    <w:p>
      <w:pPr>
        <w:pStyle w:val="Heading2"/>
      </w:pPr>
      <w:r>
        <w:t xml:space="preserve">6. Environnements, jalons et risques</w:t>
      </w:r>
    </w:p>
    <w:bookmarkStart w:id="63" w:name="environnements"/>
    <w:p>
      <w:pPr>
        <w:pStyle w:val="Heading3"/>
      </w:pPr>
      <w:r>
        <w:t xml:space="preserve">6.1 Environnements</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965"/>
        <w:gridCol w:w="2775"/>
        <w:gridCol w:w="2252"/>
        <w:gridCol w:w="2382"/>
        <w:gridCol w:w="1544"/>
      </w:tblGrid>
      <w:tr>
        <w:trPr>
          <w:tblHeader w:val="on"/>
        </w:trPr>
        <w:tc>
          <w:tcPr>
            <w:tcW w:type="dxa" w:w="965"/>
            <w:shd w:val="clear" w:color="auto" w:fill="0F766E"/>
          </w:tcPr>
          <w:p>
            <w:pPr>
              <w:pStyle w:val="Compact"/>
              <w:spacing w:after="20"/>
            </w:pPr>
            <w:r>
              <w:rPr>
                <w:b/>
                <w:color w:val="FFFFFF"/>
                <w:sz w:val="17"/>
              </w:rPr>
              <w:t xml:space="preserve">Environnement</w:t>
            </w:r>
          </w:p>
        </w:tc>
        <w:tc>
          <w:tcPr>
            <w:tcW w:type="dxa" w:w="2776"/>
            <w:shd w:val="clear" w:color="auto" w:fill="0F766E"/>
          </w:tcPr>
          <w:p>
            <w:pPr>
              <w:pStyle w:val="Compact"/>
              <w:spacing w:after="20"/>
            </w:pPr>
            <w:r>
              <w:rPr>
                <w:b/>
                <w:color w:val="FFFFFF"/>
                <w:sz w:val="17"/>
              </w:rPr>
              <w:t xml:space="preserve">Backend</w:t>
            </w:r>
          </w:p>
        </w:tc>
        <w:tc>
          <w:tcPr>
            <w:tcW w:type="dxa" w:w="2253"/>
            <w:shd w:val="clear" w:color="auto" w:fill="0F766E"/>
          </w:tcPr>
          <w:p>
            <w:pPr>
              <w:pStyle w:val="Compact"/>
              <w:spacing w:after="20"/>
            </w:pPr>
            <w:r>
              <w:rPr>
                <w:b/>
                <w:color w:val="FFFFFF"/>
                <w:sz w:val="17"/>
              </w:rPr>
              <w:t xml:space="preserve">Stripe</w:t>
            </w:r>
          </w:p>
        </w:tc>
        <w:tc>
          <w:tcPr>
            <w:tcW w:type="dxa" w:w="2383"/>
            <w:shd w:val="clear" w:color="auto" w:fill="0F766E"/>
          </w:tcPr>
          <w:p>
            <w:pPr>
              <w:pStyle w:val="Compact"/>
              <w:spacing w:after="20"/>
            </w:pPr>
            <w:r>
              <w:rPr>
                <w:b/>
                <w:color w:val="FFFFFF"/>
                <w:sz w:val="17"/>
              </w:rPr>
              <w:t xml:space="preserve">App</w:t>
            </w:r>
          </w:p>
        </w:tc>
        <w:tc>
          <w:tcPr>
            <w:tcW w:type="dxa" w:w="1545"/>
            <w:shd w:val="clear" w:color="auto" w:fill="0F766E"/>
          </w:tcPr>
          <w:p>
            <w:pPr>
              <w:pStyle w:val="Compact"/>
              <w:spacing w:after="20"/>
            </w:pPr>
            <w:r>
              <w:rPr>
                <w:b/>
                <w:color w:val="FFFFFF"/>
                <w:sz w:val="17"/>
              </w:rPr>
              <w:t xml:space="preserve">Données</w:t>
            </w:r>
          </w:p>
        </w:tc>
      </w:tr>
      <w:tr>
        <w:tc>
          <w:tcPr>
            <w:tcW w:type="dxa" w:w="965"/>
          </w:tcPr>
          <w:p>
            <w:pPr>
              <w:pStyle w:val="Compact"/>
              <w:spacing w:after="20"/>
            </w:pPr>
            <w:r>
              <w:rPr>
                <w:b/>
                <w:bCs/>
                <w:sz w:val="17"/>
              </w:rPr>
              <w:t xml:space="preserve">dev</w:t>
            </w:r>
          </w:p>
        </w:tc>
        <w:tc>
          <w:tcPr>
            <w:tcW w:type="dxa" w:w="2776"/>
          </w:tcPr>
          <w:p>
            <w:pPr>
              <w:pStyle w:val="Compact"/>
              <w:spacing w:after="20"/>
            </w:pPr>
            <w:r>
              <w:rPr>
                <w:sz w:val="17"/>
              </w:rPr>
              <w:t xml:space="preserve">Supabase local (CLI) ou projet de dev</w:t>
            </w:r>
          </w:p>
        </w:tc>
        <w:tc>
          <w:tcPr>
            <w:tcW w:type="dxa" w:w="2253"/>
          </w:tcPr>
          <w:p>
            <w:pPr>
              <w:pStyle w:val="Compact"/>
              <w:spacing w:after="20"/>
            </w:pPr>
            <w:r>
              <w:rPr>
                <w:sz w:val="17"/>
              </w:rPr>
              <w:t xml:space="preserve">Mode test, Stripe CLI pour les webhooks</w:t>
            </w:r>
          </w:p>
        </w:tc>
        <w:tc>
          <w:tcPr>
            <w:tcW w:type="dxa" w:w="2383"/>
          </w:tcPr>
          <w:p>
            <w:pPr>
              <w:pStyle w:val="Compact"/>
              <w:spacing w:after="20"/>
            </w:pPr>
            <w:r>
              <w:rPr>
                <w:sz w:val="17"/>
              </w:rPr>
              <w:t xml:space="preserve">Build de développement (Expo)</w:t>
            </w:r>
          </w:p>
        </w:tc>
        <w:tc>
          <w:tcPr>
            <w:tcW w:type="dxa" w:w="1545"/>
          </w:tcPr>
          <w:p>
            <w:pPr>
              <w:pStyle w:val="Compact"/>
              <w:spacing w:after="20"/>
            </w:pPr>
            <w:r>
              <w:rPr>
                <w:sz w:val="17"/>
              </w:rPr>
              <w:t xml:space="preserve">Fictives</w:t>
            </w:r>
          </w:p>
        </w:tc>
      </w:tr>
      <w:tr>
        <w:tc>
          <w:tcPr>
            <w:tcW w:type="dxa" w:w="965"/>
          </w:tcPr>
          <w:p>
            <w:pPr>
              <w:pStyle w:val="Compact"/>
              <w:spacing w:after="20"/>
            </w:pPr>
            <w:r>
              <w:rPr>
                <w:b/>
                <w:bCs/>
                <w:sz w:val="17"/>
              </w:rPr>
              <w:t xml:space="preserve">staging</w:t>
            </w:r>
          </w:p>
        </w:tc>
        <w:tc>
          <w:tcPr>
            <w:tcW w:type="dxa" w:w="2776"/>
          </w:tcPr>
          <w:p>
            <w:pPr>
              <w:pStyle w:val="Compact"/>
              <w:spacing w:after="20"/>
            </w:pPr>
            <w:r>
              <w:rPr>
                <w:sz w:val="17"/>
              </w:rPr>
              <w:t xml:space="preserve">Projet Supabase séparé (même région que la prod), mêmes migrations</w:t>
            </w:r>
          </w:p>
        </w:tc>
        <w:tc>
          <w:tcPr>
            <w:tcW w:type="dxa" w:w="2253"/>
          </w:tcPr>
          <w:p>
            <w:pPr>
              <w:pStyle w:val="Compact"/>
              <w:spacing w:after="20"/>
            </w:pPr>
            <w:r>
              <w:rPr>
                <w:sz w:val="17"/>
              </w:rPr>
              <w:t xml:space="preserve">Mode test (ou bac à sable), webhooks réels de test</w:t>
            </w:r>
          </w:p>
        </w:tc>
        <w:tc>
          <w:tcPr>
            <w:tcW w:type="dxa" w:w="2383"/>
          </w:tcPr>
          <w:p>
            <w:pPr>
              <w:pStyle w:val="Compact"/>
              <w:spacing w:after="20"/>
            </w:pPr>
            <w:r>
              <w:rPr>
                <w:sz w:val="17"/>
              </w:rPr>
              <w:t xml:space="preserve">Profil EAS « preview » ; TestFlight et piste de test interne Google Play</w:t>
            </w:r>
          </w:p>
        </w:tc>
        <w:tc>
          <w:tcPr>
            <w:tcW w:type="dxa" w:w="1545"/>
          </w:tcPr>
          <w:p>
            <w:pPr>
              <w:pStyle w:val="Compact"/>
              <w:spacing w:after="20"/>
            </w:pPr>
            <w:r>
              <w:rPr>
                <w:sz w:val="17"/>
              </w:rPr>
              <w:t xml:space="preserve">Fictives ; aucune donnée réelle</w:t>
            </w:r>
          </w:p>
        </w:tc>
      </w:tr>
      <w:tr>
        <w:tc>
          <w:tcPr>
            <w:tcW w:type="dxa" w:w="965"/>
          </w:tcPr>
          <w:p>
            <w:pPr>
              <w:pStyle w:val="Compact"/>
              <w:spacing w:after="20"/>
            </w:pPr>
            <w:r>
              <w:rPr>
                <w:b/>
                <w:bCs/>
                <w:sz w:val="17"/>
              </w:rPr>
              <w:t xml:space="preserve">prod</w:t>
            </w:r>
          </w:p>
        </w:tc>
        <w:tc>
          <w:tcPr>
            <w:tcW w:type="dxa" w:w="2776"/>
          </w:tcPr>
          <w:p>
            <w:pPr>
              <w:pStyle w:val="Compact"/>
              <w:spacing w:after="20"/>
            </w:pPr>
            <w:r>
              <w:rPr>
                <w:sz w:val="17"/>
              </w:rPr>
              <w:t xml:space="preserve">Projet Supabase de production, région</w:t>
            </w:r>
            <w:r>
              <w:rPr>
                <w:sz w:val="17"/>
              </w:rPr>
              <w:t xml:space="preserve"> </w:t>
            </w:r>
            <w:r>
              <w:rPr>
                <w:b/>
                <w:bCs/>
                <w:sz w:val="17"/>
              </w:rPr>
              <w:t xml:space="preserve">Canada (Central)</w:t>
            </w:r>
            <w:r>
              <w:rPr>
                <w:sz w:val="17"/>
              </w:rPr>
              <w:t xml:space="preserve"> </w:t>
            </w:r>
            <w:r>
              <w:rPr>
                <w:rStyle w:val="VerbatimChar"/>
                <w:sz w:val="17"/>
              </w:rPr>
              <w:t xml:space="preserve">ca-central-1</w:t>
            </w:r>
            <w:r>
              <w:rPr>
                <w:sz w:val="17"/>
              </w:rPr>
              <w:t xml:space="preserve">, accès restreint</w:t>
            </w:r>
          </w:p>
        </w:tc>
        <w:tc>
          <w:tcPr>
            <w:tcW w:type="dxa" w:w="2253"/>
          </w:tcPr>
          <w:p>
            <w:pPr>
              <w:pStyle w:val="Compact"/>
              <w:spacing w:after="20"/>
            </w:pPr>
            <w:r>
              <w:rPr>
                <w:b/>
                <w:bCs/>
                <w:sz w:val="17"/>
              </w:rPr>
              <w:t xml:space="preserve">Mode production</w:t>
            </w:r>
            <w:r>
              <w:rPr>
                <w:sz w:val="17"/>
              </w:rPr>
              <w:t xml:space="preserve"> </w:t>
            </w:r>
            <w:r>
              <w:rPr>
                <w:sz w:val="17"/>
              </w:rPr>
              <w:t xml:space="preserve">(live), clés et secrets distincts</w:t>
            </w:r>
          </w:p>
        </w:tc>
        <w:tc>
          <w:tcPr>
            <w:tcW w:type="dxa" w:w="2383"/>
          </w:tcPr>
          <w:p>
            <w:pPr>
              <w:pStyle w:val="Compact"/>
              <w:spacing w:after="20"/>
            </w:pPr>
            <w:r>
              <w:rPr>
                <w:sz w:val="17"/>
              </w:rPr>
              <w:t xml:space="preserve">Profil EAS « production » ; App Store et Google Play</w:t>
            </w:r>
          </w:p>
        </w:tc>
        <w:tc>
          <w:tcPr>
            <w:tcW w:type="dxa" w:w="1545"/>
          </w:tcPr>
          <w:p>
            <w:pPr>
              <w:pStyle w:val="Compact"/>
              <w:spacing w:after="20"/>
            </w:pPr>
            <w:r>
              <w:rPr>
                <w:sz w:val="17"/>
              </w:rPr>
              <w:t xml:space="preserve">Réelles ; ÉFVP et sauvegardes en place</w:t>
            </w:r>
          </w:p>
        </w:tc>
      </w:tr>
    </w:tbl>
    <w:p>
      <w:pPr>
        <w:pStyle w:val="BodyText"/>
      </w:pPr>
      <w:r>
        <w:t xml:space="preserve">Règles : secrets distincts par environnement dans les secrets de la CI et d'EAS ; migrations SQL appliquées dans l'ordre dev → staging → prod ; aucune copie de données de prod vers les autres environnements.</w:t>
      </w:r>
    </w:p>
    <w:bookmarkEnd w:id="63"/>
    <w:bookmarkStart w:id="64" w:name="plan-de-livraison-en-jalons"/>
    <w:p>
      <w:pPr>
        <w:pStyle w:val="Heading3"/>
      </w:pPr>
      <w:r>
        <w:t xml:space="preserve">6.2 Plan de livraison en jalons</w:t>
      </w:r>
    </w:p>
    <w:p>
      <w:pPr>
        <w:pStyle w:val="FirstParagraph"/>
      </w:pPr>
      <w:r>
        <w:t xml:space="preserve">Les dates sont</w:t>
      </w:r>
      <w:r>
        <w:t xml:space="preserve"> </w:t>
      </w:r>
      <w:r>
        <w:rPr>
          <w:b/>
          <w:bCs/>
        </w:rPr>
        <w:t xml:space="preserve">à définir</w:t>
      </w:r>
      <w:r>
        <w:t xml:space="preserve">. L'ordre tient compte des préalables légaux de la fiche de recherche (notamment la déclaration de la banque biométrique à la CAI au moins 60 jours avant la mise en service).</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1567"/>
        <w:gridCol w:w="5593"/>
        <w:gridCol w:w="2760"/>
      </w:tblGrid>
      <w:tr>
        <w:trPr>
          <w:tblHeader w:val="on"/>
        </w:trPr>
        <w:tc>
          <w:tcPr>
            <w:tcW w:type="dxa" w:w="1568"/>
            <w:shd w:val="clear" w:color="auto" w:fill="0F766E"/>
          </w:tcPr>
          <w:p>
            <w:pPr>
              <w:pStyle w:val="Compact"/>
              <w:spacing w:after="20"/>
            </w:pPr>
            <w:r>
              <w:rPr>
                <w:b/>
                <w:color w:val="FFFFFF"/>
                <w:sz w:val="17"/>
              </w:rPr>
              <w:t xml:space="preserve">Jalon</w:t>
            </w:r>
          </w:p>
        </w:tc>
        <w:tc>
          <w:tcPr>
            <w:tcW w:type="dxa" w:w="5593"/>
            <w:shd w:val="clear" w:color="auto" w:fill="0F766E"/>
          </w:tcPr>
          <w:p>
            <w:pPr>
              <w:pStyle w:val="Compact"/>
              <w:spacing w:after="20"/>
            </w:pPr>
            <w:r>
              <w:rPr>
                <w:b/>
                <w:color w:val="FFFFFF"/>
                <w:sz w:val="17"/>
              </w:rPr>
              <w:t xml:space="preserve">Contenu</w:t>
            </w:r>
          </w:p>
        </w:tc>
        <w:tc>
          <w:tcPr>
            <w:tcW w:type="dxa" w:w="2760"/>
            <w:shd w:val="clear" w:color="auto" w:fill="0F766E"/>
          </w:tcPr>
          <w:p>
            <w:pPr>
              <w:pStyle w:val="Compact"/>
              <w:spacing w:after="20"/>
            </w:pPr>
            <w:r>
              <w:rPr>
                <w:b/>
                <w:color w:val="FFFFFF"/>
                <w:sz w:val="17"/>
              </w:rPr>
              <w:t xml:space="preserve">Préalables</w:t>
            </w:r>
          </w:p>
        </w:tc>
      </w:tr>
      <w:tr>
        <w:tc>
          <w:tcPr>
            <w:tcW w:type="dxa" w:w="1568"/>
          </w:tcPr>
          <w:p>
            <w:pPr>
              <w:pStyle w:val="Compact"/>
              <w:spacing w:after="20"/>
            </w:pPr>
            <w:r>
              <w:rPr>
                <w:b/>
                <w:bCs/>
                <w:sz w:val="17"/>
              </w:rPr>
              <w:t xml:space="preserve">J0 — Cadrage</w:t>
            </w:r>
          </w:p>
        </w:tc>
        <w:tc>
          <w:tcPr>
            <w:tcW w:type="dxa" w:w="5593"/>
          </w:tcPr>
          <w:p>
            <w:pPr>
              <w:pStyle w:val="Compact"/>
              <w:spacing w:after="20"/>
            </w:pPr>
            <w:r>
              <w:rPr>
                <w:sz w:val="17"/>
              </w:rPr>
              <w:t xml:space="preserve">Modèle de menaces STRIDE ; inventaire des données ; début de l'ÉFVP ; choix définitifs (cartes, analytics, i18n) ; compte Stripe et Connect configurés en test ; squelette Expo + Supabase + CI.</w:t>
            </w:r>
          </w:p>
        </w:tc>
        <w:tc>
          <w:tcPr>
            <w:tcW w:type="dxa" w:w="2760"/>
          </w:tcPr>
          <w:p>
            <w:pPr>
              <w:pStyle w:val="Compact"/>
              <w:spacing w:after="20"/>
            </w:pPr>
            <w:r>
              <w:rPr>
                <w:sz w:val="17"/>
              </w:rPr>
              <w:t xml:space="preserve">Avis initial de l'avocat ; calendrier de la déclaration à la CAI.</w:t>
            </w:r>
          </w:p>
        </w:tc>
      </w:tr>
      <w:tr>
        <w:tc>
          <w:tcPr>
            <w:tcW w:type="dxa" w:w="1568"/>
          </w:tcPr>
          <w:p>
            <w:pPr>
              <w:pStyle w:val="Compact"/>
              <w:spacing w:after="20"/>
            </w:pPr>
            <w:r>
              <w:rPr>
                <w:b/>
                <w:bCs/>
                <w:sz w:val="17"/>
              </w:rPr>
              <w:t xml:space="preserve">J1 — MVP Canada</w:t>
            </w:r>
          </w:p>
        </w:tc>
        <w:tc>
          <w:tcPr>
            <w:tcW w:type="dxa" w:w="5593"/>
          </w:tcPr>
          <w:p>
            <w:pPr>
              <w:pStyle w:val="Compact"/>
              <w:spacing w:after="20"/>
            </w:pPr>
            <w:r>
              <w:rPr>
                <w:sz w:val="17"/>
              </w:rPr>
              <w:t xml:space="preserve">Inscription/connexion (PKCE), profil, Stripe Identity, annonces de trajet et demandes d'envoi, réservation, paiement retenu (separate charges and transfers), preuves de remise, livraison, libération des fonds, versements standard, messagerie simple, avis, signalements, litige de base, suppression du compte et export, fr/en, notifications push.</w:t>
            </w:r>
          </w:p>
        </w:tc>
        <w:tc>
          <w:tcPr>
            <w:tcW w:type="dxa" w:w="2760"/>
          </w:tcPr>
          <w:p>
            <w:pPr>
              <w:pStyle w:val="Compact"/>
              <w:spacing w:after="20"/>
            </w:pPr>
            <w:r>
              <w:rPr>
                <w:sz w:val="17"/>
              </w:rPr>
              <w:t xml:space="preserve">ÉFVP terminée ; politiques publiées ; Stripe en production ; pentest fait ; comptes stores ; déclaration à la CAI faite dans les délais.</w:t>
            </w:r>
          </w:p>
        </w:tc>
      </w:tr>
      <w:tr>
        <w:tc>
          <w:tcPr>
            <w:tcW w:type="dxa" w:w="1568"/>
          </w:tcPr>
          <w:p>
            <w:pPr>
              <w:pStyle w:val="Compact"/>
              <w:spacing w:after="20"/>
            </w:pPr>
            <w:r>
              <w:rPr>
                <w:b/>
                <w:bCs/>
                <w:sz w:val="17"/>
              </w:rPr>
              <w:t xml:space="preserve">J2 — Version 1.1</w:t>
            </w:r>
          </w:p>
        </w:tc>
        <w:tc>
          <w:tcPr>
            <w:tcW w:type="dxa" w:w="5593"/>
          </w:tcPr>
          <w:p>
            <w:pPr>
              <w:pStyle w:val="Compact"/>
              <w:spacing w:after="20"/>
            </w:pPr>
            <w:r>
              <w:rPr>
                <w:sz w:val="17"/>
              </w:rPr>
              <w:t xml:space="preserve">Versement instantané avec frais affichés ; assurance optionnelle (selon l'option A ou B validée) ; modération automatique ; amélioration du hors-ligne.</w:t>
            </w:r>
          </w:p>
        </w:tc>
        <w:tc>
          <w:tcPr>
            <w:tcW w:type="dxa" w:w="2760"/>
          </w:tcPr>
          <w:p>
            <w:pPr>
              <w:pStyle w:val="Compact"/>
              <w:spacing w:after="20"/>
            </w:pPr>
            <w:r>
              <w:rPr>
                <w:sz w:val="17"/>
              </w:rPr>
              <w:t xml:space="preserve">Contrat avec l'assureur ; avis juridique sur la distribution.</w:t>
            </w:r>
          </w:p>
        </w:tc>
      </w:tr>
      <w:tr>
        <w:tc>
          <w:tcPr>
            <w:tcW w:type="dxa" w:w="1568"/>
          </w:tcPr>
          <w:p>
            <w:pPr>
              <w:pStyle w:val="Compact"/>
              <w:spacing w:after="20"/>
            </w:pPr>
            <w:r>
              <w:rPr>
                <w:b/>
                <w:bCs/>
                <w:sz w:val="17"/>
              </w:rPr>
              <w:t xml:space="preserve">J3 — Version 1.2</w:t>
            </w:r>
          </w:p>
        </w:tc>
        <w:tc>
          <w:tcPr>
            <w:tcW w:type="dxa" w:w="5593"/>
          </w:tcPr>
          <w:p>
            <w:pPr>
              <w:pStyle w:val="Compact"/>
              <w:spacing w:after="20"/>
            </w:pPr>
            <w:r>
              <w:rPr>
                <w:sz w:val="17"/>
              </w:rPr>
              <w:t xml:space="preserve">Arabe (RTL) ; devises locales ; mises en avant ou abonnement (Stripe Billing) si retenus.</w:t>
            </w:r>
          </w:p>
        </w:tc>
        <w:tc>
          <w:tcPr>
            <w:tcW w:type="dxa" w:w="2760"/>
          </w:tcPr>
          <w:p>
            <w:pPr>
              <w:pStyle w:val="Compact"/>
              <w:spacing w:after="20"/>
            </w:pPr>
            <w:r>
              <w:rPr>
                <w:sz w:val="17"/>
              </w:rPr>
              <w:t xml:space="preserve">Volet légal sur les contrats à exécution successive.</w:t>
            </w:r>
          </w:p>
        </w:tc>
      </w:tr>
      <w:tr>
        <w:tc>
          <w:tcPr>
            <w:tcW w:type="dxa" w:w="1568"/>
          </w:tcPr>
          <w:p>
            <w:pPr>
              <w:pStyle w:val="Compact"/>
              <w:spacing w:after="20"/>
            </w:pPr>
            <w:r>
              <w:rPr>
                <w:b/>
                <w:bCs/>
                <w:sz w:val="17"/>
              </w:rPr>
              <w:t xml:space="preserve">J4 — International</w:t>
            </w:r>
          </w:p>
        </w:tc>
        <w:tc>
          <w:tcPr>
            <w:tcW w:type="dxa" w:w="5593"/>
          </w:tcPr>
          <w:p>
            <w:pPr>
              <w:pStyle w:val="Compact"/>
              <w:spacing w:after="20"/>
            </w:pPr>
            <w:r>
              <w:rPr>
                <w:sz w:val="17"/>
              </w:rPr>
              <w:t xml:space="preserve">Ouverture pays par pays selon la disponibilité de Stripe Connect et Stripe Identity ; exigences locales (RGPD, DSA, DAC7 en Europe) ; pays sous sanctions exclus.</w:t>
            </w:r>
          </w:p>
        </w:tc>
        <w:tc>
          <w:tcPr>
            <w:tcW w:type="dxa" w:w="2760"/>
          </w:tcPr>
          <w:p>
            <w:pPr>
              <w:pStyle w:val="Compact"/>
              <w:spacing w:after="20"/>
            </w:pPr>
            <w:r>
              <w:rPr>
                <w:sz w:val="17"/>
              </w:rPr>
              <w:t xml:space="preserve">Avocat local par pays.</w:t>
            </w:r>
          </w:p>
        </w:tc>
      </w:tr>
      <w:tr>
        <w:tc>
          <w:tcPr>
            <w:tcW w:type="dxa" w:w="1568"/>
          </w:tcPr>
          <w:p>
            <w:pPr>
              <w:pStyle w:val="Compact"/>
              <w:spacing w:after="20"/>
            </w:pPr>
            <w:r>
              <w:rPr>
                <w:b/>
                <w:bCs/>
                <w:sz w:val="17"/>
              </w:rPr>
              <w:t xml:space="preserve">Plus tard</w:t>
            </w:r>
          </w:p>
        </w:tc>
        <w:tc>
          <w:tcPr>
            <w:tcW w:type="dxa" w:w="5593"/>
          </w:tcPr>
          <w:p>
            <w:pPr>
              <w:pStyle w:val="Compact"/>
              <w:spacing w:after="20"/>
            </w:pPr>
            <w:r>
              <w:rPr>
                <w:sz w:val="17"/>
              </w:rPr>
              <w:t xml:space="preserve">Interac (VoPay / Zum Rails) seulement après avis d'avocat (CANAFE, AMF, Banque du Canada).</w:t>
            </w:r>
          </w:p>
        </w:tc>
        <w:tc>
          <w:tcPr>
            <w:tcW w:type="dxa" w:w="2760"/>
          </w:tcPr>
          <w:p>
            <w:pPr>
              <w:pStyle w:val="Compact"/>
              <w:spacing w:after="20"/>
            </w:pPr>
            <w:r>
              <w:rPr>
                <w:sz w:val="17"/>
              </w:rPr>
              <w:t xml:space="preserve">Avis juridique.</w:t>
            </w:r>
          </w:p>
        </w:tc>
      </w:tr>
    </w:tbl>
    <w:bookmarkEnd w:id="64"/>
    <w:bookmarkStart w:id="65" w:name="X667bf8a7f2c5da54bad725123b9f40719bf63b2"/>
    <w:p>
      <w:pPr>
        <w:pStyle w:val="Heading3"/>
      </w:pPr>
      <w:r>
        <w:t xml:space="preserve">6.3 Estimation qualitative des risques techniques</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3500"/>
        <w:gridCol w:w="1165"/>
        <w:gridCol w:w="1165"/>
        <w:gridCol w:w="4090"/>
      </w:tblGrid>
      <w:tr>
        <w:trPr>
          <w:tblHeader w:val="on"/>
        </w:trPr>
        <w:tc>
          <w:tcPr>
            <w:tcW w:type="dxa" w:w="3501"/>
            <w:shd w:val="clear" w:color="auto" w:fill="0F766E"/>
          </w:tcPr>
          <w:p>
            <w:pPr>
              <w:pStyle w:val="Compact"/>
              <w:spacing w:after="20"/>
            </w:pPr>
            <w:r>
              <w:rPr>
                <w:b/>
                <w:color w:val="FFFFFF"/>
                <w:sz w:val="17"/>
              </w:rPr>
              <w:t xml:space="preserve">Risque</w:t>
            </w:r>
          </w:p>
        </w:tc>
        <w:tc>
          <w:tcPr>
            <w:tcW w:type="dxa" w:w="1165"/>
            <w:shd w:val="clear" w:color="auto" w:fill="0F766E"/>
          </w:tcPr>
          <w:p>
            <w:pPr>
              <w:pStyle w:val="Compact"/>
              <w:spacing w:after="20"/>
            </w:pPr>
            <w:r>
              <w:rPr>
                <w:b/>
                <w:color w:val="FFFFFF"/>
                <w:sz w:val="17"/>
              </w:rPr>
              <w:t xml:space="preserve">Probabilité</w:t>
            </w:r>
          </w:p>
        </w:tc>
        <w:tc>
          <w:tcPr>
            <w:tcW w:type="dxa" w:w="1165"/>
            <w:shd w:val="clear" w:color="auto" w:fill="0F766E"/>
          </w:tcPr>
          <w:p>
            <w:pPr>
              <w:pStyle w:val="Compact"/>
              <w:spacing w:after="20"/>
            </w:pPr>
            <w:r>
              <w:rPr>
                <w:b/>
                <w:color w:val="FFFFFF"/>
                <w:sz w:val="17"/>
              </w:rPr>
              <w:t xml:space="preserve">Impact</w:t>
            </w:r>
          </w:p>
        </w:tc>
        <w:tc>
          <w:tcPr>
            <w:tcW w:type="dxa" w:w="4090"/>
            <w:shd w:val="clear" w:color="auto" w:fill="0F766E"/>
          </w:tcPr>
          <w:p>
            <w:pPr>
              <w:pStyle w:val="Compact"/>
              <w:spacing w:after="20"/>
            </w:pPr>
            <w:r>
              <w:rPr>
                <w:b/>
                <w:color w:val="FFFFFF"/>
                <w:sz w:val="17"/>
              </w:rPr>
              <w:t xml:space="preserve">Atténuation</w:t>
            </w:r>
          </w:p>
        </w:tc>
      </w:tr>
      <w:tr>
        <w:tc>
          <w:tcPr>
            <w:tcW w:type="dxa" w:w="3501"/>
          </w:tcPr>
          <w:p>
            <w:pPr>
              <w:pStyle w:val="Compact"/>
              <w:spacing w:after="20"/>
            </w:pPr>
            <w:r>
              <w:rPr>
                <w:sz w:val="17"/>
              </w:rPr>
              <w:t xml:space="preserve">Erreur dans la logique de libération des fonds (double transfert, transfert sans livraison)</w:t>
            </w:r>
          </w:p>
        </w:tc>
        <w:tc>
          <w:tcPr>
            <w:tcW w:type="dxa" w:w="1165"/>
          </w:tcPr>
          <w:p>
            <w:pPr>
              <w:pStyle w:val="Compact"/>
              <w:spacing w:after="20"/>
            </w:pPr>
            <w:r>
              <w:rPr>
                <w:sz w:val="17"/>
              </w:rPr>
              <w:t xml:space="preserve">Moyenne</w:t>
            </w:r>
          </w:p>
        </w:tc>
        <w:tc>
          <w:tcPr>
            <w:tcW w:type="dxa" w:w="1165"/>
          </w:tcPr>
          <w:p>
            <w:pPr>
              <w:pStyle w:val="Compact"/>
              <w:spacing w:after="20"/>
            </w:pPr>
            <w:r>
              <w:rPr>
                <w:sz w:val="17"/>
              </w:rPr>
              <w:t xml:space="preserve">Élevé</w:t>
            </w:r>
          </w:p>
        </w:tc>
        <w:tc>
          <w:tcPr>
            <w:tcW w:type="dxa" w:w="4090"/>
          </w:tcPr>
          <w:p>
            <w:pPr>
              <w:pStyle w:val="Compact"/>
              <w:spacing w:after="20"/>
            </w:pPr>
            <w:r>
              <w:rPr>
                <w:sz w:val="17"/>
              </w:rPr>
              <w:t xml:space="preserve">Machine d'états côté serveur, idempotence, tests automatisés, rapprochement avec Stripe, revue de code obligatoire.</w:t>
            </w:r>
          </w:p>
        </w:tc>
      </w:tr>
      <w:tr>
        <w:tc>
          <w:tcPr>
            <w:tcW w:type="dxa" w:w="3501"/>
          </w:tcPr>
          <w:p>
            <w:pPr>
              <w:pStyle w:val="Compact"/>
              <w:spacing w:after="20"/>
            </w:pPr>
            <w:r>
              <w:rPr>
                <w:sz w:val="17"/>
              </w:rPr>
              <w:t xml:space="preserve">Faille d'autorisation (RLS absente ou trop permissive)</w:t>
            </w:r>
          </w:p>
        </w:tc>
        <w:tc>
          <w:tcPr>
            <w:tcW w:type="dxa" w:w="1165"/>
          </w:tcPr>
          <w:p>
            <w:pPr>
              <w:pStyle w:val="Compact"/>
              <w:spacing w:after="20"/>
            </w:pPr>
            <w:r>
              <w:rPr>
                <w:sz w:val="17"/>
              </w:rPr>
              <w:t xml:space="preserve">Moyenne</w:t>
            </w:r>
          </w:p>
        </w:tc>
        <w:tc>
          <w:tcPr>
            <w:tcW w:type="dxa" w:w="1165"/>
          </w:tcPr>
          <w:p>
            <w:pPr>
              <w:pStyle w:val="Compact"/>
              <w:spacing w:after="20"/>
            </w:pPr>
            <w:r>
              <w:rPr>
                <w:sz w:val="17"/>
              </w:rPr>
              <w:t xml:space="preserve">Élevé</w:t>
            </w:r>
          </w:p>
        </w:tc>
        <w:tc>
          <w:tcPr>
            <w:tcW w:type="dxa" w:w="4090"/>
          </w:tcPr>
          <w:p>
            <w:pPr>
              <w:pStyle w:val="Compact"/>
              <w:spacing w:after="20"/>
            </w:pPr>
            <w:r>
              <w:rPr>
                <w:sz w:val="17"/>
              </w:rPr>
              <w:t xml:space="preserve">Tests RLS en CI, aucune table sans politique, pentest.</w:t>
            </w:r>
          </w:p>
        </w:tc>
      </w:tr>
      <w:tr>
        <w:tc>
          <w:tcPr>
            <w:tcW w:type="dxa" w:w="3501"/>
          </w:tcPr>
          <w:p>
            <w:pPr>
              <w:pStyle w:val="Compact"/>
              <w:spacing w:after="20"/>
            </w:pPr>
            <w:r>
              <w:rPr>
                <w:sz w:val="17"/>
              </w:rPr>
              <w:t xml:space="preserve">Fraude (faux comptes, cartes volées, colis interdits)</w:t>
            </w:r>
          </w:p>
        </w:tc>
        <w:tc>
          <w:tcPr>
            <w:tcW w:type="dxa" w:w="1165"/>
          </w:tcPr>
          <w:p>
            <w:pPr>
              <w:pStyle w:val="Compact"/>
              <w:spacing w:after="20"/>
            </w:pPr>
            <w:r>
              <w:rPr>
                <w:sz w:val="17"/>
              </w:rPr>
              <w:t xml:space="preserve">Moyenne</w:t>
            </w:r>
          </w:p>
        </w:tc>
        <w:tc>
          <w:tcPr>
            <w:tcW w:type="dxa" w:w="1165"/>
          </w:tcPr>
          <w:p>
            <w:pPr>
              <w:pStyle w:val="Compact"/>
              <w:spacing w:after="20"/>
            </w:pPr>
            <w:r>
              <w:rPr>
                <w:sz w:val="17"/>
              </w:rPr>
              <w:t xml:space="preserve">Élevé</w:t>
            </w:r>
          </w:p>
        </w:tc>
        <w:tc>
          <w:tcPr>
            <w:tcW w:type="dxa" w:w="4090"/>
          </w:tcPr>
          <w:p>
            <w:pPr>
              <w:pStyle w:val="Compact"/>
              <w:spacing w:after="20"/>
            </w:pPr>
            <w:r>
              <w:rPr>
                <w:sz w:val="17"/>
              </w:rPr>
              <w:t xml:space="preserve">Stripe Identity avant la première transaction, Radar, signalements, suspension des transferts, attestation du contenu.</w:t>
            </w:r>
          </w:p>
        </w:tc>
      </w:tr>
      <w:tr>
        <w:tc>
          <w:tcPr>
            <w:tcW w:type="dxa" w:w="3501"/>
          </w:tcPr>
          <w:p>
            <w:pPr>
              <w:pStyle w:val="Compact"/>
              <w:spacing w:after="20"/>
            </w:pPr>
            <w:r>
              <w:rPr>
                <w:sz w:val="17"/>
              </w:rPr>
              <w:t xml:space="preserve">Rétrofacturations après le transfert au voyageur</w:t>
            </w:r>
          </w:p>
        </w:tc>
        <w:tc>
          <w:tcPr>
            <w:tcW w:type="dxa" w:w="1165"/>
          </w:tcPr>
          <w:p>
            <w:pPr>
              <w:pStyle w:val="Compact"/>
              <w:spacing w:after="20"/>
            </w:pPr>
            <w:r>
              <w:rPr>
                <w:sz w:val="17"/>
              </w:rPr>
              <w:t xml:space="preserve">Moyenne</w:t>
            </w:r>
          </w:p>
        </w:tc>
        <w:tc>
          <w:tcPr>
            <w:tcW w:type="dxa" w:w="1165"/>
          </w:tcPr>
          <w:p>
            <w:pPr>
              <w:pStyle w:val="Compact"/>
              <w:spacing w:after="20"/>
            </w:pPr>
            <w:r>
              <w:rPr>
                <w:sz w:val="17"/>
              </w:rPr>
              <w:t xml:space="preserve">Moyen à élevé</w:t>
            </w:r>
          </w:p>
        </w:tc>
        <w:tc>
          <w:tcPr>
            <w:tcW w:type="dxa" w:w="4090"/>
          </w:tcPr>
          <w:p>
            <w:pPr>
              <w:pStyle w:val="Compact"/>
              <w:spacing w:after="20"/>
            </w:pPr>
            <w:r>
              <w:rPr>
                <w:sz w:val="17"/>
              </w:rPr>
              <w:t xml:space="preserve">Délai avant libération (à décider), preuves de remise, reversal selon les conditions.</w:t>
            </w:r>
          </w:p>
        </w:tc>
      </w:tr>
      <w:tr>
        <w:tc>
          <w:tcPr>
            <w:tcW w:type="dxa" w:w="3501"/>
          </w:tcPr>
          <w:p>
            <w:pPr>
              <w:pStyle w:val="Compact"/>
              <w:spacing w:after="20"/>
            </w:pPr>
            <w:r>
              <w:rPr>
                <w:sz w:val="17"/>
              </w:rPr>
              <w:t xml:space="preserve">Limites de Stripe (durée de détention des fonds, pays pris en charge, versements transfrontaliers)</w:t>
            </w:r>
          </w:p>
        </w:tc>
        <w:tc>
          <w:tcPr>
            <w:tcW w:type="dxa" w:w="1165"/>
          </w:tcPr>
          <w:p>
            <w:pPr>
              <w:pStyle w:val="Compact"/>
              <w:spacing w:after="20"/>
            </w:pPr>
            <w:r>
              <w:rPr>
                <w:sz w:val="17"/>
              </w:rPr>
              <w:t xml:space="preserve">Moyenne</w:t>
            </w:r>
          </w:p>
        </w:tc>
        <w:tc>
          <w:tcPr>
            <w:tcW w:type="dxa" w:w="1165"/>
          </w:tcPr>
          <w:p>
            <w:pPr>
              <w:pStyle w:val="Compact"/>
              <w:spacing w:after="20"/>
            </w:pPr>
            <w:r>
              <w:rPr>
                <w:sz w:val="17"/>
              </w:rPr>
              <w:t xml:space="preserve">Moyen</w:t>
            </w:r>
          </w:p>
        </w:tc>
        <w:tc>
          <w:tcPr>
            <w:tcW w:type="dxa" w:w="4090"/>
          </w:tcPr>
          <w:p>
            <w:pPr>
              <w:pStyle w:val="Compact"/>
              <w:spacing w:after="20"/>
            </w:pPr>
            <w:r>
              <w:rPr>
                <w:sz w:val="17"/>
              </w:rPr>
              <w:t xml:space="preserve">Validation avec Stripe avant J1 et avant chaque nouveau pays (</w:t>
            </w:r>
            <w:r>
              <w:rPr>
                <w:b/>
                <w:bCs/>
                <w:sz w:val="17"/>
              </w:rPr>
              <w:t xml:space="preserve">à confirmer</w:t>
            </w:r>
            <w:r>
              <w:rPr>
                <w:sz w:val="17"/>
              </w:rPr>
              <w:t xml:space="preserve">).</w:t>
            </w:r>
          </w:p>
        </w:tc>
      </w:tr>
      <w:tr>
        <w:tc>
          <w:tcPr>
            <w:tcW w:type="dxa" w:w="3501"/>
          </w:tcPr>
          <w:p>
            <w:pPr>
              <w:pStyle w:val="Compact"/>
              <w:spacing w:after="20"/>
            </w:pPr>
            <w:r>
              <w:rPr>
                <w:sz w:val="17"/>
              </w:rPr>
              <w:t xml:space="preserve">Changements d'exigences des stores (API cible, SDK, confidentialité)</w:t>
            </w:r>
          </w:p>
        </w:tc>
        <w:tc>
          <w:tcPr>
            <w:tcW w:type="dxa" w:w="1165"/>
          </w:tcPr>
          <w:p>
            <w:pPr>
              <w:pStyle w:val="Compact"/>
              <w:spacing w:after="20"/>
            </w:pPr>
            <w:r>
              <w:rPr>
                <w:sz w:val="17"/>
              </w:rPr>
              <w:t xml:space="preserve">Élevée (annuelle)</w:t>
            </w:r>
          </w:p>
        </w:tc>
        <w:tc>
          <w:tcPr>
            <w:tcW w:type="dxa" w:w="1165"/>
          </w:tcPr>
          <w:p>
            <w:pPr>
              <w:pStyle w:val="Compact"/>
              <w:spacing w:after="20"/>
            </w:pPr>
            <w:r>
              <w:rPr>
                <w:sz w:val="17"/>
              </w:rPr>
              <w:t xml:space="preserve">Moyen</w:t>
            </w:r>
          </w:p>
        </w:tc>
        <w:tc>
          <w:tcPr>
            <w:tcW w:type="dxa" w:w="4090"/>
          </w:tcPr>
          <w:p>
            <w:pPr>
              <w:pStyle w:val="Compact"/>
              <w:spacing w:after="20"/>
            </w:pPr>
            <w:r>
              <w:rPr>
                <w:sz w:val="17"/>
              </w:rPr>
              <w:t xml:space="preserve">Veille, mise à jour régulière du SDK Expo, vérification à chaque release.</w:t>
            </w:r>
          </w:p>
        </w:tc>
      </w:tr>
      <w:tr>
        <w:tc>
          <w:tcPr>
            <w:tcW w:type="dxa" w:w="3501"/>
          </w:tcPr>
          <w:p>
            <w:pPr>
              <w:pStyle w:val="Compact"/>
              <w:spacing w:after="20"/>
            </w:pPr>
            <w:r>
              <w:rPr>
                <w:sz w:val="17"/>
              </w:rPr>
              <w:t xml:space="preserve">Dépendance à Supabase (fournisseur unique)</w:t>
            </w:r>
          </w:p>
        </w:tc>
        <w:tc>
          <w:tcPr>
            <w:tcW w:type="dxa" w:w="1165"/>
          </w:tcPr>
          <w:p>
            <w:pPr>
              <w:pStyle w:val="Compact"/>
              <w:spacing w:after="20"/>
            </w:pPr>
            <w:r>
              <w:rPr>
                <w:sz w:val="17"/>
              </w:rPr>
              <w:t xml:space="preserve">Faible à moyenne</w:t>
            </w:r>
          </w:p>
        </w:tc>
        <w:tc>
          <w:tcPr>
            <w:tcW w:type="dxa" w:w="1165"/>
          </w:tcPr>
          <w:p>
            <w:pPr>
              <w:pStyle w:val="Compact"/>
              <w:spacing w:after="20"/>
            </w:pPr>
            <w:r>
              <w:rPr>
                <w:sz w:val="17"/>
              </w:rPr>
              <w:t xml:space="preserve">Moyen</w:t>
            </w:r>
          </w:p>
        </w:tc>
        <w:tc>
          <w:tcPr>
            <w:tcW w:type="dxa" w:w="4090"/>
          </w:tcPr>
          <w:p>
            <w:pPr>
              <w:pStyle w:val="Compact"/>
              <w:spacing w:after="20"/>
            </w:pPr>
            <w:r>
              <w:rPr>
                <w:sz w:val="17"/>
              </w:rPr>
              <w:t xml:space="preserve">PostgreSQL standard, logique métier en TypeScript, migrations versionnées, sauvegardes exportables.</w:t>
            </w:r>
          </w:p>
        </w:tc>
      </w:tr>
      <w:tr>
        <w:tc>
          <w:tcPr>
            <w:tcW w:type="dxa" w:w="3501"/>
          </w:tcPr>
          <w:p>
            <w:pPr>
              <w:pStyle w:val="Compact"/>
              <w:spacing w:after="20"/>
            </w:pPr>
            <w:r>
              <w:rPr>
                <w:sz w:val="17"/>
              </w:rPr>
              <w:t xml:space="preserve">Fuite de données personnelles (journaux, photos, messages)</w:t>
            </w:r>
          </w:p>
        </w:tc>
        <w:tc>
          <w:tcPr>
            <w:tcW w:type="dxa" w:w="1165"/>
          </w:tcPr>
          <w:p>
            <w:pPr>
              <w:pStyle w:val="Compact"/>
              <w:spacing w:after="20"/>
            </w:pPr>
            <w:r>
              <w:rPr>
                <w:sz w:val="17"/>
              </w:rPr>
              <w:t xml:space="preserve">Faible à moyenne</w:t>
            </w:r>
          </w:p>
        </w:tc>
        <w:tc>
          <w:tcPr>
            <w:tcW w:type="dxa" w:w="1165"/>
          </w:tcPr>
          <w:p>
            <w:pPr>
              <w:pStyle w:val="Compact"/>
              <w:spacing w:after="20"/>
            </w:pPr>
            <w:r>
              <w:rPr>
                <w:sz w:val="17"/>
              </w:rPr>
              <w:t xml:space="preserve">Élevé</w:t>
            </w:r>
          </w:p>
        </w:tc>
        <w:tc>
          <w:tcPr>
            <w:tcW w:type="dxa" w:w="4090"/>
          </w:tcPr>
          <w:p>
            <w:pPr>
              <w:pStyle w:val="Compact"/>
              <w:spacing w:after="20"/>
            </w:pPr>
            <w:r>
              <w:rPr>
                <w:sz w:val="17"/>
              </w:rPr>
              <w:t xml:space="preserve">SEC-13, SEC-17, chiffrement, registre et plan d'incident.</w:t>
            </w:r>
          </w:p>
        </w:tc>
      </w:tr>
      <w:tr>
        <w:tc>
          <w:tcPr>
            <w:tcW w:type="dxa" w:w="3501"/>
          </w:tcPr>
          <w:p>
            <w:pPr>
              <w:pStyle w:val="Compact"/>
              <w:spacing w:after="20"/>
            </w:pPr>
            <w:r>
              <w:rPr>
                <w:sz w:val="17"/>
              </w:rPr>
              <w:t xml:space="preserve">Complexité de l'interface RTL et du multilingue</w:t>
            </w:r>
          </w:p>
        </w:tc>
        <w:tc>
          <w:tcPr>
            <w:tcW w:type="dxa" w:w="1165"/>
          </w:tcPr>
          <w:p>
            <w:pPr>
              <w:pStyle w:val="Compact"/>
              <w:spacing w:after="20"/>
            </w:pPr>
            <w:r>
              <w:rPr>
                <w:sz w:val="17"/>
              </w:rPr>
              <w:t xml:space="preserve">Moyenne</w:t>
            </w:r>
          </w:p>
        </w:tc>
        <w:tc>
          <w:tcPr>
            <w:tcW w:type="dxa" w:w="1165"/>
          </w:tcPr>
          <w:p>
            <w:pPr>
              <w:pStyle w:val="Compact"/>
              <w:spacing w:after="20"/>
            </w:pPr>
            <w:r>
              <w:rPr>
                <w:sz w:val="17"/>
              </w:rPr>
              <w:t xml:space="preserve">Faible à moyen</w:t>
            </w:r>
          </w:p>
        </w:tc>
        <w:tc>
          <w:tcPr>
            <w:tcW w:type="dxa" w:w="4090"/>
          </w:tcPr>
          <w:p>
            <w:pPr>
              <w:pStyle w:val="Compact"/>
              <w:spacing w:after="20"/>
            </w:pPr>
            <w:r>
              <w:rPr>
                <w:sz w:val="17"/>
              </w:rPr>
              <w:t xml:space="preserve">RTL prévu dès le design system ; tests visuels.</w:t>
            </w:r>
          </w:p>
        </w:tc>
      </w:tr>
      <w:tr>
        <w:tc>
          <w:tcPr>
            <w:tcW w:type="dxa" w:w="3501"/>
          </w:tcPr>
          <w:p>
            <w:pPr>
              <w:pStyle w:val="Compact"/>
              <w:spacing w:after="20"/>
            </w:pPr>
            <w:r>
              <w:rPr>
                <w:sz w:val="17"/>
              </w:rPr>
              <w:t xml:space="preserve">Différences de comportement entre mobile et web (Expo Router, Stripe, cartes)</w:t>
            </w:r>
          </w:p>
        </w:tc>
        <w:tc>
          <w:tcPr>
            <w:tcW w:type="dxa" w:w="1165"/>
          </w:tcPr>
          <w:p>
            <w:pPr>
              <w:pStyle w:val="Compact"/>
              <w:spacing w:after="20"/>
            </w:pPr>
            <w:r>
              <w:rPr>
                <w:sz w:val="17"/>
              </w:rPr>
              <w:t xml:space="preserve">Moyenne</w:t>
            </w:r>
          </w:p>
        </w:tc>
        <w:tc>
          <w:tcPr>
            <w:tcW w:type="dxa" w:w="1165"/>
          </w:tcPr>
          <w:p>
            <w:pPr>
              <w:pStyle w:val="Compact"/>
              <w:spacing w:after="20"/>
            </w:pPr>
            <w:r>
              <w:rPr>
                <w:sz w:val="17"/>
              </w:rPr>
              <w:t xml:space="preserve">Moyen</w:t>
            </w:r>
          </w:p>
        </w:tc>
        <w:tc>
          <w:tcPr>
            <w:tcW w:type="dxa" w:w="4090"/>
          </w:tcPr>
          <w:p>
            <w:pPr>
              <w:pStyle w:val="Compact"/>
              <w:spacing w:after="20"/>
            </w:pPr>
            <w:r>
              <w:rPr>
                <w:sz w:val="17"/>
              </w:rPr>
              <w:t xml:space="preserve">Composants spécifiques par plateforme isolés dans la couche data/UI ; tests E2E web et mobile.</w:t>
            </w:r>
          </w:p>
        </w:tc>
      </w:tr>
      <w:tr>
        <w:tc>
          <w:tcPr>
            <w:tcW w:type="dxa" w:w="3501"/>
          </w:tcPr>
          <w:p>
            <w:pPr>
              <w:pStyle w:val="Compact"/>
              <w:spacing w:after="20"/>
            </w:pPr>
            <w:r>
              <w:rPr>
                <w:sz w:val="17"/>
              </w:rPr>
              <w:t xml:space="preserve">Retard dû aux préalables légaux (ÉFVP, CAI 60 jours, avis juridiques)</w:t>
            </w:r>
          </w:p>
        </w:tc>
        <w:tc>
          <w:tcPr>
            <w:tcW w:type="dxa" w:w="1165"/>
          </w:tcPr>
          <w:p>
            <w:pPr>
              <w:pStyle w:val="Compact"/>
              <w:spacing w:after="20"/>
            </w:pPr>
            <w:r>
              <w:rPr>
                <w:sz w:val="17"/>
              </w:rPr>
              <w:t xml:space="preserve">Moyenne</w:t>
            </w:r>
          </w:p>
        </w:tc>
        <w:tc>
          <w:tcPr>
            <w:tcW w:type="dxa" w:w="1165"/>
          </w:tcPr>
          <w:p>
            <w:pPr>
              <w:pStyle w:val="Compact"/>
              <w:spacing w:after="20"/>
            </w:pPr>
            <w:r>
              <w:rPr>
                <w:sz w:val="17"/>
              </w:rPr>
              <w:t xml:space="preserve">Moyen</w:t>
            </w:r>
          </w:p>
        </w:tc>
        <w:tc>
          <w:tcPr>
            <w:tcW w:type="dxa" w:w="4090"/>
          </w:tcPr>
          <w:p>
            <w:pPr>
              <w:pStyle w:val="Compact"/>
              <w:spacing w:after="20"/>
            </w:pPr>
            <w:r>
              <w:rPr>
                <w:sz w:val="17"/>
              </w:rPr>
              <w:t xml:space="preserve">Démarrage des démarches à J0, en parallèle du développement.</w:t>
            </w:r>
          </w:p>
        </w:tc>
      </w:tr>
    </w:tbl>
    <w:bookmarkEnd w:id="65"/>
    <w:bookmarkEnd w:id="66"/>
    <w:bookmarkStart w:id="67" w:name="annexe-références-officielles"/>
    <w:p>
      <w:pPr>
        <w:pStyle w:val="Heading2"/>
      </w:pPr>
      <w:r>
        <w:t xml:space="preserve">Annexe — Références officielles</w:t>
      </w:r>
    </w:p>
    <w:p>
      <w:pPr>
        <w:pStyle w:val="Compact"/>
        <w:numPr>
          <w:ilvl w:val="0"/>
          <w:numId w:val="1018"/>
        </w:numPr>
      </w:pPr>
      <w:r>
        <w:t xml:space="preserve">Expo Router : https://docs.expo.dev/router/introduction/</w:t>
      </w:r>
    </w:p>
    <w:p>
      <w:pPr>
        <w:pStyle w:val="Compact"/>
        <w:numPr>
          <w:ilvl w:val="0"/>
          <w:numId w:val="1018"/>
        </w:numPr>
      </w:pPr>
      <w:r>
        <w:t xml:space="preserve">Expo Notifications : https://docs.expo.dev/versions/latest/sdk/notifications/</w:t>
      </w:r>
    </w:p>
    <w:p>
      <w:pPr>
        <w:pStyle w:val="Compact"/>
        <w:numPr>
          <w:ilvl w:val="0"/>
          <w:numId w:val="1018"/>
        </w:numPr>
      </w:pPr>
      <w:r>
        <w:t xml:space="preserve">Expo SecureStore : https://docs.expo.dev/versions/latest/sdk/securestore/</w:t>
      </w:r>
    </w:p>
    <w:p>
      <w:pPr>
        <w:pStyle w:val="Compact"/>
        <w:numPr>
          <w:ilvl w:val="0"/>
          <w:numId w:val="1018"/>
        </w:numPr>
      </w:pPr>
      <w:r>
        <w:t xml:space="preserve">EAS Build : https://docs.expo.dev/build/introduction/ · EAS Submit : https://docs.expo.dev/submit/introduction/</w:t>
      </w:r>
    </w:p>
    <w:p>
      <w:pPr>
        <w:pStyle w:val="Compact"/>
        <w:numPr>
          <w:ilvl w:val="0"/>
          <w:numId w:val="1018"/>
        </w:numPr>
      </w:pPr>
      <w:r>
        <w:t xml:space="preserve">Stripe Connect, types de paiements : https://docs.stripe.com/connect/charges</w:t>
      </w:r>
    </w:p>
    <w:p>
      <w:pPr>
        <w:pStyle w:val="Compact"/>
        <w:numPr>
          <w:ilvl w:val="0"/>
          <w:numId w:val="1018"/>
        </w:numPr>
      </w:pPr>
      <w:r>
        <w:t xml:space="preserve">Separate charges and transfers : https://docs.stripe.com/connect/separate-charges-and-transfers</w:t>
      </w:r>
    </w:p>
    <w:p>
      <w:pPr>
        <w:pStyle w:val="Compact"/>
        <w:numPr>
          <w:ilvl w:val="0"/>
          <w:numId w:val="1018"/>
        </w:numPr>
      </w:pPr>
      <w:r>
        <w:t xml:space="preserve">Frais de plateforme (application fees) : https://docs.stripe.com/connect/marketplace/tasks/app-fees</w:t>
      </w:r>
    </w:p>
    <w:p>
      <w:pPr>
        <w:pStyle w:val="Compact"/>
        <w:numPr>
          <w:ilvl w:val="0"/>
          <w:numId w:val="1018"/>
        </w:numPr>
      </w:pPr>
      <w:r>
        <w:t xml:space="preserve">Durée des autorisations de carte : https://docs.stripe.com/payments/place-a-hold-on-a-payment-method</w:t>
      </w:r>
    </w:p>
    <w:p>
      <w:pPr>
        <w:pStyle w:val="Compact"/>
        <w:numPr>
          <w:ilvl w:val="0"/>
          <w:numId w:val="1018"/>
        </w:numPr>
      </w:pPr>
      <w:r>
        <w:t xml:space="preserve">Versements instantanés Connect : https://docs.stripe.com/connect/instant-payouts</w:t>
      </w:r>
    </w:p>
    <w:p>
      <w:pPr>
        <w:pStyle w:val="Compact"/>
        <w:numPr>
          <w:ilvl w:val="0"/>
          <w:numId w:val="1018"/>
        </w:numPr>
      </w:pPr>
      <w:r>
        <w:t xml:space="preserve">Platform Pricing Tool : https://docs.stripe.com/connect/platform-pricing-tools</w:t>
      </w:r>
    </w:p>
    <w:p>
      <w:pPr>
        <w:pStyle w:val="Compact"/>
        <w:numPr>
          <w:ilvl w:val="0"/>
          <w:numId w:val="1018"/>
        </w:numPr>
      </w:pPr>
      <w:r>
        <w:t xml:space="preserve">Stripe Identity, résultats de vérification : https://docs.stripe.com/identity/handle-verification-outcomes</w:t>
      </w:r>
    </w:p>
    <w:p>
      <w:pPr>
        <w:pStyle w:val="Compact"/>
        <w:numPr>
          <w:ilvl w:val="0"/>
          <w:numId w:val="1018"/>
        </w:numPr>
      </w:pPr>
      <w:r>
        <w:t xml:space="preserve">Stripe Identity, sessions et effacement : https://docs.stripe.com/identity/verification-sessions</w:t>
      </w:r>
    </w:p>
    <w:p>
      <w:pPr>
        <w:pStyle w:val="Compact"/>
        <w:numPr>
          <w:ilvl w:val="0"/>
          <w:numId w:val="1018"/>
        </w:numPr>
      </w:pPr>
      <w:r>
        <w:t xml:space="preserve">Webhooks Stripe : https://docs.stripe.com/webhooks</w:t>
      </w:r>
    </w:p>
    <w:p>
      <w:pPr>
        <w:pStyle w:val="Compact"/>
        <w:numPr>
          <w:ilvl w:val="0"/>
          <w:numId w:val="1018"/>
        </w:numPr>
      </w:pPr>
      <w:r>
        <w:t xml:space="preserve">Types d'événements Stripe : https://docs.stripe.com/api/events/types</w:t>
      </w:r>
    </w:p>
    <w:p>
      <w:pPr>
        <w:pStyle w:val="Compact"/>
        <w:numPr>
          <w:ilvl w:val="0"/>
          <w:numId w:val="1018"/>
        </w:numPr>
      </w:pPr>
      <w:r>
        <w:t xml:space="preserve">Stripe Billing : https://docs.stripe.com/billing</w:t>
      </w:r>
    </w:p>
    <w:p>
      <w:pPr>
        <w:pStyle w:val="Compact"/>
        <w:numPr>
          <w:ilvl w:val="0"/>
          <w:numId w:val="1018"/>
        </w:numPr>
      </w:pPr>
      <w:r>
        <w:t xml:space="preserve">Supabase, régions disponibles : https://supabase.com/docs/guides/platform/regions · Invocations régionales : https://supabase.com/docs/guides/functions/regional-invocation</w:t>
      </w:r>
    </w:p>
    <w:p>
      <w:pPr>
        <w:pStyle w:val="Compact"/>
        <w:numPr>
          <w:ilvl w:val="0"/>
          <w:numId w:val="1018"/>
        </w:numPr>
      </w:pPr>
      <w:r>
        <w:t xml:space="preserve">Supabase Auth : https://supabase.com/docs/guides/auth · RLS : https://supabase.com/docs/guides/database/postgres/row-level-security</w:t>
      </w:r>
    </w:p>
    <w:p>
      <w:pPr>
        <w:pStyle w:val="Compact"/>
        <w:numPr>
          <w:ilvl w:val="0"/>
          <w:numId w:val="1018"/>
        </w:numPr>
      </w:pPr>
      <w:r>
        <w:t xml:space="preserve">OWASP MASVS : https://mas.owasp.org/MASVS/ · MASTG : https://mas.owasp.org/MASTG/</w:t>
      </w:r>
    </w:p>
    <w:p>
      <w:pPr>
        <w:pStyle w:val="Compact"/>
        <w:numPr>
          <w:ilvl w:val="0"/>
          <w:numId w:val="1018"/>
        </w:numPr>
      </w:pPr>
      <w:r>
        <w:t xml:space="preserve">OWASP API Security Top 10 (2023) : https://owasp.org/API-Security/</w:t>
      </w:r>
    </w:p>
    <w:p>
      <w:pPr>
        <w:pStyle w:val="Compact"/>
        <w:numPr>
          <w:ilvl w:val="0"/>
          <w:numId w:val="1018"/>
        </w:numPr>
      </w:pPr>
      <w:r>
        <w:t xml:space="preserve">WCAG 2.2 : https://www.w3.org/TR/WCAG22/</w:t>
      </w:r>
    </w:p>
    <w:p>
      <w:pPr>
        <w:pStyle w:val="Compact"/>
        <w:numPr>
          <w:ilvl w:val="0"/>
          <w:numId w:val="1018"/>
        </w:numPr>
      </w:pPr>
      <w:r>
        <w:t xml:space="preserve">Google Play, niveau d'API cible : https://support.google.com/googleplay/android-developer/answer/11926878</w:t>
      </w:r>
    </w:p>
    <w:p>
      <w:pPr>
        <w:pStyle w:val="Compact"/>
        <w:numPr>
          <w:ilvl w:val="0"/>
          <w:numId w:val="1018"/>
        </w:numPr>
      </w:pPr>
      <w:r>
        <w:t xml:space="preserve">Apple, exigences à venir : https://developer.apple.com/news/upcoming-requirements/</w:t>
      </w:r>
    </w:p>
    <w:bookmarkEnd w:id="67"/>
    <w:bookmarkEnd w:id="68"/>
    <w:bookmarkStart w:id="78" w:name="partie-c-volet-légal-de-la-monétisation"/>
    <w:p>
      <w:pPr>
        <w:pStyle w:val="Heading1"/>
      </w:pPr>
      <w:r>
        <w:t xml:space="preserve">Partie C — Volet légal de la monétisation</w:t>
      </w:r>
    </w:p>
    <w:p>
      <w:pPr>
        <w:pStyle w:val="FirstParagraph"/>
      </w:pPr>
      <w:r>
        <w:rPr>
          <w:i/>
          <w:iCs/>
        </w:rPr>
        <w:t xml:space="preserve">Préparé par Legal Team — 11 octobre 2026</w:t>
      </w:r>
    </w:p>
    <w:p>
      <w:pPr>
        <w:pStyle w:val="BlockText"/>
      </w:pPr>
      <w:r>
        <w:rPr>
          <w:b/>
          <w:bCs/>
        </w:rPr>
        <w:t xml:space="preserve">Avertissement.</w:t>
      </w:r>
      <w:r>
        <w:t xml:space="preserve"> </w:t>
      </w:r>
      <w:r>
        <w:t xml:space="preserve">Ce texte est une synthèse informative. Il ne constitue ni un avis juridique, ni un avis fiscal, ni un avis financier. Tout doit être validé par un avocat membre du Barreau du Québec, et par un comptable pour la fiscalité, avant le lancement.</w:t>
      </w:r>
    </w:p>
    <w:bookmarkStart w:id="69" w:name="sources-de-revenus-prévues"/>
    <w:p>
      <w:pPr>
        <w:pStyle w:val="Heading2"/>
      </w:pPr>
      <w:r>
        <w:t xml:space="preserve">1. Sources de revenus prévues</w:t>
      </w:r>
    </w:p>
    <w:tbl>
      <w:tblPr>
        <w:tblStyle w:val="Table"/>
        <w:tblW w:type="dxa" w:w="9921"/>
        <w:tblLayout w:type="fixed"/>
        <w:tblLook w:firstRow="1" w:lastRow="0" w:firstColumn="0" w:lastColumn="0" w:noHBand="0" w:noVBand="0" w:val="0020"/>
        <w:tblBorders>
          <w:top w:val="single" w:sz="4" w:color="D4CAB7"/>
          <w:left w:val="single" w:sz="4" w:color="D4CAB7"/>
          <w:bottom w:val="single" w:sz="4" w:color="D4CAB7"/>
          <w:right w:val="single" w:sz="4" w:color="D4CAB7"/>
          <w:insideH w:val="single" w:sz="4" w:color="D4CAB7"/>
          <w:insideV w:val="single" w:sz="4" w:color="D4CAB7"/>
        </w:tblBorders>
        <w:tblLayout w:type="fixed"/>
      </w:tblPr>
      <w:tblGrid>
        <w:gridCol w:w="2570"/>
        <w:gridCol w:w="2824"/>
        <w:gridCol w:w="4526"/>
      </w:tblGrid>
      <w:tr>
        <w:trPr>
          <w:tblHeader w:val="on"/>
        </w:trPr>
        <w:tc>
          <w:tcPr>
            <w:tcW w:type="dxa" w:w="2570"/>
            <w:shd w:val="clear" w:color="auto" w:fill="0F766E"/>
          </w:tcPr>
          <w:p>
            <w:pPr>
              <w:pStyle w:val="Compact"/>
              <w:spacing w:after="20"/>
            </w:pPr>
            <w:r>
              <w:rPr>
                <w:b/>
                <w:color w:val="FFFFFF"/>
                <w:sz w:val="17"/>
              </w:rPr>
              <w:t xml:space="preserve">Source</w:t>
            </w:r>
          </w:p>
        </w:tc>
        <w:tc>
          <w:tcPr>
            <w:tcW w:type="dxa" w:w="2824"/>
            <w:shd w:val="clear" w:color="auto" w:fill="0F766E"/>
          </w:tcPr>
          <w:p>
            <w:pPr>
              <w:pStyle w:val="Compact"/>
              <w:spacing w:after="20"/>
            </w:pPr>
            <w:r>
              <w:rPr>
                <w:b/>
                <w:color w:val="FFFFFF"/>
                <w:sz w:val="17"/>
              </w:rPr>
              <w:t xml:space="preserve">Qui paie</w:t>
            </w:r>
          </w:p>
        </w:tc>
        <w:tc>
          <w:tcPr>
            <w:tcW w:type="dxa" w:w="4527"/>
            <w:shd w:val="clear" w:color="auto" w:fill="0F766E"/>
          </w:tcPr>
          <w:p>
            <w:pPr>
              <w:pStyle w:val="Compact"/>
              <w:spacing w:after="20"/>
            </w:pPr>
            <w:r>
              <w:rPr>
                <w:b/>
                <w:color w:val="FFFFFF"/>
                <w:sz w:val="17"/>
              </w:rPr>
              <w:t xml:space="preserve">Comment Stripe l'encaisse (voir section technique)</w:t>
            </w:r>
          </w:p>
        </w:tc>
      </w:tr>
      <w:tr>
        <w:tc>
          <w:tcPr>
            <w:tcW w:type="dxa" w:w="2570"/>
          </w:tcPr>
          <w:p>
            <w:pPr>
              <w:pStyle w:val="Compact"/>
              <w:spacing w:after="20"/>
            </w:pPr>
            <w:r>
              <w:rPr>
                <w:sz w:val="17"/>
              </w:rPr>
              <w:t xml:space="preserve">Commission sur chaque livraison</w:t>
            </w:r>
          </w:p>
        </w:tc>
        <w:tc>
          <w:tcPr>
            <w:tcW w:type="dxa" w:w="2824"/>
          </w:tcPr>
          <w:p>
            <w:pPr>
              <w:pStyle w:val="Compact"/>
              <w:spacing w:after="20"/>
            </w:pPr>
            <w:r>
              <w:rPr>
                <w:sz w:val="17"/>
              </w:rPr>
              <w:t xml:space="preserve">L'expéditeur, ou une part du montant versé au voyageur</w:t>
            </w:r>
          </w:p>
        </w:tc>
        <w:tc>
          <w:tcPr>
            <w:tcW w:type="dxa" w:w="4527"/>
          </w:tcPr>
          <w:p>
            <w:pPr>
              <w:pStyle w:val="Compact"/>
              <w:spacing w:after="20"/>
            </w:pPr>
            <w:r>
              <w:rPr>
                <w:sz w:val="17"/>
              </w:rPr>
              <w:t xml:space="preserve">Frais de plateforme prélevés par Stripe Connect</w:t>
            </w:r>
          </w:p>
        </w:tc>
      </w:tr>
      <w:tr>
        <w:tc>
          <w:tcPr>
            <w:tcW w:type="dxa" w:w="2570"/>
          </w:tcPr>
          <w:p>
            <w:pPr>
              <w:pStyle w:val="Compact"/>
              <w:spacing w:after="20"/>
            </w:pPr>
            <w:r>
              <w:rPr>
                <w:sz w:val="17"/>
              </w:rPr>
              <w:t xml:space="preserve">Assurance optionnelle du colis</w:t>
            </w:r>
          </w:p>
        </w:tc>
        <w:tc>
          <w:tcPr>
            <w:tcW w:type="dxa" w:w="2824"/>
          </w:tcPr>
          <w:p>
            <w:pPr>
              <w:pStyle w:val="Compact"/>
              <w:spacing w:after="20"/>
            </w:pPr>
            <w:r>
              <w:rPr>
                <w:sz w:val="17"/>
              </w:rPr>
              <w:t xml:space="preserve">L'expéditeur, s'il choisit l'option</w:t>
            </w:r>
          </w:p>
        </w:tc>
        <w:tc>
          <w:tcPr>
            <w:tcW w:type="dxa" w:w="4527"/>
          </w:tcPr>
          <w:p>
            <w:pPr>
              <w:pStyle w:val="Compact"/>
              <w:spacing w:after="20"/>
            </w:pPr>
            <w:r>
              <w:rPr>
                <w:sz w:val="17"/>
              </w:rPr>
              <w:t xml:space="preserve">Prime versée à l'assureur partenaire. Volis touche au plus une rémunération que l'assureur lui verse et qui doit être divulguée</w:t>
            </w:r>
          </w:p>
        </w:tc>
      </w:tr>
      <w:tr>
        <w:tc>
          <w:tcPr>
            <w:tcW w:type="dxa" w:w="2570"/>
          </w:tcPr>
          <w:p>
            <w:pPr>
              <w:pStyle w:val="Compact"/>
              <w:spacing w:after="20"/>
            </w:pPr>
            <w:r>
              <w:rPr>
                <w:sz w:val="17"/>
              </w:rPr>
              <w:t xml:space="preserve">Frais de versement instantané</w:t>
            </w:r>
          </w:p>
        </w:tc>
        <w:tc>
          <w:tcPr>
            <w:tcW w:type="dxa" w:w="2824"/>
          </w:tcPr>
          <w:p>
            <w:pPr>
              <w:pStyle w:val="Compact"/>
              <w:spacing w:after="20"/>
            </w:pPr>
            <w:r>
              <w:rPr>
                <w:sz w:val="17"/>
              </w:rPr>
              <w:t xml:space="preserve">Le voyageur, s'il choisit le versement instantané</w:t>
            </w:r>
          </w:p>
        </w:tc>
        <w:tc>
          <w:tcPr>
            <w:tcW w:type="dxa" w:w="4527"/>
          </w:tcPr>
          <w:p>
            <w:pPr>
              <w:pStyle w:val="Compact"/>
              <w:spacing w:after="20"/>
            </w:pPr>
            <w:r>
              <w:rPr>
                <w:sz w:val="17"/>
              </w:rPr>
              <w:t xml:space="preserve">Frais de Stripe, avec une éventuelle marge pour Volis</w:t>
            </w:r>
          </w:p>
        </w:tc>
      </w:tr>
      <w:tr>
        <w:tc>
          <w:tcPr>
            <w:tcW w:type="dxa" w:w="2570"/>
          </w:tcPr>
          <w:p>
            <w:pPr>
              <w:pStyle w:val="Compact"/>
              <w:spacing w:after="20"/>
            </w:pPr>
            <w:r>
              <w:rPr>
                <w:sz w:val="17"/>
              </w:rPr>
              <w:t xml:space="preserve">Option future : abonnement ou mise en avant</w:t>
            </w:r>
          </w:p>
        </w:tc>
        <w:tc>
          <w:tcPr>
            <w:tcW w:type="dxa" w:w="2824"/>
          </w:tcPr>
          <w:p>
            <w:pPr>
              <w:pStyle w:val="Compact"/>
              <w:spacing w:after="20"/>
            </w:pPr>
            <w:r>
              <w:rPr>
                <w:sz w:val="17"/>
              </w:rPr>
              <w:t xml:space="preserve">Selon l'offre</w:t>
            </w:r>
          </w:p>
        </w:tc>
        <w:tc>
          <w:tcPr>
            <w:tcW w:type="dxa" w:w="4527"/>
          </w:tcPr>
          <w:p>
            <w:pPr>
              <w:pStyle w:val="Compact"/>
              <w:spacing w:after="20"/>
            </w:pPr>
            <w:r>
              <w:rPr>
                <w:sz w:val="17"/>
              </w:rPr>
              <w:t xml:space="preserve">À encadrer avant de lancer (voir 6)</w:t>
            </w:r>
          </w:p>
        </w:tc>
      </w:tr>
    </w:tbl>
    <w:bookmarkEnd w:id="69"/>
    <w:bookmarkStart w:id="70" w:name="Xca31b1025ac9b8917e64c60c2d96a754206d373"/>
    <w:p>
      <w:pPr>
        <w:pStyle w:val="Heading2"/>
      </w:pPr>
      <w:r>
        <w:t xml:space="preserve">2. Prix et transparence (Loi sur la protection du consommateur et Loi sur la concurrence)</w:t>
      </w:r>
    </w:p>
    <w:p>
      <w:pPr>
        <w:pStyle w:val="Compact"/>
        <w:numPr>
          <w:ilvl w:val="0"/>
          <w:numId w:val="1019"/>
        </w:numPr>
      </w:pPr>
      <w:r>
        <w:rPr>
          <w:b/>
          <w:bCs/>
        </w:rPr>
        <w:t xml:space="preserve">Prix total annoncé.</w:t>
      </w:r>
      <w:r>
        <w:t xml:space="preserve"> </w:t>
      </w:r>
      <w:r>
        <w:t xml:space="preserve">Le prix montré doit inclure tous les frais obligatoires : commission, frais de service et frais de traitement. Seules la TPS et la TVQ peuvent s'ajouter (LPC, art. 224 c). La Loi sur la concurrence interdit aussi d'annoncer un prix partiel en ajoutant des frais obligatoires plus tard.</w:t>
      </w:r>
    </w:p>
    <w:p>
      <w:pPr>
        <w:pStyle w:val="Compact"/>
        <w:numPr>
          <w:ilvl w:val="0"/>
          <w:numId w:val="1019"/>
        </w:numPr>
      </w:pPr>
      <w:r>
        <w:rPr>
          <w:b/>
          <w:bCs/>
        </w:rPr>
        <w:t xml:space="preserve">Détail avant paiement.</w:t>
      </w:r>
      <w:r>
        <w:t xml:space="preserve"> </w:t>
      </w:r>
      <w:r>
        <w:t xml:space="preserve">Avant de payer, l'utilisateur doit voir le prix du transport, la commission de Volis, l'assurance si elle est choisie, les taxes et le total. Ce détail correspond à l'écran de paiement de la partie A (écran 11).</w:t>
      </w:r>
    </w:p>
    <w:p>
      <w:pPr>
        <w:pStyle w:val="Compact"/>
        <w:numPr>
          <w:ilvl w:val="0"/>
          <w:numId w:val="1019"/>
        </w:numPr>
      </w:pPr>
      <w:r>
        <w:rPr>
          <w:b/>
          <w:bCs/>
        </w:rPr>
        <w:t xml:space="preserve">Contrat conclu à distance</w:t>
      </w:r>
      <w:r>
        <w:t xml:space="preserve"> </w:t>
      </w:r>
      <w:r>
        <w:t xml:space="preserve">(LPC, art. 54.1 et suivants). Avant la conclusion, l'utilisateur doit recevoir certaines informations : l'identité et l'adresse de Volis, une description du service, le prix détaillé, les modalités de paiement et la politique d'annulation et de remboursement. Il faut ensuite lui transmettre une copie du contrat dans les 15 jours. Si ces informations manquent, le consommateur peut annuler le contrat et demander une rétrofacturation à l'émetteur de sa carte.</w:t>
      </w:r>
    </w:p>
    <w:p>
      <w:pPr>
        <w:pStyle w:val="Compact"/>
        <w:numPr>
          <w:ilvl w:val="0"/>
          <w:numId w:val="1019"/>
        </w:numPr>
      </w:pPr>
      <w:r>
        <w:rPr>
          <w:b/>
          <w:bCs/>
        </w:rPr>
        <w:t xml:space="preserve">Pas de publicité trompeuse</w:t>
      </w:r>
      <w:r>
        <w:t xml:space="preserve"> </w:t>
      </w:r>
      <w:r>
        <w:t xml:space="preserve">(LPC, art. 219 et suivants). Les messages comme « livraison garantie » ou « assuré » sont interdits si l'assurance n'est pas choisie.</w:t>
      </w:r>
    </w:p>
    <w:p>
      <w:pPr>
        <w:pStyle w:val="Compact"/>
        <w:numPr>
          <w:ilvl w:val="0"/>
          <w:numId w:val="1019"/>
        </w:numPr>
      </w:pPr>
      <w:r>
        <w:rPr>
          <w:b/>
          <w:bCs/>
        </w:rPr>
        <w:t xml:space="preserve">Langue.</w:t>
      </w:r>
      <w:r>
        <w:t xml:space="preserve"> </w:t>
      </w:r>
      <w:r>
        <w:t xml:space="preserve">Les prix, les reçus, les factures et les conditions doivent être en français (Charte de la langue française).</w:t>
      </w:r>
    </w:p>
    <w:bookmarkEnd w:id="70"/>
    <w:bookmarkStart w:id="71" w:name="commission-de-la-plateforme-1"/>
    <w:p>
      <w:pPr>
        <w:pStyle w:val="Heading2"/>
      </w:pPr>
      <w:r>
        <w:t xml:space="preserve">3. Commission de la plateforme</w:t>
      </w:r>
    </w:p>
    <w:p>
      <w:pPr>
        <w:pStyle w:val="Compact"/>
        <w:numPr>
          <w:ilvl w:val="0"/>
          <w:numId w:val="1020"/>
        </w:numPr>
      </w:pPr>
      <w:r>
        <w:rPr>
          <w:b/>
          <w:bCs/>
        </w:rPr>
        <w:t xml:space="preserve">Rôle d'intermédiaire.</w:t>
      </w:r>
      <w:r>
        <w:t xml:space="preserve"> </w:t>
      </w:r>
      <w:r>
        <w:t xml:space="preserve">Les conditions d'utilisation doivent dire clairement que la commission paie un service de mise en relation et de paiement, pas un service de transport.</w:t>
      </w:r>
    </w:p>
    <w:p>
      <w:pPr>
        <w:pStyle w:val="Compact"/>
        <w:numPr>
          <w:ilvl w:val="0"/>
          <w:numId w:val="1020"/>
        </w:numPr>
      </w:pPr>
      <w:r>
        <w:rPr>
          <w:b/>
          <w:bCs/>
        </w:rPr>
        <w:t xml:space="preserve">Statut des voyageurs.</w:t>
      </w:r>
      <w:r>
        <w:t xml:space="preserve"> </w:t>
      </w:r>
      <w:r>
        <w:t xml:space="preserve">Les voyageurs sont des utilisateurs autonomes. Volis ne doit pas leur imposer d'horaires, de quotas ni de prix fixes, sinon un tribunal pourrait les considérer comme des salariés (Loi sur les normes du travail, cotisations sociales). Les règles de sécurité et la liste d'objets interdits restent permises.</w:t>
      </w:r>
    </w:p>
    <w:p>
      <w:pPr>
        <w:pStyle w:val="Compact"/>
        <w:numPr>
          <w:ilvl w:val="0"/>
          <w:numId w:val="1020"/>
        </w:numPr>
      </w:pPr>
      <w:r>
        <w:rPr>
          <w:b/>
          <w:bCs/>
        </w:rPr>
        <w:t xml:space="preserve">Taxes sur la commission.</w:t>
      </w:r>
      <w:r>
        <w:t xml:space="preserve"> </w:t>
      </w:r>
      <w:r>
        <w:t xml:space="preserve">La commission et les frais de service sont des fournitures taxables. Volis doit s'inscrire à la TPS/TVQ dès que ses revenus dépassent 30 000 $ sur quatre trimestres civils consécutifs, ou plus tôt de façon volontaire. Les reçus doivent indiquer les numéros de TPS et de TVQ.</w:t>
      </w:r>
      <w:r>
        <w:t xml:space="preserve"> </w:t>
      </w:r>
      <w:r>
        <w:rPr>
          <w:b/>
          <w:bCs/>
        </w:rPr>
        <w:t xml:space="preserve">À confirmer avec un comptable :</w:t>
      </w:r>
      <w:r>
        <w:t xml:space="preserve"> </w:t>
      </w:r>
      <w:r>
        <w:t xml:space="preserve">les règles qui obligent les exploitants de plateformes numériques à percevoir les taxes à la place de certains fournisseurs pourraient s'appliquer à Volis.</w:t>
      </w:r>
    </w:p>
    <w:p>
      <w:pPr>
        <w:pStyle w:val="Compact"/>
        <w:numPr>
          <w:ilvl w:val="0"/>
          <w:numId w:val="1020"/>
        </w:numPr>
      </w:pPr>
      <w:r>
        <w:rPr>
          <w:b/>
          <w:bCs/>
        </w:rPr>
        <w:t xml:space="preserve">Revenus des voyageurs.</w:t>
      </w:r>
      <w:r>
        <w:t xml:space="preserve"> </w:t>
      </w:r>
      <w:r>
        <w:t xml:space="preserve">Ils sont imposables pour les voyageurs. Le régime de déclaration de l'ARC pour les plateformes (en vigueur depuis 2024) pourrait obliger Volis à déclarer chaque année ce que touchent les voyageurs.</w:t>
      </w:r>
      <w:r>
        <w:t xml:space="preserve"> </w:t>
      </w:r>
      <w:r>
        <w:rPr>
          <w:b/>
          <w:bCs/>
        </w:rPr>
        <w:t xml:space="preserve">À confirmer avec un comptable.</w:t>
      </w:r>
      <w:r>
        <w:t xml:space="preserve"> </w:t>
      </w:r>
      <w:r>
        <w:t xml:space="preserve">Il faut donc prévoir dès maintenant de recueillir les renseignements requis (nom, adresse, NAS ou numéro d'entreprise), avec le consentement prévu par la Loi 25.</w:t>
      </w:r>
    </w:p>
    <w:bookmarkEnd w:id="71"/>
    <w:bookmarkStart w:id="72" w:name="assurance-optionnelle"/>
    <w:p>
      <w:pPr>
        <w:pStyle w:val="Heading2"/>
      </w:pPr>
      <w:r>
        <w:t xml:space="preserve">4. Assurance optionnelle</w:t>
      </w:r>
    </w:p>
    <w:p>
      <w:pPr>
        <w:pStyle w:val="Compact"/>
        <w:numPr>
          <w:ilvl w:val="0"/>
          <w:numId w:val="1021"/>
        </w:numPr>
      </w:pPr>
      <w:r>
        <w:rPr>
          <w:b/>
          <w:bCs/>
        </w:rPr>
        <w:t xml:space="preserve">Ce que Volis ne doit pas faire.</w:t>
      </w:r>
      <w:r>
        <w:t xml:space="preserve"> </w:t>
      </w:r>
      <w:r>
        <w:t xml:space="preserve">Vendre de l'assurance en son propre nom ou conseiller les utilisateurs sur une assurance, à moins d'être inscrit auprès de l'AMF.</w:t>
      </w:r>
    </w:p>
    <w:p>
      <w:pPr>
        <w:pStyle w:val="Compact"/>
        <w:numPr>
          <w:ilvl w:val="0"/>
          <w:numId w:val="1021"/>
        </w:numPr>
      </w:pPr>
      <w:r>
        <w:rPr>
          <w:b/>
          <w:bCs/>
        </w:rPr>
        <w:t xml:space="preserve">Option A, la plus simple : la recommandation.</w:t>
      </w:r>
      <w:r>
        <w:t xml:space="preserve"> </w:t>
      </w:r>
      <w:r>
        <w:t xml:space="preserve">Volis renvoie l'utilisateur vers l'assureur partenaire, qui vend lui-même l'assurance. Si l'assureur verse une rémunération de recommandation à Volis, il faut l'encadrer par contrat et la divulguer à l'utilisateur.</w:t>
      </w:r>
    </w:p>
    <w:p>
      <w:pPr>
        <w:pStyle w:val="Compact"/>
        <w:numPr>
          <w:ilvl w:val="0"/>
          <w:numId w:val="1021"/>
        </w:numPr>
      </w:pPr>
      <w:r>
        <w:rPr>
          <w:b/>
          <w:bCs/>
        </w:rPr>
        <w:t xml:space="preserve">Option B : la distribution sans représentant</w:t>
      </w:r>
      <w:r>
        <w:t xml:space="preserve"> </w:t>
      </w:r>
      <w:r>
        <w:t xml:space="preserve">(Loi sur la distribution de produits et services financiers, titre VIII). Ce régime permet de proposer une assurance liée au service. L'assureur doit l'avoir déclaré à l'AMF, Volis doit remettre le guide de distribution de l'assureur et l'utilisateur garde un droit de résolution prévu par la loi.</w:t>
      </w:r>
      <w:r>
        <w:t xml:space="preserve"> </w:t>
      </w:r>
      <w:r>
        <w:rPr>
          <w:b/>
          <w:bCs/>
        </w:rPr>
        <w:t xml:space="preserve">À valider avec l'avocat et l'assureur.</w:t>
      </w:r>
    </w:p>
    <w:p>
      <w:pPr>
        <w:pStyle w:val="Compact"/>
        <w:numPr>
          <w:ilvl w:val="0"/>
          <w:numId w:val="1021"/>
        </w:numPr>
      </w:pPr>
      <w:r>
        <w:rPr>
          <w:b/>
          <w:bCs/>
        </w:rPr>
        <w:t xml:space="preserve">Interface.</w:t>
      </w:r>
      <w:r>
        <w:t xml:space="preserve"> </w:t>
      </w:r>
      <w:r>
        <w:t xml:space="preserve">Il faut une case d'acceptation qui n'est pas cochée d'avance, un prix montré à part, et les limites, exclusions et plafonds écrits clairement. L'assurance ne doit jamais être obligatoire pour utiliser le service.</w:t>
      </w:r>
    </w:p>
    <w:p>
      <w:pPr>
        <w:pStyle w:val="Compact"/>
        <w:numPr>
          <w:ilvl w:val="0"/>
          <w:numId w:val="1021"/>
        </w:numPr>
      </w:pPr>
      <w:r>
        <w:rPr>
          <w:b/>
          <w:bCs/>
        </w:rPr>
        <w:t xml:space="preserve">Lien avec la politique de litiges.</w:t>
      </w:r>
      <w:r>
        <w:t xml:space="preserve"> </w:t>
      </w:r>
      <w:r>
        <w:t xml:space="preserve">Le plafond d'indemnisation de Volis s'applique quand l'assurance n'est pas choisie. Il ne peut jamais servir à exclure la responsabilité de Volis pour une faute lourde ou intentionnelle, ni pour un préjudice corporel ou moral (C.c.Q., art. 1474).</w:t>
      </w:r>
    </w:p>
    <w:bookmarkEnd w:id="72"/>
    <w:bookmarkStart w:id="73" w:name="frais-de-versement-instantané-1"/>
    <w:p>
      <w:pPr>
        <w:pStyle w:val="Heading2"/>
      </w:pPr>
      <w:r>
        <w:t xml:space="preserve">5. Frais de versement instantané</w:t>
      </w:r>
    </w:p>
    <w:p>
      <w:pPr>
        <w:pStyle w:val="Compact"/>
        <w:numPr>
          <w:ilvl w:val="0"/>
          <w:numId w:val="1022"/>
        </w:numPr>
      </w:pPr>
      <w:r>
        <w:t xml:space="preserve">Le montant ou le pourcentage doit être montré avant que le voyageur choisisse. Le virement standard gratuit reste toujours offert.</w:t>
      </w:r>
    </w:p>
    <w:p>
      <w:pPr>
        <w:pStyle w:val="Compact"/>
        <w:numPr>
          <w:ilvl w:val="0"/>
          <w:numId w:val="1022"/>
        </w:numPr>
      </w:pPr>
      <w:r>
        <w:t xml:space="preserve">Si Volis ajoute une marge aux frais de Stripe, elle doit être divulguée. Le terme « frais de Stripe » ne peut pas désigner un montant qui contient une marge pour Volis.</w:t>
      </w:r>
    </w:p>
    <w:p>
      <w:pPr>
        <w:pStyle w:val="Compact"/>
        <w:numPr>
          <w:ilvl w:val="0"/>
          <w:numId w:val="1022"/>
        </w:numPr>
      </w:pPr>
      <w:r>
        <w:t xml:space="preserve">Les données bancaires sont saisies seulement dans l'inscription hébergée par Stripe, et jamais sur les serveurs de Volis (Loi 25, minimisation des données).</w:t>
      </w:r>
    </w:p>
    <w:bookmarkEnd w:id="73"/>
    <w:bookmarkStart w:id="74" w:name="Xcb2d196303dfb06545e28be1f97612f566b7f95"/>
    <w:p>
      <w:pPr>
        <w:pStyle w:val="Heading2"/>
      </w:pPr>
      <w:r>
        <w:t xml:space="preserve">6. Paiement retenu, remboursements et litiges</w:t>
      </w:r>
    </w:p>
    <w:p>
      <w:pPr>
        <w:pStyle w:val="Compact"/>
        <w:numPr>
          <w:ilvl w:val="0"/>
          <w:numId w:val="1023"/>
        </w:numPr>
      </w:pPr>
      <w:r>
        <w:rPr>
          <w:b/>
          <w:bCs/>
        </w:rPr>
        <w:t xml:space="preserve">Encaissement des fonds.</w:t>
      </w:r>
      <w:r>
        <w:t xml:space="preserve"> </w:t>
      </w:r>
      <w:r>
        <w:t xml:space="preserve">Avec les « separate charges and transfers » de Stripe Connect, l'argent transite par le solde Stripe de Volis. Il faut faire confirmer par l'avocat que Volis peut compter sur l'inscription de Stripe comme fournisseur de services de paiement, ou qu'une exemption s'applique. Sinon, Volis devrait peut-être s'inscrire elle-même à la Banque du Canada (Loi sur les activités associées aux paiements de détail).</w:t>
      </w:r>
    </w:p>
    <w:p>
      <w:pPr>
        <w:pStyle w:val="Compact"/>
        <w:numPr>
          <w:ilvl w:val="0"/>
          <w:numId w:val="1023"/>
        </w:numPr>
      </w:pPr>
      <w:r>
        <w:rPr>
          <w:b/>
          <w:bCs/>
        </w:rPr>
        <w:t xml:space="preserve">Politique de remboursement.</w:t>
      </w:r>
      <w:r>
        <w:t xml:space="preserve"> </w:t>
      </w:r>
      <w:r>
        <w:t xml:space="preserve">Elle doit préciser quand un remboursement s'applique (annulation, colis non remis), son délai, et quels frais sont remboursés ou non. Une clause qui empêcherait le consommateur d'exercer ses recours prévus par la LPC est sans effet.</w:t>
      </w:r>
    </w:p>
    <w:p>
      <w:pPr>
        <w:pStyle w:val="Compact"/>
        <w:numPr>
          <w:ilvl w:val="0"/>
          <w:numId w:val="1023"/>
        </w:numPr>
      </w:pPr>
      <w:r>
        <w:rPr>
          <w:b/>
          <w:bCs/>
        </w:rPr>
        <w:t xml:space="preserve">Rétrofacturations.</w:t>
      </w:r>
      <w:r>
        <w:t xml:space="preserve"> </w:t>
      </w:r>
      <w:r>
        <w:t xml:space="preserve">Il faut prévoir comment Volis répond aux contestations de carte, en joignant les preuves de remise (photos et confirmation). Il faut aussi prévoir qui assume la perte, sans la transférer au voyageur sans son accord prévu dans les conditions.</w:t>
      </w:r>
    </w:p>
    <w:p>
      <w:pPr>
        <w:pStyle w:val="Compact"/>
        <w:numPr>
          <w:ilvl w:val="0"/>
          <w:numId w:val="1023"/>
        </w:numPr>
      </w:pPr>
      <w:r>
        <w:rPr>
          <w:b/>
          <w:bCs/>
        </w:rPr>
        <w:t xml:space="preserve">Abonnement ou mise en avant payante (plus tard).</w:t>
      </w:r>
      <w:r>
        <w:t xml:space="preserve"> </w:t>
      </w:r>
      <w:r>
        <w:t xml:space="preserve">Ce sont des contrats à exécution successive selon la LPC. Il faudra des règles sur la résiliation, un avis avant chaque renouvellement automatique et un prix clair.</w:t>
      </w:r>
    </w:p>
    <w:bookmarkEnd w:id="74"/>
    <w:bookmarkStart w:id="75" w:name="marketing-et-données"/>
    <w:p>
      <w:pPr>
        <w:pStyle w:val="Heading2"/>
      </w:pPr>
      <w:r>
        <w:t xml:space="preserve">7. Marketing et données</w:t>
      </w:r>
    </w:p>
    <w:p>
      <w:pPr>
        <w:pStyle w:val="Compact"/>
        <w:numPr>
          <w:ilvl w:val="0"/>
          <w:numId w:val="1024"/>
        </w:numPr>
      </w:pPr>
      <w:r>
        <w:rPr>
          <w:b/>
          <w:bCs/>
        </w:rPr>
        <w:t xml:space="preserve">Courriels et notifications promotionnels.</w:t>
      </w:r>
      <w:r>
        <w:t xml:space="preserve"> </w:t>
      </w:r>
      <w:r>
        <w:t xml:space="preserve">Ils demandent un consentement exprès, un lien de désabonnement et l'identification de l'expéditeur (LCAP, la loi anti-pourriel).</w:t>
      </w:r>
    </w:p>
    <w:p>
      <w:pPr>
        <w:pStyle w:val="Compact"/>
        <w:numPr>
          <w:ilvl w:val="0"/>
          <w:numId w:val="1024"/>
        </w:numPr>
      </w:pPr>
      <w:r>
        <w:rPr>
          <w:b/>
          <w:bCs/>
        </w:rPr>
        <w:t xml:space="preserve">Publicité ciblée ou traçage.</w:t>
      </w:r>
      <w:r>
        <w:t xml:space="preserve"> </w:t>
      </w:r>
      <w:r>
        <w:t xml:space="preserve">La Loi 25 exige que ce soit désactivé par défaut avec un consentement distinct. Il faut aussi les fiches vie privée des stores.</w:t>
      </w:r>
    </w:p>
    <w:p>
      <w:pPr>
        <w:pStyle w:val="Compact"/>
        <w:numPr>
          <w:ilvl w:val="0"/>
          <w:numId w:val="1024"/>
        </w:numPr>
      </w:pPr>
      <w:r>
        <w:rPr>
          <w:b/>
          <w:bCs/>
        </w:rPr>
        <w:t xml:space="preserve">Pas de vente de données personnelles</w:t>
      </w:r>
      <w:r>
        <w:t xml:space="preserve"> </w:t>
      </w:r>
      <w:r>
        <w:t xml:space="preserve">sans consentement exprès.</w:t>
      </w:r>
    </w:p>
    <w:p>
      <w:pPr>
        <w:pStyle w:val="Compact"/>
        <w:numPr>
          <w:ilvl w:val="0"/>
          <w:numId w:val="1024"/>
        </w:numPr>
      </w:pPr>
      <w:r>
        <w:rPr>
          <w:b/>
          <w:bCs/>
        </w:rPr>
        <w:t xml:space="preserve">Sous-traitants qui reçoivent des données</w:t>
      </w:r>
      <w:r>
        <w:t xml:space="preserve"> </w:t>
      </w:r>
      <w:r>
        <w:t xml:space="preserve">: Stripe (paiements et vérification d'identité), Sentry (suivi des erreurs), le service de notifications d'Expo, l'outil d'analytics s'il y en a un, et l'assureur partenaire. Chacun doit figurer dans l'évaluation des facteurs relatifs à la vie privée (ÉFVP) et dans la politique de confidentialité, avec un contrat de traitement des données. Ceux qui traitent les données hors du Québec doivent faire l'objet d'une évaluation du transfert (Loi 25, art. 17). Supabase est hébergé au Canada (Central).</w:t>
      </w:r>
    </w:p>
    <w:bookmarkEnd w:id="75"/>
    <w:bookmarkStart w:id="76" w:name="Xc28affe020dbf676ca65e4f1010122d81d3988e"/>
    <w:p>
      <w:pPr>
        <w:pStyle w:val="Heading2"/>
      </w:pPr>
      <w:r>
        <w:t xml:space="preserve">8. Clauses à prévoir dans les conditions d'utilisation</w:t>
      </w:r>
    </w:p>
    <w:p>
      <w:pPr>
        <w:pStyle w:val="Compact"/>
        <w:numPr>
          <w:ilvl w:val="0"/>
          <w:numId w:val="1025"/>
        </w:numPr>
      </w:pPr>
      <w:r>
        <w:t xml:space="preserve">L'objet du service : une mise en relation et un paiement sécurisé, pas un service de transport.</w:t>
      </w:r>
    </w:p>
    <w:p>
      <w:pPr>
        <w:pStyle w:val="Compact"/>
        <w:numPr>
          <w:ilvl w:val="0"/>
          <w:numId w:val="1025"/>
        </w:numPr>
      </w:pPr>
      <w:r>
        <w:t xml:space="preserve">Le prix, la commission, les taxes et le moment du prélèvement.</w:t>
      </w:r>
    </w:p>
    <w:p>
      <w:pPr>
        <w:pStyle w:val="Compact"/>
        <w:numPr>
          <w:ilvl w:val="0"/>
          <w:numId w:val="1025"/>
        </w:numPr>
      </w:pPr>
      <w:r>
        <w:t xml:space="preserve">Le paiement retenu, sa libération à la remise et ses délais.</w:t>
      </w:r>
    </w:p>
    <w:p>
      <w:pPr>
        <w:pStyle w:val="Compact"/>
        <w:numPr>
          <w:ilvl w:val="0"/>
          <w:numId w:val="1025"/>
        </w:numPr>
      </w:pPr>
      <w:r>
        <w:t xml:space="preserve">L'annulation, le remboursement et les frais non remboursables, dans les limites de la LPC.</w:t>
      </w:r>
    </w:p>
    <w:p>
      <w:pPr>
        <w:pStyle w:val="Compact"/>
        <w:numPr>
          <w:ilvl w:val="0"/>
          <w:numId w:val="1025"/>
        </w:numPr>
      </w:pPr>
      <w:r>
        <w:t xml:space="preserve">La valeur déclarée, le plafond d'indemnisation et le renvoi à l'assurance optionnelle.</w:t>
      </w:r>
    </w:p>
    <w:p>
      <w:pPr>
        <w:pStyle w:val="Compact"/>
        <w:numPr>
          <w:ilvl w:val="0"/>
          <w:numId w:val="1025"/>
        </w:numPr>
      </w:pPr>
      <w:r>
        <w:t xml:space="preserve">Les objets interdits, l'attestation du contenu et la responsabilité douanière du voyageur, présentée comme une information.</w:t>
      </w:r>
    </w:p>
    <w:p>
      <w:pPr>
        <w:pStyle w:val="Compact"/>
        <w:numPr>
          <w:ilvl w:val="0"/>
          <w:numId w:val="1025"/>
        </w:numPr>
      </w:pPr>
      <w:r>
        <w:t xml:space="preserve">Les frais de versement et les conditions de Stripe Connect, que l'utilisateur accepte.</w:t>
      </w:r>
    </w:p>
    <w:p>
      <w:pPr>
        <w:pStyle w:val="Compact"/>
        <w:numPr>
          <w:ilvl w:val="0"/>
          <w:numId w:val="1025"/>
        </w:numPr>
      </w:pPr>
      <w:r>
        <w:t xml:space="preserve">La suspension et la fermeture du compte, avec la suppression de compte dans l'application.</w:t>
      </w:r>
    </w:p>
    <w:p>
      <w:pPr>
        <w:pStyle w:val="Compact"/>
        <w:numPr>
          <w:ilvl w:val="0"/>
          <w:numId w:val="1025"/>
        </w:numPr>
      </w:pPr>
      <w:r>
        <w:t xml:space="preserve">Le droit applicable (Québec) et la juridiction. Une clause d'arbitrage obligatoire est interdite pour les consommateurs québécois (LPC, art. 11.1).</w:t>
      </w:r>
    </w:p>
    <w:p>
      <w:pPr>
        <w:pStyle w:val="Compact"/>
        <w:numPr>
          <w:ilvl w:val="0"/>
          <w:numId w:val="1025"/>
        </w:numPr>
      </w:pPr>
      <w:r>
        <w:t xml:space="preserve">La modification des conditions, avec un préavis aux utilisateurs.</w:t>
      </w:r>
    </w:p>
    <w:bookmarkEnd w:id="76"/>
    <w:bookmarkStart w:id="77" w:name="X2d07a7eb525487967b788ec700f352ab1c05ab4"/>
    <w:p>
      <w:pPr>
        <w:pStyle w:val="Heading2"/>
      </w:pPr>
      <w:r>
        <w:t xml:space="preserve">9. À faire valider par l'avocat et le comptable</w:t>
      </w:r>
    </w:p>
    <w:p>
      <w:pPr>
        <w:pStyle w:val="Compact"/>
        <w:numPr>
          <w:ilvl w:val="0"/>
          <w:numId w:val="1026"/>
        </w:numPr>
      </w:pPr>
      <w:r>
        <w:t xml:space="preserve">Le mode de distribution de l'assurance (option A ou B) et la rémunération reçue de l'assureur.</w:t>
      </w:r>
    </w:p>
    <w:p>
      <w:pPr>
        <w:pStyle w:val="Compact"/>
        <w:numPr>
          <w:ilvl w:val="0"/>
          <w:numId w:val="1027"/>
        </w:numPr>
      </w:pPr>
      <w:r>
        <w:t xml:space="preserve">La perception de la TPS/TVQ par Volis comme plateforme, et la déclaration à l'ARC des revenus des voyageurs.</w:t>
      </w:r>
    </w:p>
    <w:p>
      <w:pPr>
        <w:pStyle w:val="Compact"/>
        <w:numPr>
          <w:ilvl w:val="0"/>
          <w:numId w:val="1028"/>
        </w:numPr>
      </w:pPr>
      <w:r>
        <w:t xml:space="preserve">Le statut de Volis selon la loi sur les paiements de détail, avec le modèle Stripe Connect.</w:t>
      </w:r>
    </w:p>
    <w:p>
      <w:pPr>
        <w:pStyle w:val="Compact"/>
        <w:numPr>
          <w:ilvl w:val="0"/>
          <w:numId w:val="1029"/>
        </w:numPr>
      </w:pPr>
      <w:r>
        <w:t xml:space="preserve">Le statut de travailleur autonome des voyageurs.</w:t>
      </w:r>
    </w:p>
    <w:p>
      <w:pPr>
        <w:pStyle w:val="Compact"/>
        <w:numPr>
          <w:ilvl w:val="0"/>
          <w:numId w:val="1030"/>
        </w:numPr>
      </w:pPr>
      <w:r>
        <w:t xml:space="preserve">L'ÉFVP et l'évaluation des transferts pour chaque sous-traitant (Stripe, Sentry, Expo, analytics, assureur).</w:t>
      </w:r>
    </w:p>
    <w:p>
      <w:pPr>
        <w:pStyle w:val="Compact"/>
        <w:numPr>
          <w:ilvl w:val="0"/>
          <w:numId w:val="1031"/>
        </w:numPr>
      </w:pPr>
      <w:r>
        <w:t xml:space="preserve">La version finale des conditions d'utilisation, de la politique de remboursement et de litiges, et de la politique de confidentialité.</w:t>
      </w:r>
    </w:p>
    <w:bookmarkEnd w:id="77"/>
    <w:bookmarkEnd w:id="78"/>
    <w:sectPr>
      <w:footerReference w:type="default" r:id="rId9"/>
      <w:footnotePr>
        <w:numRestart w:val="eachSect"/>
      </w:footnotePr>
      <w:pgSz w:w="12240" w:h="15840"/>
      <w:pgMar w:left="1134" w:right="1134" w:top="1077" w:bottom="107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21" w:val="right"/>
      </w:tabs>
    </w:pPr>
    <w:r>
      <w:rPr>
        <w:rFonts w:ascii="Calibri" w:hAnsi="Calibri"/>
        <w:color w:val="6F6A60"/>
        <w:sz w:val="16"/>
      </w:rPr>
      <w:t>Volis — Cahier des charges · v1.0 · 11 octobre 2026</w:t>
      <w:tab/>
      <w:t xml:space="preserve">Page </w:t>
    </w:r>
    <w:r>
      <w:rPr>
        <w:rFonts w:ascii="Calibri" w:hAnsi="Calibri"/>
        <w:color w:val="6F6A60"/>
        <w:sz w:val="16"/>
      </w:rPr>
      <w:fldChar w:fldCharType="begin"/>
    </w:r>
    <w:r>
      <w:rPr>
        <w:rFonts w:ascii="Calibri" w:hAnsi="Calibri"/>
        <w:color w:val="6F6A60"/>
        <w:sz w:val="16"/>
      </w:rPr>
      <w:instrText xml:space="preserve"> PAGE </w:instrText>
    </w:r>
    <w:r>
      <w:rPr>
        <w:rFonts w:ascii="Calibri" w:hAnsi="Calibri"/>
        <w:color w:val="6F6A60"/>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
  </w:num>
  <w:num w:numId="1027">
    <w:abstractNumId w:val="992"/>
  </w:num>
  <w:num w:numId="1028">
    <w:abstractNumId w:val="992"/>
  </w:num>
  <w:num w:numId="1029">
    <w:abstractNumId w:val="992"/>
  </w:num>
  <w:num w:numId="1030">
    <w:abstractNumId w:val="992"/>
  </w:num>
  <w:num w:numId="103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0"/>
    </w:rPr>
  </w:style>
  <w:style w:styleId="BodyText" w:type="paragraph">
    <w:name w:val="Body Text"/>
    <w:basedOn w:val="Normal"/>
    <w:link w:val="BodyTextChar"/>
    <w:qFormat/>
    <w:pPr>
      <w:spacing w:after="180" w:before="180"/>
    </w:pPr>
    <w:rPr>
      <w:rFonts w:ascii="Calibri" w:hAnsi="Calibri" w:cs="Calibri" w:eastAsia="Calibri"/>
      <w:sz w:val="20"/>
    </w:rPr>
  </w:style>
  <w:style w:customStyle="1" w:styleId="FirstParagraph" w:type="paragraph">
    <w:name w:val="First Paragraph"/>
    <w:basedOn w:val="BodyText"/>
    <w:next w:val="BodyText"/>
    <w:qFormat/>
    <w:rPr>
      <w:rFonts w:ascii="Calibri" w:hAnsi="Calibri" w:cs="Calibri" w:eastAsia="Calibri"/>
      <w:sz w:val="20"/>
    </w:rPr>
  </w:style>
  <w:style w:customStyle="1" w:styleId="Compact" w:type="paragraph">
    <w:name w:val="Compact"/>
    <w:basedOn w:val="BodyText"/>
    <w:qFormat/>
    <w:pPr>
      <w:spacing w:after="36" w:before="36"/>
    </w:pPr>
    <w:rPr>
      <w:rFonts w:ascii="Calibri" w:hAnsi="Calibri" w:cs="Calibri" w:eastAsia="Calibri"/>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cs="Calibri" w:eastAsia="Calibri"/>
      <w:b/>
      <w:color w:val="1E2A3A"/>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cs="Calibri" w:eastAsia="Calibri"/>
      <w:b w:val="0"/>
      <w:color w:val="0F766E"/>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ageBreakBefore/>
    </w:pPr>
    <w:rPr>
      <w:rFonts w:ascii="Calibri" w:hAnsi="Calibri" w:cs="Calibri" w:eastAsia="Calibri"/>
      <w:b/>
      <w:color w:val="1E2A3A"/>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cs="Calibri" w:eastAsia="Calibri"/>
      <w:b/>
      <w:color w:val="0F766E"/>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cs="Calibri" w:eastAsia="Calibri"/>
      <w:b/>
      <w:color w:val="0F766E"/>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hAnsi="Calibri" w:cs="Calibri" w:eastAsia="Calibri"/>
      <w:b/>
      <w:i/>
      <w:iCs/>
      <w:color w:val="0F766E"/>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hAnsi="Calibri" w:cs="Calibri" w:eastAsia="Calibri"/>
      <w:sz w:val="2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bCs w:val="0"/>
      <w:color w:val="1E2A3A"/>
      <w:sz w:val="34"/>
    </w:rPr>
  </w:style>
  <w:style w:type="paragraph" w:customStyle="1" w:styleId="Avertissement">
    <w:name w:val="Avertissement"/>
    <w:basedOn w:val="BodyText"/>
    <w:qFormat/>
    <w:rPr>
      <w:rFonts w:ascii="Calibri" w:hAnsi="Calibri" w:cs="Calibri" w:eastAsia="Calibri"/>
      <w:sz w:val="20"/>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png"/><Relationship Id="rId47" Type="http://schemas.openxmlformats.org/officeDocument/2006/relationships/image" Target="media/rId47.png"/><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Volis</dc:title>
  <dc:creator/>
  <dc:language>fr-CA</dc:language>
  <cp:keywords/>
  <dcterms:created xsi:type="dcterms:W3CDTF">2026-10-11T20:31:00Z</dcterms:created>
  <dcterms:modified xsi:type="dcterms:W3CDTF">2026-10-11T20:31:00Z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1.0 · 11 octobre 2026 · préparé pour Faycal Chefai</vt:lpwstr>
  </property>
  <property fmtid="{D5CDD505-2E9C-101B-9397-08002B2CF9AE}" pid="3" name="toc-title">
    <vt:lpwstr>Table des matières</vt:lpwstr>
  </property>
</Properties>
</file>