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Volis — Cahier des charges, section : Volet technique et sécurité</w:t>
      </w:r>
    </w:p>
    <w:p>
      <w:pPr>
        <w:pStyle w:val="Subtitle"/>
      </w:pPr>
      <w:r>
        <w:t xml:space="preserve">Préparé pour Faycal Chefai (Trois-Rivières, QC) — 11 octobre 2026</w:t>
      </w:r>
    </w:p>
    <w:p>
      <w:pPr>
        <w:pStyle w:val="BlockText"/>
        <w:shd w:val="clear" w:fill="FFF4E0"/>
      </w:pPr>
      <w:r>
        <w:rPr>
          <w:b/>
          <w:bCs/>
        </w:rPr>
        <w:t xml:space="preserve">Portée de cette section.</w:t>
      </w:r>
      <w:r>
        <w:t xml:space="preserve"> </w:t>
      </w:r>
      <w:r>
        <w:t xml:space="preserve">Ce document couvre la partie technique du cahier des charges de Volis (application de mise en relation entre expéditeurs de colis et voyageurs, sur iOS, Android et web). Il doit être assemblé avec la section de l’équipe UI (fonctionnalités et parcours) et avec la section de l’équipe juridique (</w:t>
      </w:r>
      <w:r>
        <w:rPr>
          <w:rStyle w:val="VerbatimChar"/>
        </w:rPr>
        <w:t xml:space="preserve">cahier-legal-monetisation.md</w:t>
      </w:r>
      <w:r>
        <w:t xml:space="preserve">, « Volet légal de la monétisation »). Les aspects légaux et fiscaux relèvent de l’équipe juridique et d’un avocat membre du Barreau du Québec. Ils ne sont repris ici que pour en déduire des exigences techniques.</w:t>
      </w:r>
    </w:p>
    <w:p>
      <w:pPr>
        <w:pStyle w:val="BlockText"/>
        <w:shd w:val="clear" w:fill="FFF4E0"/>
      </w:pPr>
      <w:r>
        <w:rPr>
          <w:b/>
          <w:bCs/>
        </w:rPr>
        <w:t xml:space="preserve">Sources :</w:t>
      </w:r>
      <w:r>
        <w:t xml:space="preserve"> </w:t>
      </w:r>
      <w:r>
        <w:t xml:space="preserve">fiche « Projet Volis — Fiche de recherche » (11 octobre 2026), « Guide sécurité et architecture mobile » (déjà fourni), documentation officielle Expo, Stripe et OWASP MASVS v2.1.0.</w:t>
      </w:r>
      <w:r>
        <w:t xml:space="preserve"> </w:t>
      </w:r>
      <w:r>
        <w:rPr>
          <w:b/>
          <w:bCs/>
        </w:rPr>
        <w:t xml:space="preserve">Convention :</w:t>
      </w:r>
      <w:r>
        <w:t xml:space="preserve"> </w:t>
      </w:r>
      <w:r>
        <w:t xml:space="preserve">tout ce qui n’a pas été vérifié dans une source officielle est marqué</w:t>
      </w:r>
      <w:r>
        <w:t xml:space="preserve"> </w:t>
      </w:r>
      <w:r>
        <w:rPr>
          <w:b/>
          <w:bCs/>
        </w:rPr>
        <w:t xml:space="preserve">« à confirmer »</w:t>
      </w:r>
      <w:r>
        <w:t xml:space="preserve">. Aucun montant, taux ni objectif chiffré n’est fixé ici : ils restent</w:t>
      </w:r>
      <w:r>
        <w:t xml:space="preserve"> </w:t>
      </w:r>
      <w:r>
        <w:rPr>
          <w:b/>
          <w:bCs/>
        </w:rPr>
        <w:t xml:space="preserve">à décider par Faycal</w:t>
      </w:r>
      <w:r>
        <w:t xml:space="preserve">.</w:t>
      </w:r>
    </w:p>
    <w:bookmarkStart w:id="11" w:name="stack-technique-justifiée"/>
    <w:p>
      <w:pPr>
        <w:pStyle w:val="Heading1"/>
      </w:pPr>
      <w:r>
        <w:t xml:space="preserve">1. Stack technique justifiée</w:t>
      </w:r>
    </w:p>
    <w:bookmarkStart w:id="9" w:name="vue-densemble"/>
    <w:p>
      <w:pPr>
        <w:pStyle w:val="Heading2"/>
      </w:pPr>
      <w:r>
        <w:t xml:space="preserve">1.1 Vue d’ensemble</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396"/>
        <w:gridCol w:w="2964"/>
        <w:gridCol w:w="4164"/>
        <w:gridCol w:w="1396"/>
      </w:tblGrid>
      <w:tr>
        <w:trPr>
          <w:tblHeader w:val="on"/>
          <w:tblHeader w:val="true"/>
        </w:trPr>
        <w:tc>
          <w:tcPr>
            <w:tcW w:type="dxa" w:w="1396"/>
            <w:shd w:val="clear" w:color="auto" w:fill="1F3A5F"/>
          </w:tcPr>
          <w:p>
            <w:pPr>
              <w:pStyle w:val="Compact"/>
              <w:spacing w:after="20" w:before="20"/>
            </w:pPr>
            <w:r>
              <w:rPr>
                <w:b/>
                <w:color w:val="FFFFFF"/>
                <w:sz w:val="17"/>
              </w:rPr>
              <w:t xml:space="preserve">Besoin</w:t>
            </w:r>
          </w:p>
        </w:tc>
        <w:tc>
          <w:tcPr>
            <w:tcW w:type="dxa" w:w="2964"/>
            <w:shd w:val="clear" w:color="auto" w:fill="1F3A5F"/>
          </w:tcPr>
          <w:p>
            <w:pPr>
              <w:pStyle w:val="Compact"/>
              <w:spacing w:after="20" w:before="20"/>
            </w:pPr>
            <w:r>
              <w:rPr>
                <w:b/>
                <w:color w:val="FFFFFF"/>
                <w:sz w:val="17"/>
              </w:rPr>
              <w:t xml:space="preserve">Choix</w:t>
            </w:r>
          </w:p>
        </w:tc>
        <w:tc>
          <w:tcPr>
            <w:tcW w:type="dxa" w:w="4165"/>
            <w:shd w:val="clear" w:color="auto" w:fill="1F3A5F"/>
          </w:tcPr>
          <w:p>
            <w:pPr>
              <w:pStyle w:val="Compact"/>
              <w:spacing w:after="20" w:before="20"/>
            </w:pPr>
            <w:r>
              <w:rPr>
                <w:b/>
                <w:color w:val="FFFFFF"/>
                <w:sz w:val="17"/>
              </w:rPr>
              <w:t xml:space="preserve">Justification</w:t>
            </w:r>
          </w:p>
        </w:tc>
        <w:tc>
          <w:tcPr>
            <w:tcW w:type="dxa" w:w="1396"/>
            <w:shd w:val="clear" w:color="auto" w:fill="1F3A5F"/>
          </w:tcPr>
          <w:p>
            <w:pPr>
              <w:pStyle w:val="Compact"/>
              <w:spacing w:after="20" w:before="20"/>
            </w:pPr>
            <w:r>
              <w:rPr>
                <w:b/>
                <w:color w:val="FFFFFF"/>
                <w:sz w:val="17"/>
              </w:rPr>
              <w:t xml:space="preserve">Statut</w:t>
            </w:r>
          </w:p>
        </w:tc>
      </w:tr>
      <w:tr>
        <w:tc>
          <w:tcPr>
            <w:tcW w:type="dxa" w:w="1396"/>
          </w:tcPr>
          <w:p>
            <w:pPr>
              <w:pStyle w:val="Compact"/>
              <w:spacing w:after="20" w:before="20"/>
            </w:pPr>
            <w:r>
              <w:rPr>
                <w:sz w:val="17"/>
              </w:rPr>
              <w:t xml:space="preserve">App iOS, Android, web</w:t>
            </w:r>
          </w:p>
        </w:tc>
        <w:tc>
          <w:tcPr>
            <w:tcW w:type="dxa" w:w="2964"/>
          </w:tcPr>
          <w:p>
            <w:pPr>
              <w:pStyle w:val="Compact"/>
              <w:spacing w:after="20" w:before="20"/>
            </w:pPr>
            <w:r>
              <w:rPr>
                <w:b/>
                <w:bCs/>
                <w:sz w:val="17"/>
              </w:rPr>
              <w:t xml:space="preserve">Expo (React Native) + Expo Router + TypeScript</w:t>
            </w:r>
          </w:p>
        </w:tc>
        <w:tc>
          <w:tcPr>
            <w:tcW w:type="dxa" w:w="4165"/>
          </w:tcPr>
          <w:p>
            <w:pPr>
              <w:pStyle w:val="Compact"/>
              <w:spacing w:after="20" w:before="20"/>
            </w:pPr>
            <w:r>
              <w:rPr>
                <w:sz w:val="17"/>
              </w:rPr>
              <w:t xml:space="preserve">Un seul code pour les trois plateformes, routage par fichiers commun au mobile et au web, maquettes déjà prêtes pour cette approche, TypeScript pour typer le domaine et les contrats d’API.</w:t>
            </w:r>
          </w:p>
        </w:tc>
        <w:tc>
          <w:tcPr>
            <w:tcW w:type="dxa" w:w="1396"/>
          </w:tcPr>
          <w:p>
            <w:pPr>
              <w:pStyle w:val="Compact"/>
              <w:spacing w:after="20" w:before="20"/>
            </w:pPr>
            <w:r>
              <w:rPr>
                <w:sz w:val="17"/>
              </w:rPr>
              <w:t xml:space="preserve">Retenu (fiche de recherche)</w:t>
            </w:r>
          </w:p>
        </w:tc>
      </w:tr>
      <w:tr>
        <w:tc>
          <w:tcPr>
            <w:tcW w:type="dxa" w:w="1396"/>
            <w:shd w:val="clear" w:color="auto" w:fill="EAF2F5"/>
          </w:tcPr>
          <w:p>
            <w:pPr>
              <w:pStyle w:val="Compact"/>
              <w:spacing w:after="20" w:before="20"/>
            </w:pPr>
            <w:r>
              <w:rPr>
                <w:sz w:val="17"/>
              </w:rPr>
              <w:t xml:space="preserve">Backend</w:t>
            </w:r>
          </w:p>
        </w:tc>
        <w:tc>
          <w:tcPr>
            <w:tcW w:type="dxa" w:w="2964"/>
            <w:shd w:val="clear" w:color="auto" w:fill="EAF2F5"/>
          </w:tcPr>
          <w:p>
            <w:pPr>
              <w:pStyle w:val="Compact"/>
              <w:spacing w:after="20" w:before="20"/>
            </w:pPr>
            <w:r>
              <w:rPr>
                <w:b/>
                <w:bCs/>
                <w:sz w:val="17"/>
              </w:rPr>
              <w:t xml:space="preserve">Supabase</w:t>
            </w:r>
            <w:r>
              <w:rPr>
                <w:sz w:val="17"/>
              </w:rPr>
              <w:t xml:space="preserve"> </w:t>
            </w:r>
            <w:r>
              <w:rPr>
                <w:sz w:val="17"/>
              </w:rPr>
              <w:t xml:space="preserve">(recommandé, voir 1.2)</w:t>
            </w:r>
          </w:p>
        </w:tc>
        <w:tc>
          <w:tcPr>
            <w:tcW w:type="dxa" w:w="4165"/>
            <w:shd w:val="clear" w:color="auto" w:fill="EAF2F5"/>
          </w:tcPr>
          <w:p>
            <w:pPr>
              <w:pStyle w:val="Compact"/>
              <w:spacing w:after="20" w:before="20"/>
            </w:pPr>
            <w:r>
              <w:rPr>
                <w:sz w:val="17"/>
              </w:rPr>
              <w:t xml:space="preserve">Auth, PostgreSQL, sécurité par ligne (RLS), stockage, temps réel et fonctions serveur réunis, ce qui convient à une petite équipe.</w:t>
            </w:r>
          </w:p>
        </w:tc>
        <w:tc>
          <w:tcPr>
            <w:tcW w:type="dxa" w:w="1396"/>
            <w:shd w:val="clear" w:color="auto" w:fill="EAF2F5"/>
          </w:tcPr>
          <w:p>
            <w:pPr>
              <w:pStyle w:val="Compact"/>
              <w:spacing w:after="20" w:before="20"/>
            </w:pPr>
            <w:r>
              <w:rPr>
                <w:sz w:val="17"/>
              </w:rPr>
              <w:t xml:space="preserve">Recommandé</w:t>
            </w:r>
          </w:p>
        </w:tc>
      </w:tr>
      <w:tr>
        <w:tc>
          <w:tcPr>
            <w:tcW w:type="dxa" w:w="1396"/>
          </w:tcPr>
          <w:p>
            <w:pPr>
              <w:pStyle w:val="Compact"/>
              <w:spacing w:after="20" w:before="20"/>
            </w:pPr>
            <w:r>
              <w:rPr>
                <w:sz w:val="17"/>
              </w:rPr>
              <w:t xml:space="preserve">Vérification d’identité</w:t>
            </w:r>
          </w:p>
        </w:tc>
        <w:tc>
          <w:tcPr>
            <w:tcW w:type="dxa" w:w="2964"/>
          </w:tcPr>
          <w:p>
            <w:pPr>
              <w:pStyle w:val="Compact"/>
              <w:spacing w:after="20" w:before="20"/>
            </w:pPr>
            <w:r>
              <w:rPr>
                <w:b/>
                <w:bCs/>
                <w:sz w:val="17"/>
              </w:rPr>
              <w:t xml:space="preserve">Stripe Identity</w:t>
            </w:r>
            <w:r>
              <w:rPr>
                <w:sz w:val="17"/>
              </w:rPr>
              <w:t xml:space="preserve"> </w:t>
            </w:r>
            <w:r>
              <w:rPr>
                <w:sz w:val="17"/>
              </w:rPr>
              <w:t xml:space="preserve">(pièce d’identité + égoportrait)</w:t>
            </w:r>
          </w:p>
        </w:tc>
        <w:tc>
          <w:tcPr>
            <w:tcW w:type="dxa" w:w="4165"/>
          </w:tcPr>
          <w:p>
            <w:pPr>
              <w:pStyle w:val="Compact"/>
              <w:spacing w:after="20" w:before="20"/>
            </w:pPr>
            <w:r>
              <w:rPr>
                <w:sz w:val="17"/>
              </w:rPr>
              <w:t xml:space="preserve">Vérification déléguée à Stripe ; Volis ne stocke que le statut et l’ID de session.</w:t>
            </w:r>
          </w:p>
        </w:tc>
        <w:tc>
          <w:tcPr>
            <w:tcW w:type="dxa" w:w="1396"/>
          </w:tcPr>
          <w:p>
            <w:pPr>
              <w:pStyle w:val="Compact"/>
              <w:spacing w:after="20" w:before="20"/>
            </w:pPr>
            <w:r>
              <w:rPr>
                <w:sz w:val="17"/>
              </w:rPr>
              <w:t xml:space="preserve">Retenu</w:t>
            </w:r>
          </w:p>
        </w:tc>
      </w:tr>
      <w:tr>
        <w:tc>
          <w:tcPr>
            <w:tcW w:type="dxa" w:w="1396"/>
            <w:shd w:val="clear" w:color="auto" w:fill="EAF2F5"/>
          </w:tcPr>
          <w:p>
            <w:pPr>
              <w:pStyle w:val="Compact"/>
              <w:spacing w:after="20" w:before="20"/>
            </w:pPr>
            <w:r>
              <w:rPr>
                <w:sz w:val="17"/>
              </w:rPr>
              <w:t xml:space="preserve">Paiements de la place de marché</w:t>
            </w:r>
          </w:p>
        </w:tc>
        <w:tc>
          <w:tcPr>
            <w:tcW w:type="dxa" w:w="2964"/>
            <w:shd w:val="clear" w:color="auto" w:fill="EAF2F5"/>
          </w:tcPr>
          <w:p>
            <w:pPr>
              <w:pStyle w:val="Compact"/>
              <w:spacing w:after="20" w:before="20"/>
            </w:pPr>
            <w:r>
              <w:rPr>
                <w:b/>
                <w:bCs/>
                <w:sz w:val="17"/>
              </w:rPr>
              <w:t xml:space="preserve">Stripe Connect, « separate charges and transfers »</w:t>
            </w:r>
          </w:p>
        </w:tc>
        <w:tc>
          <w:tcPr>
            <w:tcW w:type="dxa" w:w="4165"/>
            <w:shd w:val="clear" w:color="auto" w:fill="EAF2F5"/>
          </w:tcPr>
          <w:p>
            <w:pPr>
              <w:pStyle w:val="Compact"/>
              <w:spacing w:after="20" w:before="20"/>
            </w:pPr>
            <w:r>
              <w:rPr>
                <w:sz w:val="17"/>
              </w:rPr>
              <w:t xml:space="preserve">Le paiement est encaissé sur le compte de la plateforme puis transféré au voyageur seulement quand le serveur confirme la remise. Une pré-autorisation de carte en ligne expire généralement après 7 jours (doc Stripe), ce qui ne suffit pas pour un trajet. Connect gère le KYC des voyageurs.</w:t>
            </w:r>
          </w:p>
        </w:tc>
        <w:tc>
          <w:tcPr>
            <w:tcW w:type="dxa" w:w="1396"/>
            <w:shd w:val="clear" w:color="auto" w:fill="EAF2F5"/>
          </w:tcPr>
          <w:p>
            <w:pPr>
              <w:pStyle w:val="Compact"/>
              <w:spacing w:after="20" w:before="20"/>
            </w:pPr>
            <w:r>
              <w:rPr>
                <w:sz w:val="17"/>
              </w:rPr>
              <w:t xml:space="preserve">Retenu</w:t>
            </w:r>
          </w:p>
        </w:tc>
      </w:tr>
      <w:tr>
        <w:tc>
          <w:tcPr>
            <w:tcW w:type="dxa" w:w="1396"/>
          </w:tcPr>
          <w:p>
            <w:pPr>
              <w:pStyle w:val="Compact"/>
              <w:spacing w:after="20" w:before="20"/>
            </w:pPr>
            <w:r>
              <w:rPr>
                <w:sz w:val="17"/>
              </w:rPr>
              <w:t xml:space="preserve">Notifications push</w:t>
            </w:r>
          </w:p>
        </w:tc>
        <w:tc>
          <w:tcPr>
            <w:tcW w:type="dxa" w:w="2964"/>
          </w:tcPr>
          <w:p>
            <w:pPr>
              <w:pStyle w:val="Compact"/>
              <w:spacing w:after="20" w:before="20"/>
            </w:pPr>
            <w:r>
              <w:rPr>
                <w:b/>
                <w:bCs/>
                <w:sz w:val="17"/>
              </w:rPr>
              <w:t xml:space="preserve">Expo Notifications</w:t>
            </w:r>
            <w:r>
              <w:rPr>
                <w:sz w:val="17"/>
              </w:rPr>
              <w:t xml:space="preserve"> </w:t>
            </w:r>
            <w:r>
              <w:rPr>
                <w:sz w:val="17"/>
              </w:rPr>
              <w:t xml:space="preserve">(service push d’Expo vers APNs et FCM)</w:t>
            </w:r>
          </w:p>
        </w:tc>
        <w:tc>
          <w:tcPr>
            <w:tcW w:type="dxa" w:w="4165"/>
          </w:tcPr>
          <w:p>
            <w:pPr>
              <w:pStyle w:val="Compact"/>
              <w:spacing w:after="20" w:before="20"/>
            </w:pPr>
            <w:r>
              <w:rPr>
                <w:sz w:val="17"/>
              </w:rPr>
              <w:t xml:space="preserve">Une seule API pour iOS et Android ; jetons d’appareil enregistrés côté serveur.</w:t>
            </w:r>
          </w:p>
        </w:tc>
        <w:tc>
          <w:tcPr>
            <w:tcW w:type="dxa" w:w="1396"/>
          </w:tcPr>
          <w:p>
            <w:pPr>
              <w:pStyle w:val="Compact"/>
              <w:spacing w:after="20" w:before="20"/>
            </w:pPr>
            <w:r>
              <w:rPr>
                <w:sz w:val="17"/>
              </w:rPr>
              <w:t xml:space="preserve">Retenu</w:t>
            </w:r>
          </w:p>
        </w:tc>
      </w:tr>
      <w:tr>
        <w:tc>
          <w:tcPr>
            <w:tcW w:type="dxa" w:w="1396"/>
            <w:shd w:val="clear" w:color="auto" w:fill="EAF2F5"/>
          </w:tcPr>
          <w:p>
            <w:pPr>
              <w:pStyle w:val="Compact"/>
              <w:spacing w:after="20" w:before="20"/>
            </w:pPr>
            <w:r>
              <w:rPr>
                <w:sz w:val="17"/>
              </w:rPr>
              <w:t xml:space="preserve">Cartes et géolocalisation</w:t>
            </w:r>
          </w:p>
        </w:tc>
        <w:tc>
          <w:tcPr>
            <w:tcW w:type="dxa" w:w="2964"/>
            <w:shd w:val="clear" w:color="auto" w:fill="EAF2F5"/>
          </w:tcPr>
          <w:p>
            <w:pPr>
              <w:pStyle w:val="Compact"/>
              <w:spacing w:after="20" w:before="20"/>
            </w:pPr>
            <w:r>
              <w:rPr>
                <w:rStyle w:val="VerbatimChar"/>
                <w:sz w:val="17"/>
              </w:rPr>
              <w:t xml:space="preserve">expo-location</w:t>
            </w:r>
            <w:r>
              <w:rPr>
                <w:sz w:val="17"/>
              </w:rPr>
              <w:t xml:space="preserve"> </w:t>
            </w:r>
            <w:r>
              <w:rPr>
                <w:sz w:val="17"/>
              </w:rPr>
              <w:t xml:space="preserve">+ composant de carte (par ex.</w:t>
            </w:r>
            <w:r>
              <w:rPr>
                <w:sz w:val="17"/>
              </w:rPr>
              <w:t xml:space="preserve"> </w:t>
            </w:r>
            <w:r>
              <w:rPr>
                <w:rStyle w:val="VerbatimChar"/>
                <w:sz w:val="17"/>
              </w:rPr>
              <w:t xml:space="preserve">react-native-maps</w:t>
            </w:r>
            <w:r>
              <w:rPr>
                <w:sz w:val="17"/>
              </w:rPr>
              <w:t xml:space="preserve"> </w:t>
            </w:r>
            <w:r>
              <w:rPr>
                <w:sz w:val="17"/>
              </w:rPr>
              <w:t xml:space="preserve">sur mobile ; équivalent web à choisir)</w:t>
            </w:r>
          </w:p>
        </w:tc>
        <w:tc>
          <w:tcPr>
            <w:tcW w:type="dxa" w:w="4165"/>
            <w:shd w:val="clear" w:color="auto" w:fill="EAF2F5"/>
          </w:tcPr>
          <w:p>
            <w:pPr>
              <w:pStyle w:val="Compact"/>
              <w:spacing w:after="20" w:before="20"/>
            </w:pPr>
            <w:r>
              <w:rPr>
                <w:sz w:val="17"/>
              </w:rPr>
              <w:t xml:space="preserve">La localisation n’est demandée qu’en contexte, désactivée par défaut (Loi 25, MASVS-PRIVACY-1). Géocodage via le backend pour ne pas exposer de clé facturée.</w:t>
            </w:r>
          </w:p>
        </w:tc>
        <w:tc>
          <w:tcPr>
            <w:tcW w:type="dxa" w:w="1396"/>
            <w:shd w:val="clear" w:color="auto" w:fill="EAF2F5"/>
          </w:tcPr>
          <w:p>
            <w:pPr>
              <w:pStyle w:val="Compact"/>
              <w:spacing w:after="20" w:before="20"/>
            </w:pPr>
            <w:r>
              <w:rPr>
                <w:sz w:val="17"/>
              </w:rPr>
              <w:t xml:space="preserve">Fournisseur de cartes</w:t>
            </w:r>
            <w:r>
              <w:rPr>
                <w:sz w:val="17"/>
              </w:rPr>
              <w:t xml:space="preserve"> </w:t>
            </w:r>
            <w:r>
              <w:rPr>
                <w:b/>
                <w:bCs/>
                <w:sz w:val="17"/>
              </w:rPr>
              <w:t xml:space="preserve">à confirmer</w:t>
            </w:r>
          </w:p>
        </w:tc>
      </w:tr>
      <w:tr>
        <w:tc>
          <w:tcPr>
            <w:tcW w:type="dxa" w:w="1396"/>
          </w:tcPr>
          <w:p>
            <w:pPr>
              <w:pStyle w:val="Compact"/>
              <w:spacing w:after="20" w:before="20"/>
            </w:pPr>
            <w:r>
              <w:rPr>
                <w:sz w:val="17"/>
              </w:rPr>
              <w:t xml:space="preserve">Photos de remise et de litige</w:t>
            </w:r>
          </w:p>
        </w:tc>
        <w:tc>
          <w:tcPr>
            <w:tcW w:type="dxa" w:w="2964"/>
          </w:tcPr>
          <w:p>
            <w:pPr>
              <w:pStyle w:val="Compact"/>
              <w:spacing w:after="20" w:before="20"/>
            </w:pPr>
            <w:r>
              <w:rPr>
                <w:b/>
                <w:bCs/>
                <w:sz w:val="17"/>
              </w:rPr>
              <w:t xml:space="preserve">Supabase Storage</w:t>
            </w:r>
            <w:r>
              <w:rPr>
                <w:sz w:val="17"/>
              </w:rPr>
              <w:t xml:space="preserve">, compartiments privés, URL signées de courte durée</w:t>
            </w:r>
          </w:p>
        </w:tc>
        <w:tc>
          <w:tcPr>
            <w:tcW w:type="dxa" w:w="4165"/>
          </w:tcPr>
          <w:p>
            <w:pPr>
              <w:pStyle w:val="Compact"/>
              <w:spacing w:after="20" w:before="20"/>
            </w:pPr>
            <w:r>
              <w:rPr>
                <w:sz w:val="17"/>
              </w:rPr>
              <w:t xml:space="preserve">Pas d’accès public ; métadonnées EXIF (dont GPS) retirées avant stockage.</w:t>
            </w:r>
          </w:p>
        </w:tc>
        <w:tc>
          <w:tcPr>
            <w:tcW w:type="dxa" w:w="1396"/>
          </w:tcPr>
          <w:p>
            <w:pPr>
              <w:pStyle w:val="Compact"/>
              <w:spacing w:after="20" w:before="20"/>
            </w:pPr>
            <w:r>
              <w:rPr>
                <w:sz w:val="17"/>
              </w:rPr>
              <w:t xml:space="preserve">Retenu</w:t>
            </w:r>
          </w:p>
        </w:tc>
      </w:tr>
      <w:tr>
        <w:tc>
          <w:tcPr>
            <w:tcW w:type="dxa" w:w="1396"/>
            <w:shd w:val="clear" w:color="auto" w:fill="EAF2F5"/>
          </w:tcPr>
          <w:p>
            <w:pPr>
              <w:pStyle w:val="Compact"/>
              <w:spacing w:after="20" w:before="20"/>
            </w:pPr>
            <w:r>
              <w:rPr>
                <w:sz w:val="17"/>
              </w:rPr>
              <w:t xml:space="preserve">Messagerie entre utilisateurs</w:t>
            </w:r>
          </w:p>
        </w:tc>
        <w:tc>
          <w:tcPr>
            <w:tcW w:type="dxa" w:w="2964"/>
            <w:shd w:val="clear" w:color="auto" w:fill="EAF2F5"/>
          </w:tcPr>
          <w:p>
            <w:pPr>
              <w:pStyle w:val="Compact"/>
              <w:spacing w:after="20" w:before="20"/>
            </w:pPr>
            <w:r>
              <w:rPr>
                <w:sz w:val="17"/>
              </w:rPr>
              <w:t xml:space="preserve">Table</w:t>
            </w:r>
            <w:r>
              <w:rPr>
                <w:sz w:val="17"/>
              </w:rPr>
              <w:t xml:space="preserve"> </w:t>
            </w:r>
            <w:r>
              <w:rPr>
                <w:rStyle w:val="VerbatimChar"/>
                <w:sz w:val="17"/>
              </w:rPr>
              <w:t xml:space="preserve">messages</w:t>
            </w:r>
            <w:r>
              <w:rPr>
                <w:sz w:val="17"/>
              </w:rPr>
              <w:t xml:space="preserve"> </w:t>
            </w:r>
            <w:r>
              <w:rPr>
                <w:sz w:val="17"/>
              </w:rPr>
              <w:t xml:space="preserve">dans PostgreSQL +</w:t>
            </w:r>
            <w:r>
              <w:rPr>
                <w:sz w:val="17"/>
              </w:rPr>
              <w:t xml:space="preserve"> </w:t>
            </w:r>
            <w:r>
              <w:rPr>
                <w:b/>
                <w:bCs/>
                <w:sz w:val="17"/>
              </w:rPr>
              <w:t xml:space="preserve">Supabase Realtime</w:t>
            </w:r>
          </w:p>
        </w:tc>
        <w:tc>
          <w:tcPr>
            <w:tcW w:type="dxa" w:w="4165"/>
            <w:shd w:val="clear" w:color="auto" w:fill="EAF2F5"/>
          </w:tcPr>
          <w:p>
            <w:pPr>
              <w:pStyle w:val="Compact"/>
              <w:spacing w:after="20" w:before="20"/>
            </w:pPr>
            <w:r>
              <w:rPr>
                <w:sz w:val="17"/>
              </w:rPr>
              <w:t xml:space="preserve">Messages liés à une réservation, protégés par RLS, modérables.</w:t>
            </w:r>
          </w:p>
        </w:tc>
        <w:tc>
          <w:tcPr>
            <w:tcW w:type="dxa" w:w="1396"/>
            <w:shd w:val="clear" w:color="auto" w:fill="EAF2F5"/>
          </w:tcPr>
          <w:p>
            <w:pPr>
              <w:pStyle w:val="Compact"/>
              <w:spacing w:after="20" w:before="20"/>
            </w:pPr>
            <w:r>
              <w:rPr>
                <w:sz w:val="17"/>
              </w:rPr>
              <w:t xml:space="preserve">Retenu</w:t>
            </w:r>
          </w:p>
        </w:tc>
      </w:tr>
      <w:tr>
        <w:tc>
          <w:tcPr>
            <w:tcW w:type="dxa" w:w="1396"/>
          </w:tcPr>
          <w:p>
            <w:pPr>
              <w:pStyle w:val="Compact"/>
              <w:spacing w:after="20" w:before="20"/>
            </w:pPr>
            <w:r>
              <w:rPr>
                <w:sz w:val="17"/>
              </w:rPr>
              <w:t xml:space="preserve">Internationalisation</w:t>
            </w:r>
          </w:p>
        </w:tc>
        <w:tc>
          <w:tcPr>
            <w:tcW w:type="dxa" w:w="2964"/>
          </w:tcPr>
          <w:p>
            <w:pPr>
              <w:pStyle w:val="Compact"/>
              <w:spacing w:after="20" w:before="20"/>
            </w:pPr>
            <w:r>
              <w:rPr>
                <w:rStyle w:val="VerbatimChar"/>
                <w:sz w:val="17"/>
              </w:rPr>
              <w:t xml:space="preserve">expo-localization</w:t>
            </w:r>
            <w:r>
              <w:rPr>
                <w:sz w:val="17"/>
              </w:rPr>
              <w:t xml:space="preserve"> </w:t>
            </w:r>
            <w:r>
              <w:rPr>
                <w:sz w:val="17"/>
              </w:rPr>
              <w:t xml:space="preserve">+ bibliothèque i18n (par ex. i18next) ;</w:t>
            </w:r>
            <w:r>
              <w:rPr>
                <w:sz w:val="17"/>
              </w:rPr>
              <w:t xml:space="preserve"> </w:t>
            </w:r>
            <w:r>
              <w:rPr>
                <w:rStyle w:val="VerbatimChar"/>
                <w:sz w:val="17"/>
              </w:rPr>
              <w:t xml:space="preserve">I18nManager</w:t>
            </w:r>
            <w:r>
              <w:rPr>
                <w:sz w:val="17"/>
              </w:rPr>
              <w:t xml:space="preserve"> </w:t>
            </w:r>
            <w:r>
              <w:rPr>
                <w:sz w:val="17"/>
              </w:rPr>
              <w:t xml:space="preserve">pour l’arabe (droite à gauche) ;</w:t>
            </w:r>
            <w:r>
              <w:rPr>
                <w:sz w:val="17"/>
              </w:rPr>
              <w:t xml:space="preserve"> </w:t>
            </w:r>
            <w:r>
              <w:rPr>
                <w:rStyle w:val="VerbatimChar"/>
                <w:sz w:val="17"/>
              </w:rPr>
              <w:t xml:space="preserve">Intl</w:t>
            </w:r>
            <w:r>
              <w:rPr>
                <w:sz w:val="17"/>
              </w:rPr>
              <w:t xml:space="preserve"> </w:t>
            </w:r>
            <w:r>
              <w:rPr>
                <w:sz w:val="17"/>
              </w:rPr>
              <w:t xml:space="preserve">pour les nombres et devises</w:t>
            </w:r>
          </w:p>
        </w:tc>
        <w:tc>
          <w:tcPr>
            <w:tcW w:type="dxa" w:w="4165"/>
          </w:tcPr>
          <w:p>
            <w:pPr>
              <w:pStyle w:val="Compact"/>
              <w:spacing w:after="20" w:before="20"/>
            </w:pPr>
            <w:r>
              <w:rPr>
                <w:sz w:val="17"/>
              </w:rPr>
              <w:t xml:space="preserve">Français (par défaut au Québec), anglais, arabe en RTL ; montants en unités mineures entières + code devise ISO 4217.</w:t>
            </w:r>
          </w:p>
        </w:tc>
        <w:tc>
          <w:tcPr>
            <w:tcW w:type="dxa" w:w="1396"/>
          </w:tcPr>
          <w:p>
            <w:pPr>
              <w:pStyle w:val="Compact"/>
              <w:spacing w:after="20" w:before="20"/>
            </w:pPr>
            <w:r>
              <w:rPr>
                <w:sz w:val="17"/>
              </w:rPr>
              <w:t xml:space="preserve">Bibliothèque i18n</w:t>
            </w:r>
            <w:r>
              <w:rPr>
                <w:sz w:val="17"/>
              </w:rPr>
              <w:t xml:space="preserve"> </w:t>
            </w:r>
            <w:r>
              <w:rPr>
                <w:b/>
                <w:bCs/>
                <w:sz w:val="17"/>
              </w:rPr>
              <w:t xml:space="preserve">à confirmer</w:t>
            </w:r>
          </w:p>
        </w:tc>
      </w:tr>
      <w:tr>
        <w:tc>
          <w:tcPr>
            <w:tcW w:type="dxa" w:w="1396"/>
            <w:shd w:val="clear" w:color="auto" w:fill="EAF2F5"/>
          </w:tcPr>
          <w:p>
            <w:pPr>
              <w:pStyle w:val="Compact"/>
              <w:spacing w:after="20" w:before="20"/>
            </w:pPr>
            <w:r>
              <w:rPr>
                <w:sz w:val="17"/>
              </w:rPr>
              <w:t xml:space="preserve">Analytics et monitoring</w:t>
            </w:r>
          </w:p>
        </w:tc>
        <w:tc>
          <w:tcPr>
            <w:tcW w:type="dxa" w:w="2964"/>
            <w:shd w:val="clear" w:color="auto" w:fill="EAF2F5"/>
          </w:tcPr>
          <w:p>
            <w:pPr>
              <w:pStyle w:val="Compact"/>
              <w:spacing w:after="20" w:before="20"/>
            </w:pPr>
            <w:r>
              <w:rPr>
                <w:b/>
                <w:bCs/>
                <w:sz w:val="17"/>
              </w:rPr>
              <w:t xml:space="preserve">Sentry</w:t>
            </w:r>
            <w:r>
              <w:rPr>
                <w:sz w:val="17"/>
              </w:rPr>
              <w:t xml:space="preserve"> </w:t>
            </w:r>
            <w:r>
              <w:rPr>
                <w:sz w:val="17"/>
              </w:rPr>
              <w:t xml:space="preserve">(plantages, performance) ; outil d’analytics produit</w:t>
            </w:r>
            <w:r>
              <w:rPr>
                <w:sz w:val="17"/>
              </w:rPr>
              <w:t xml:space="preserve"> </w:t>
            </w:r>
            <w:r>
              <w:rPr>
                <w:b/>
                <w:bCs/>
                <w:sz w:val="17"/>
              </w:rPr>
              <w:t xml:space="preserve">à confirmer</w:t>
            </w:r>
          </w:p>
        </w:tc>
        <w:tc>
          <w:tcPr>
            <w:tcW w:type="dxa" w:w="4165"/>
            <w:shd w:val="clear" w:color="auto" w:fill="EAF2F5"/>
          </w:tcPr>
          <w:p>
            <w:pPr>
              <w:pStyle w:val="Compact"/>
              <w:spacing w:after="20" w:before="20"/>
            </w:pPr>
            <w:r>
              <w:rPr>
                <w:sz w:val="17"/>
              </w:rPr>
              <w:t xml:space="preserve">Données personnelles masquées avant envoi ; analytics non essentielles uniquement après consentement.</w:t>
            </w:r>
          </w:p>
        </w:tc>
        <w:tc>
          <w:tcPr>
            <w:tcW w:type="dxa" w:w="1396"/>
            <w:shd w:val="clear" w:color="auto" w:fill="EAF2F5"/>
          </w:tcPr>
          <w:p>
            <w:pPr>
              <w:pStyle w:val="Compact"/>
              <w:spacing w:after="20" w:before="20"/>
            </w:pPr>
            <w:r>
              <w:rPr>
                <w:sz w:val="17"/>
              </w:rPr>
              <w:t xml:space="preserve">Partiellement retenu</w:t>
            </w:r>
          </w:p>
        </w:tc>
      </w:tr>
      <w:tr>
        <w:tc>
          <w:tcPr>
            <w:tcW w:type="dxa" w:w="1396"/>
          </w:tcPr>
          <w:p>
            <w:pPr>
              <w:pStyle w:val="Compact"/>
              <w:spacing w:after="20" w:before="20"/>
            </w:pPr>
            <w:r>
              <w:rPr>
                <w:sz w:val="17"/>
              </w:rPr>
              <w:t xml:space="preserve">CI/CD</w:t>
            </w:r>
          </w:p>
        </w:tc>
        <w:tc>
          <w:tcPr>
            <w:tcW w:type="dxa" w:w="2964"/>
          </w:tcPr>
          <w:p>
            <w:pPr>
              <w:pStyle w:val="Compact"/>
              <w:spacing w:after="20" w:before="20"/>
            </w:pPr>
            <w:r>
              <w:rPr>
                <w:b/>
                <w:bCs/>
                <w:sz w:val="17"/>
              </w:rPr>
              <w:t xml:space="preserve">GitHub Actions</w:t>
            </w:r>
            <w:r>
              <w:rPr>
                <w:sz w:val="17"/>
              </w:rPr>
              <w:t xml:space="preserve"> </w:t>
            </w:r>
            <w:r>
              <w:rPr>
                <w:sz w:val="17"/>
              </w:rPr>
              <w:t xml:space="preserve">(lint, tests, analyses de sécurité) +</w:t>
            </w:r>
            <w:r>
              <w:rPr>
                <w:sz w:val="17"/>
              </w:rPr>
              <w:t xml:space="preserve"> </w:t>
            </w:r>
            <w:r>
              <w:rPr>
                <w:b/>
                <w:bCs/>
                <w:sz w:val="17"/>
              </w:rPr>
              <w:t xml:space="preserve">EAS Build / EAS Submit</w:t>
            </w:r>
            <w:r>
              <w:rPr>
                <w:sz w:val="17"/>
              </w:rPr>
              <w:t xml:space="preserve"> </w:t>
            </w:r>
            <w:r>
              <w:rPr>
                <w:sz w:val="17"/>
              </w:rPr>
              <w:t xml:space="preserve">(builds signés et envoi aux stores) ; EAS Update pour les correctifs JavaScript</w:t>
            </w:r>
            <w:r>
              <w:rPr>
                <w:sz w:val="17"/>
              </w:rPr>
              <w:t xml:space="preserve"> </w:t>
            </w:r>
            <w:r>
              <w:rPr>
                <w:b/>
                <w:bCs/>
                <w:sz w:val="17"/>
              </w:rPr>
              <w:t xml:space="preserve">à confirmer</w:t>
            </w:r>
          </w:p>
        </w:tc>
        <w:tc>
          <w:tcPr>
            <w:tcW w:type="dxa" w:w="4165"/>
          </w:tcPr>
          <w:p>
            <w:pPr>
              <w:pStyle w:val="Compact"/>
              <w:spacing w:after="20" w:before="20"/>
            </w:pPr>
            <w:r>
              <w:rPr>
                <w:sz w:val="17"/>
              </w:rPr>
              <w:t xml:space="preserve">Pipeline reproductible, signature gérée hors du dépôt.</w:t>
            </w:r>
          </w:p>
        </w:tc>
        <w:tc>
          <w:tcPr>
            <w:tcW w:type="dxa" w:w="1396"/>
          </w:tcPr>
          <w:p>
            <w:pPr>
              <w:pStyle w:val="Compact"/>
              <w:spacing w:after="20" w:before="20"/>
            </w:pPr>
            <w:r>
              <w:rPr>
                <w:sz w:val="17"/>
              </w:rPr>
              <w:t xml:space="preserve">Retenu</w:t>
            </w:r>
          </w:p>
        </w:tc>
      </w:tr>
    </w:tbl>
    <w:bookmarkEnd w:id="9"/>
    <w:bookmarkStart w:id="10" w:name="X913ea70810cfcc827b570a65da402128a150456"/>
    <w:p>
      <w:pPr>
        <w:pStyle w:val="Heading2"/>
      </w:pPr>
      <w:r>
        <w:t xml:space="preserve">1.2 Backend : Supabase ou Node/NestJS + PostgreSQL</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927"/>
        <w:gridCol w:w="4023"/>
        <w:gridCol w:w="3970"/>
      </w:tblGrid>
      <w:tr>
        <w:trPr>
          <w:tblHeader w:val="on"/>
          <w:tblHeader w:val="true"/>
        </w:trPr>
        <w:tc>
          <w:tcPr>
            <w:tcW w:type="dxa" w:w="1928"/>
            <w:shd w:val="clear" w:color="auto" w:fill="1F3A5F"/>
          </w:tcPr>
          <w:p>
            <w:pPr>
              <w:pStyle w:val="Compact"/>
              <w:spacing w:after="20" w:before="20"/>
            </w:pPr>
            <w:r>
              <w:rPr>
                <w:b/>
                <w:color w:val="FFFFFF"/>
                <w:sz w:val="17"/>
              </w:rPr>
              <w:t xml:space="preserve">Critère</w:t>
            </w:r>
          </w:p>
        </w:tc>
        <w:tc>
          <w:tcPr>
            <w:tcW w:type="dxa" w:w="4024"/>
            <w:shd w:val="clear" w:color="auto" w:fill="1F3A5F"/>
          </w:tcPr>
          <w:p>
            <w:pPr>
              <w:pStyle w:val="Compact"/>
              <w:spacing w:after="20" w:before="20"/>
            </w:pPr>
            <w:r>
              <w:rPr>
                <w:b/>
                <w:color w:val="FFFFFF"/>
                <w:sz w:val="17"/>
              </w:rPr>
              <w:t xml:space="preserve">Supabase</w:t>
            </w:r>
          </w:p>
        </w:tc>
        <w:tc>
          <w:tcPr>
            <w:tcW w:type="dxa" w:w="3970"/>
            <w:shd w:val="clear" w:color="auto" w:fill="1F3A5F"/>
          </w:tcPr>
          <w:p>
            <w:pPr>
              <w:pStyle w:val="Compact"/>
              <w:spacing w:after="20" w:before="20"/>
            </w:pPr>
            <w:r>
              <w:rPr>
                <w:b/>
                <w:color w:val="FFFFFF"/>
                <w:sz w:val="17"/>
              </w:rPr>
              <w:t xml:space="preserve">Node/NestJS + PostgreSQL</w:t>
            </w:r>
          </w:p>
        </w:tc>
      </w:tr>
      <w:tr>
        <w:tc>
          <w:tcPr>
            <w:tcW w:type="dxa" w:w="1928"/>
          </w:tcPr>
          <w:p>
            <w:pPr>
              <w:pStyle w:val="Compact"/>
              <w:spacing w:after="20" w:before="20"/>
            </w:pPr>
            <w:r>
              <w:rPr>
                <w:sz w:val="17"/>
              </w:rPr>
              <w:t xml:space="preserve">Mise en route</w:t>
            </w:r>
          </w:p>
        </w:tc>
        <w:tc>
          <w:tcPr>
            <w:tcW w:type="dxa" w:w="4024"/>
          </w:tcPr>
          <w:p>
            <w:pPr>
              <w:pStyle w:val="Compact"/>
              <w:spacing w:after="20" w:before="20"/>
            </w:pPr>
            <w:r>
              <w:rPr>
                <w:sz w:val="17"/>
              </w:rPr>
              <w:t xml:space="preserve">Rapide : Auth, base, stockage, temps réel et fonctions fournis</w:t>
            </w:r>
          </w:p>
        </w:tc>
        <w:tc>
          <w:tcPr>
            <w:tcW w:type="dxa" w:w="3970"/>
          </w:tcPr>
          <w:p>
            <w:pPr>
              <w:pStyle w:val="Compact"/>
              <w:spacing w:after="20" w:before="20"/>
            </w:pPr>
            <w:r>
              <w:rPr>
                <w:sz w:val="17"/>
              </w:rPr>
              <w:t xml:space="preserve">Plus lente : tout est à assembler (auth, stockage, temps réel, hébergement)</w:t>
            </w:r>
          </w:p>
        </w:tc>
      </w:tr>
      <w:tr>
        <w:tc>
          <w:tcPr>
            <w:tcW w:type="dxa" w:w="1928"/>
            <w:shd w:val="clear" w:color="auto" w:fill="EAF2F5"/>
          </w:tcPr>
          <w:p>
            <w:pPr>
              <w:pStyle w:val="Compact"/>
              <w:spacing w:after="20" w:before="20"/>
            </w:pPr>
            <w:r>
              <w:rPr>
                <w:sz w:val="17"/>
              </w:rPr>
              <w:t xml:space="preserve">Autorisation</w:t>
            </w:r>
          </w:p>
        </w:tc>
        <w:tc>
          <w:tcPr>
            <w:tcW w:type="dxa" w:w="4024"/>
            <w:shd w:val="clear" w:color="auto" w:fill="EAF2F5"/>
          </w:tcPr>
          <w:p>
            <w:pPr>
              <w:pStyle w:val="Compact"/>
              <w:spacing w:after="20" w:before="20"/>
            </w:pPr>
            <w:r>
              <w:rPr>
                <w:sz w:val="17"/>
              </w:rPr>
              <w:t xml:space="preserve">RLS dans PostgreSQL, au niveau des lignes, plus des contrôles dans les fonctions serveur</w:t>
            </w:r>
          </w:p>
        </w:tc>
        <w:tc>
          <w:tcPr>
            <w:tcW w:type="dxa" w:w="3970"/>
            <w:shd w:val="clear" w:color="auto" w:fill="EAF2F5"/>
          </w:tcPr>
          <w:p>
            <w:pPr>
              <w:pStyle w:val="Compact"/>
              <w:spacing w:after="20" w:before="20"/>
            </w:pPr>
            <w:r>
              <w:rPr>
                <w:sz w:val="17"/>
              </w:rPr>
              <w:t xml:space="preserve">Gardes et contrôles dans le code de chaque route</w:t>
            </w:r>
          </w:p>
        </w:tc>
      </w:tr>
      <w:tr>
        <w:tc>
          <w:tcPr>
            <w:tcW w:type="dxa" w:w="1928"/>
          </w:tcPr>
          <w:p>
            <w:pPr>
              <w:pStyle w:val="Compact"/>
              <w:spacing w:after="20" w:before="20"/>
            </w:pPr>
            <w:r>
              <w:rPr>
                <w:sz w:val="17"/>
              </w:rPr>
              <w:t xml:space="preserve">Webhooks Stripe</w:t>
            </w:r>
          </w:p>
        </w:tc>
        <w:tc>
          <w:tcPr>
            <w:tcW w:type="dxa" w:w="4024"/>
          </w:tcPr>
          <w:p>
            <w:pPr>
              <w:pStyle w:val="Compact"/>
              <w:spacing w:after="20" w:before="20"/>
            </w:pPr>
            <w:r>
              <w:rPr>
                <w:sz w:val="17"/>
              </w:rPr>
              <w:t xml:space="preserve">Edge Function (Deno) avec vérification de signature</w:t>
            </w:r>
          </w:p>
        </w:tc>
        <w:tc>
          <w:tcPr>
            <w:tcW w:type="dxa" w:w="3970"/>
          </w:tcPr>
          <w:p>
            <w:pPr>
              <w:pStyle w:val="Compact"/>
              <w:spacing w:after="20" w:before="20"/>
            </w:pPr>
            <w:r>
              <w:rPr>
                <w:sz w:val="17"/>
              </w:rPr>
              <w:t xml:space="preserve">Route NestJS dédiée ; écosystème Node standard</w:t>
            </w:r>
          </w:p>
        </w:tc>
      </w:tr>
      <w:tr>
        <w:tc>
          <w:tcPr>
            <w:tcW w:type="dxa" w:w="1928"/>
            <w:shd w:val="clear" w:color="auto" w:fill="EAF2F5"/>
          </w:tcPr>
          <w:p>
            <w:pPr>
              <w:pStyle w:val="Compact"/>
              <w:spacing w:after="20" w:before="20"/>
            </w:pPr>
            <w:r>
              <w:rPr>
                <w:sz w:val="17"/>
              </w:rPr>
              <w:t xml:space="preserve">Logique métier complexe</w:t>
            </w:r>
          </w:p>
        </w:tc>
        <w:tc>
          <w:tcPr>
            <w:tcW w:type="dxa" w:w="4024"/>
            <w:shd w:val="clear" w:color="auto" w:fill="EAF2F5"/>
          </w:tcPr>
          <w:p>
            <w:pPr>
              <w:pStyle w:val="Compact"/>
              <w:spacing w:after="20" w:before="20"/>
            </w:pPr>
            <w:r>
              <w:rPr>
                <w:sz w:val="17"/>
              </w:rPr>
              <w:t xml:space="preserve">Fonctions SQL et Edge Functions ; demande de la rigueur pour ne pas disperser la logique</w:t>
            </w:r>
          </w:p>
        </w:tc>
        <w:tc>
          <w:tcPr>
            <w:tcW w:type="dxa" w:w="3970"/>
            <w:shd w:val="clear" w:color="auto" w:fill="EAF2F5"/>
          </w:tcPr>
          <w:p>
            <w:pPr>
              <w:pStyle w:val="Compact"/>
              <w:spacing w:after="20" w:before="20"/>
            </w:pPr>
            <w:r>
              <w:rPr>
                <w:sz w:val="17"/>
              </w:rPr>
              <w:t xml:space="preserve">Très flexible, architecture en modules</w:t>
            </w:r>
          </w:p>
        </w:tc>
      </w:tr>
      <w:tr>
        <w:tc>
          <w:tcPr>
            <w:tcW w:type="dxa" w:w="1928"/>
          </w:tcPr>
          <w:p>
            <w:pPr>
              <w:pStyle w:val="Compact"/>
              <w:spacing w:after="20" w:before="20"/>
            </w:pPr>
            <w:r>
              <w:rPr>
                <w:sz w:val="17"/>
              </w:rPr>
              <w:t xml:space="preserve">Exploitation</w:t>
            </w:r>
          </w:p>
        </w:tc>
        <w:tc>
          <w:tcPr>
            <w:tcW w:type="dxa" w:w="4024"/>
          </w:tcPr>
          <w:p>
            <w:pPr>
              <w:pStyle w:val="Compact"/>
              <w:spacing w:after="20" w:before="20"/>
            </w:pPr>
            <w:r>
              <w:rPr>
                <w:sz w:val="17"/>
              </w:rPr>
              <w:t xml:space="preserve">Service géré ; dépendance à un fournisseur</w:t>
            </w:r>
          </w:p>
        </w:tc>
        <w:tc>
          <w:tcPr>
            <w:tcW w:type="dxa" w:w="3970"/>
          </w:tcPr>
          <w:p>
            <w:pPr>
              <w:pStyle w:val="Compact"/>
              <w:spacing w:after="20" w:before="20"/>
            </w:pPr>
            <w:r>
              <w:rPr>
                <w:sz w:val="17"/>
              </w:rPr>
              <w:t xml:space="preserve">Plus de contrôle, plus de travail d’exploitation (mises à jour, sauvegardes, montée en charge)</w:t>
            </w:r>
          </w:p>
        </w:tc>
      </w:tr>
      <w:tr>
        <w:tc>
          <w:tcPr>
            <w:tcW w:type="dxa" w:w="1928"/>
            <w:shd w:val="clear" w:color="auto" w:fill="EAF2F5"/>
          </w:tcPr>
          <w:p>
            <w:pPr>
              <w:pStyle w:val="Compact"/>
              <w:spacing w:after="20" w:before="20"/>
            </w:pPr>
            <w:r>
              <w:rPr>
                <w:sz w:val="17"/>
              </w:rPr>
              <w:t xml:space="preserve">Hébergement au Canada</w:t>
            </w:r>
          </w:p>
        </w:tc>
        <w:tc>
          <w:tcPr>
            <w:tcW w:type="dxa" w:w="4024"/>
            <w:shd w:val="clear" w:color="auto" w:fill="EAF2F5"/>
          </w:tcPr>
          <w:p>
            <w:pPr>
              <w:pStyle w:val="Compact"/>
              <w:spacing w:after="20" w:before="20"/>
            </w:pPr>
            <w:r>
              <w:rPr>
                <w:sz w:val="17"/>
              </w:rPr>
              <w:t xml:space="preserve">Région canadienne :</w:t>
            </w:r>
            <w:r>
              <w:rPr>
                <w:sz w:val="17"/>
              </w:rPr>
              <w:t xml:space="preserve"> </w:t>
            </w:r>
            <w:r>
              <w:rPr>
                <w:b/>
                <w:bCs/>
                <w:sz w:val="17"/>
              </w:rPr>
              <w:t xml:space="preserve">à confirmer</w:t>
            </w:r>
          </w:p>
        </w:tc>
        <w:tc>
          <w:tcPr>
            <w:tcW w:type="dxa" w:w="3970"/>
            <w:shd w:val="clear" w:color="auto" w:fill="EAF2F5"/>
          </w:tcPr>
          <w:p>
            <w:pPr>
              <w:pStyle w:val="Compact"/>
              <w:spacing w:after="20" w:before="20"/>
            </w:pPr>
            <w:r>
              <w:rPr>
                <w:sz w:val="17"/>
              </w:rPr>
              <w:t xml:space="preserve">Selon l’hébergeur choisi :</w:t>
            </w:r>
            <w:r>
              <w:rPr>
                <w:sz w:val="17"/>
              </w:rPr>
              <w:t xml:space="preserve"> </w:t>
            </w:r>
            <w:r>
              <w:rPr>
                <w:b/>
                <w:bCs/>
                <w:sz w:val="17"/>
              </w:rPr>
              <w:t xml:space="preserve">à confirmer</w:t>
            </w:r>
          </w:p>
        </w:tc>
      </w:tr>
    </w:tbl>
    <w:p>
      <w:pPr>
        <w:pStyle w:val="BodyText"/>
      </w:pPr>
      <w:r>
        <w:rPr>
          <w:b/>
          <w:bCs/>
        </w:rPr>
        <w:t xml:space="preserve">Recommandation : Supabase</w:t>
      </w:r>
      <w:r>
        <w:t xml:space="preserve"> </w:t>
      </w:r>
      <w:r>
        <w:t xml:space="preserve">pour le MVP. La plateforme fournit les briques nécessaires à Volis (Auth avec PKCE et MFA, RLS, stockage privé, temps réel pour la messagerie). La logique sensible reste côté serveur :</w:t>
      </w:r>
    </w:p>
    <w:p>
      <w:pPr>
        <w:pStyle w:val="Compact"/>
        <w:numPr>
          <w:ilvl w:val="0"/>
          <w:numId w:val="1001"/>
        </w:numPr>
      </w:pPr>
      <w:r>
        <w:t xml:space="preserve">La machine d’états des livraisons et la libération des fonds se font uniquement dans des fonctions serveur (Edge Functions ou fonctions PostgreSQL</w:t>
      </w:r>
      <w:r>
        <w:t xml:space="preserve"> </w:t>
      </w:r>
      <w:r>
        <w:rPr>
          <w:rStyle w:val="VerbatimChar"/>
        </w:rPr>
        <w:t xml:space="preserve">SECURITY DEFINER</w:t>
      </w:r>
      <w:r>
        <w:t xml:space="preserve">), jamais depuis l’app.</w:t>
      </w:r>
    </w:p>
    <w:p>
      <w:pPr>
        <w:pStyle w:val="Compact"/>
        <w:numPr>
          <w:ilvl w:val="0"/>
          <w:numId w:val="1001"/>
        </w:numPr>
      </w:pPr>
      <w:r>
        <w:t xml:space="preserve">L’app n’a aucun droit d’écriture direct sur les tables</w:t>
      </w:r>
      <w:r>
        <w:t xml:space="preserve"> </w:t>
      </w:r>
      <w:r>
        <w:rPr>
          <w:rStyle w:val="VerbatimChar"/>
        </w:rPr>
        <w:t xml:space="preserve">payments</w:t>
      </w:r>
      <w:r>
        <w:t xml:space="preserve">,</w:t>
      </w:r>
      <w:r>
        <w:t xml:space="preserve"> </w:t>
      </w:r>
      <w:r>
        <w:rPr>
          <w:rStyle w:val="VerbatimChar"/>
        </w:rPr>
        <w:t xml:space="preserve">transfers</w:t>
      </w:r>
      <w:r>
        <w:t xml:space="preserve"> </w:t>
      </w:r>
      <w:r>
        <w:t xml:space="preserve">et</w:t>
      </w:r>
      <w:r>
        <w:t xml:space="preserve"> </w:t>
      </w:r>
      <w:r>
        <w:rPr>
          <w:rStyle w:val="VerbatimChar"/>
        </w:rPr>
        <w:t xml:space="preserve">deliveries.status</w:t>
      </w:r>
      <w:r>
        <w:t xml:space="preserve">.</w:t>
      </w:r>
    </w:p>
    <w:p>
      <w:pPr>
        <w:pStyle w:val="Compact"/>
        <w:numPr>
          <w:ilvl w:val="0"/>
          <w:numId w:val="1001"/>
        </w:numPr>
      </w:pPr>
      <w:r>
        <w:t xml:space="preserve">Pour garder une porte de sortie, les règles métier sont écrites en TypeScript pur (couche domaine partagée) et la base reste du PostgreSQL standard. Une migration vers NestJS + PostgreSQL resterait possible si les besoins dépassent les Edge Functions.</w:t>
      </w:r>
    </w:p>
    <w:p>
      <w:pPr>
        <w:pStyle w:val="BlockText"/>
        <w:shd w:val="clear" w:fill="FFF4E0"/>
      </w:pPr>
      <w:r>
        <w:rPr>
          <w:b/>
          <w:bCs/>
        </w:rPr>
        <w:t xml:space="preserve">Règle d’or (fiche de recherche) :</w:t>
      </w:r>
      <w:r>
        <w:t xml:space="preserve"> </w:t>
      </w:r>
      <w:r>
        <w:t xml:space="preserve">c’est le serveur qui décide de libérer un paiement, jamais l’application.</w:t>
      </w:r>
    </w:p>
    <w:bookmarkEnd w:id="10"/>
    <w:bookmarkEnd w:id="11"/>
    <w:bookmarkStart w:id="24" w:name="architecture"/>
    <w:p>
      <w:pPr>
        <w:pStyle w:val="Heading1"/>
      </w:pPr>
      <w:r>
        <w:t xml:space="preserve">2. Architecture</w:t>
      </w:r>
    </w:p>
    <w:bookmarkStart w:id="15" w:name="schéma-du-système"/>
    <w:p>
      <w:pPr>
        <w:pStyle w:val="Heading2"/>
      </w:pPr>
      <w:r>
        <w:t xml:space="preserve">2.1 Schéma du système</w:t>
      </w:r>
    </w:p>
    <w:p>
      <w:pPr>
        <w:pStyle w:val="CaptionedFigure"/>
      </w:pPr>
      <w:r>
        <w:drawing>
          <wp:inline>
            <wp:extent cx="5334000" cy="3048000"/>
            <wp:effectExtent b="0" l="0" r="0" t="0"/>
            <wp:docPr descr="Figure 1 — Schéma du système (source Mermaid dans la version .md)" title="" id="13" name="Picture"/>
            <a:graphic>
              <a:graphicData uri="http://schemas.openxmlformats.org/drawingml/2006/picture">
                <pic:pic>
                  <pic:nvPicPr>
                    <pic:cNvPr descr="/workspace/volis/cdc/d1.png" id="14" name="Picture"/>
                    <pic:cNvPicPr>
                      <a:picLocks noChangeArrowheads="1" noChangeAspect="1"/>
                    </pic:cNvPicPr>
                  </pic:nvPicPr>
                  <pic:blipFill>
                    <a:blip r:embed="rId1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1 — Schéma du système (source Mermaid dans la version .md)</w:t>
      </w:r>
    </w:p>
    <w:bookmarkEnd w:id="15"/>
    <w:bookmarkStart w:id="16" w:name="couches-côté-application"/>
    <w:p>
      <w:pPr>
        <w:pStyle w:val="Heading2"/>
      </w:pPr>
      <w:r>
        <w:t xml:space="preserve">2.2 Couches côté application</w:t>
      </w:r>
    </w:p>
    <w:p>
      <w:pPr>
        <w:pStyle w:val="FirstParagraph"/>
      </w:pPr>
      <w:r>
        <w:t xml:space="preserve">Conformément au guide (architecture « Clean Architecture pragmatique ») :</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822"/>
        <w:gridCol w:w="4810"/>
        <w:gridCol w:w="3288"/>
      </w:tblGrid>
      <w:tr>
        <w:trPr>
          <w:tblHeader w:val="on"/>
          <w:tblHeader w:val="true"/>
        </w:trPr>
        <w:tc>
          <w:tcPr>
            <w:tcW w:type="dxa" w:w="1823"/>
            <w:shd w:val="clear" w:color="auto" w:fill="1F3A5F"/>
          </w:tcPr>
          <w:p>
            <w:pPr>
              <w:pStyle w:val="Compact"/>
              <w:spacing w:after="20" w:before="20"/>
            </w:pPr>
            <w:r>
              <w:rPr>
                <w:b/>
                <w:color w:val="FFFFFF"/>
                <w:sz w:val="17"/>
              </w:rPr>
              <w:t xml:space="preserve">Couche</w:t>
            </w:r>
          </w:p>
        </w:tc>
        <w:tc>
          <w:tcPr>
            <w:tcW w:type="dxa" w:w="4810"/>
            <w:shd w:val="clear" w:color="auto" w:fill="1F3A5F"/>
          </w:tcPr>
          <w:p>
            <w:pPr>
              <w:pStyle w:val="Compact"/>
              <w:spacing w:after="20" w:before="20"/>
            </w:pPr>
            <w:r>
              <w:rPr>
                <w:b/>
                <w:color w:val="FFFFFF"/>
                <w:sz w:val="17"/>
              </w:rPr>
              <w:t xml:space="preserve">Contenu dans Volis</w:t>
            </w:r>
          </w:p>
        </w:tc>
        <w:tc>
          <w:tcPr>
            <w:tcW w:type="dxa" w:w="3288"/>
            <w:shd w:val="clear" w:color="auto" w:fill="1F3A5F"/>
          </w:tcPr>
          <w:p>
            <w:pPr>
              <w:pStyle w:val="Compact"/>
              <w:spacing w:after="20" w:before="20"/>
            </w:pPr>
            <w:r>
              <w:rPr>
                <w:b/>
                <w:color w:val="FFFFFF"/>
                <w:sz w:val="17"/>
              </w:rPr>
              <w:t xml:space="preserve">Règles</w:t>
            </w:r>
          </w:p>
        </w:tc>
      </w:tr>
      <w:tr>
        <w:tc>
          <w:tcPr>
            <w:tcW w:type="dxa" w:w="1823"/>
          </w:tcPr>
          <w:p>
            <w:pPr>
              <w:pStyle w:val="Compact"/>
              <w:spacing w:after="20" w:before="20"/>
            </w:pPr>
            <w:r>
              <w:rPr>
                <w:b/>
                <w:bCs/>
                <w:sz w:val="17"/>
              </w:rPr>
              <w:t xml:space="preserve">UI (MVVM)</w:t>
            </w:r>
          </w:p>
        </w:tc>
        <w:tc>
          <w:tcPr>
            <w:tcW w:type="dxa" w:w="4810"/>
          </w:tcPr>
          <w:p>
            <w:pPr>
              <w:pStyle w:val="Compact"/>
              <w:spacing w:after="20" w:before="20"/>
            </w:pPr>
            <w:r>
              <w:rPr>
                <w:sz w:val="17"/>
              </w:rPr>
              <w:t xml:space="preserve">Écrans Expo Router ; hooks jouant le rôle de ViewModel (</w:t>
            </w:r>
            <w:r>
              <w:rPr>
                <w:rStyle w:val="VerbatimChar"/>
                <w:sz w:val="17"/>
              </w:rPr>
              <w:t xml:space="preserve">useTripSearchViewModel</w:t>
            </w:r>
            <w:r>
              <w:rPr>
                <w:sz w:val="17"/>
              </w:rPr>
              <w:t xml:space="preserve">, etc.) qui exposent un état d’écran immuable ; flux unidirectionnel</w:t>
            </w:r>
          </w:p>
        </w:tc>
        <w:tc>
          <w:tcPr>
            <w:tcW w:type="dxa" w:w="3288"/>
          </w:tcPr>
          <w:p>
            <w:pPr>
              <w:pStyle w:val="Compact"/>
              <w:spacing w:after="20" w:before="20"/>
            </w:pPr>
            <w:r>
              <w:rPr>
                <w:sz w:val="17"/>
              </w:rPr>
              <w:t xml:space="preserve">L’UI n’appelle jamais le réseau ni le stockage directement. Elle affiche les statuts fournis par le serveur.</w:t>
            </w:r>
          </w:p>
        </w:tc>
      </w:tr>
      <w:tr>
        <w:tc>
          <w:tcPr>
            <w:tcW w:type="dxa" w:w="1823"/>
            <w:shd w:val="clear" w:color="auto" w:fill="EAF2F5"/>
          </w:tcPr>
          <w:p>
            <w:pPr>
              <w:pStyle w:val="Compact"/>
              <w:spacing w:after="20" w:before="20"/>
            </w:pPr>
            <w:r>
              <w:rPr>
                <w:b/>
                <w:bCs/>
                <w:sz w:val="17"/>
              </w:rPr>
              <w:t xml:space="preserve">Domaine (optionnel)</w:t>
            </w:r>
          </w:p>
        </w:tc>
        <w:tc>
          <w:tcPr>
            <w:tcW w:type="dxa" w:w="4810"/>
            <w:shd w:val="clear" w:color="auto" w:fill="EAF2F5"/>
          </w:tcPr>
          <w:p>
            <w:pPr>
              <w:pStyle w:val="Compact"/>
              <w:spacing w:after="20" w:before="20"/>
            </w:pPr>
            <w:r>
              <w:rPr>
                <w:sz w:val="17"/>
              </w:rPr>
              <w:t xml:space="preserve">Types métier (</w:t>
            </w:r>
            <w:r>
              <w:rPr>
                <w:rStyle w:val="VerbatimChar"/>
                <w:sz w:val="17"/>
              </w:rPr>
              <w:t xml:space="preserve">Delivery</w:t>
            </w:r>
            <w:r>
              <w:rPr>
                <w:sz w:val="17"/>
              </w:rPr>
              <w:t xml:space="preserve">,</w:t>
            </w:r>
            <w:r>
              <w:rPr>
                <w:sz w:val="17"/>
              </w:rPr>
              <w:t xml:space="preserve"> </w:t>
            </w:r>
            <w:r>
              <w:rPr>
                <w:rStyle w:val="VerbatimChar"/>
                <w:sz w:val="17"/>
              </w:rPr>
              <w:t xml:space="preserve">Booking</w:t>
            </w:r>
            <w:r>
              <w:rPr>
                <w:sz w:val="17"/>
              </w:rPr>
              <w:t xml:space="preserve">,</w:t>
            </w:r>
            <w:r>
              <w:rPr>
                <w:sz w:val="17"/>
              </w:rPr>
              <w:t xml:space="preserve"> </w:t>
            </w:r>
            <w:r>
              <w:rPr>
                <w:rStyle w:val="VerbatimChar"/>
                <w:sz w:val="17"/>
              </w:rPr>
              <w:t xml:space="preserve">Money</w:t>
            </w:r>
            <w:r>
              <w:rPr>
                <w:sz w:val="17"/>
              </w:rPr>
              <w:t xml:space="preserve">), règles pures (transitions d’états permises côté affichage, calcul de l’affichage du détail de prix reçu du serveur)</w:t>
            </w:r>
          </w:p>
        </w:tc>
        <w:tc>
          <w:tcPr>
            <w:tcW w:type="dxa" w:w="3288"/>
            <w:shd w:val="clear" w:color="auto" w:fill="EAF2F5"/>
          </w:tcPr>
          <w:p>
            <w:pPr>
              <w:pStyle w:val="Compact"/>
              <w:spacing w:after="20" w:before="20"/>
            </w:pPr>
            <w:r>
              <w:rPr>
                <w:sz w:val="17"/>
              </w:rPr>
              <w:t xml:space="preserve">TypeScript pur, sans dépendance React Native ; testé unitairement.</w:t>
            </w:r>
          </w:p>
        </w:tc>
      </w:tr>
      <w:tr>
        <w:tc>
          <w:tcPr>
            <w:tcW w:type="dxa" w:w="1823"/>
          </w:tcPr>
          <w:p>
            <w:pPr>
              <w:pStyle w:val="Compact"/>
              <w:spacing w:after="20" w:before="20"/>
            </w:pPr>
            <w:r>
              <w:rPr>
                <w:b/>
                <w:bCs/>
                <w:sz w:val="17"/>
              </w:rPr>
              <w:t xml:space="preserve">Data (repositories)</w:t>
            </w:r>
          </w:p>
        </w:tc>
        <w:tc>
          <w:tcPr>
            <w:tcW w:type="dxa" w:w="4810"/>
          </w:tcPr>
          <w:p>
            <w:pPr>
              <w:pStyle w:val="Compact"/>
              <w:spacing w:after="20" w:before="20"/>
            </w:pPr>
            <w:r>
              <w:rPr>
                <w:rStyle w:val="VerbatimChar"/>
                <w:sz w:val="17"/>
              </w:rPr>
              <w:t xml:space="preserve">TripsRepository</w:t>
            </w:r>
            <w:r>
              <w:rPr>
                <w:sz w:val="17"/>
              </w:rPr>
              <w:t xml:space="preserve">,</w:t>
            </w:r>
            <w:r>
              <w:rPr>
                <w:sz w:val="17"/>
              </w:rPr>
              <w:t xml:space="preserve"> </w:t>
            </w:r>
            <w:r>
              <w:rPr>
                <w:rStyle w:val="VerbatimChar"/>
                <w:sz w:val="17"/>
              </w:rPr>
              <w:t xml:space="preserve">BookingsRepository</w:t>
            </w:r>
            <w:r>
              <w:rPr>
                <w:sz w:val="17"/>
              </w:rPr>
              <w:t xml:space="preserve">,</w:t>
            </w:r>
            <w:r>
              <w:rPr>
                <w:sz w:val="17"/>
              </w:rPr>
              <w:t xml:space="preserve"> </w:t>
            </w:r>
            <w:r>
              <w:rPr>
                <w:rStyle w:val="VerbatimChar"/>
                <w:sz w:val="17"/>
              </w:rPr>
              <w:t xml:space="preserve">PaymentsRepository</w:t>
            </w:r>
            <w:r>
              <w:rPr>
                <w:sz w:val="17"/>
              </w:rPr>
              <w:t xml:space="preserve">,</w:t>
            </w:r>
            <w:r>
              <w:rPr>
                <w:sz w:val="17"/>
              </w:rPr>
              <w:t xml:space="preserve"> </w:t>
            </w:r>
            <w:r>
              <w:rPr>
                <w:rStyle w:val="VerbatimChar"/>
                <w:sz w:val="17"/>
              </w:rPr>
              <w:t xml:space="preserve">MessagesRepository</w:t>
            </w:r>
            <w:r>
              <w:rPr>
                <w:sz w:val="17"/>
              </w:rPr>
              <w:t xml:space="preserve">… ; client Supabase, client HTTP des Edge Functions, cache (TanStack Query), stockage sécurisé</w:t>
            </w:r>
          </w:p>
        </w:tc>
        <w:tc>
          <w:tcPr>
            <w:tcW w:type="dxa" w:w="3288"/>
          </w:tcPr>
          <w:p>
            <w:pPr>
              <w:pStyle w:val="Compact"/>
              <w:spacing w:after="20" w:before="20"/>
            </w:pPr>
            <w:r>
              <w:rPr>
                <w:sz w:val="17"/>
              </w:rPr>
              <w:t xml:space="preserve">Point unique pour les jetons, la validation des réponses, la gestion des erreurs et le cache hors-ligne.</w:t>
            </w:r>
          </w:p>
        </w:tc>
      </w:tr>
    </w:tbl>
    <w:bookmarkEnd w:id="16"/>
    <w:bookmarkStart w:id="17" w:name="structure-de-dossiers-type"/>
    <w:p>
      <w:pPr>
        <w:pStyle w:val="Heading2"/>
      </w:pPr>
      <w:r>
        <w:t xml:space="preserve">2.3 Structure de dossiers type</w:t>
      </w:r>
    </w:p>
    <w:p>
      <w:pPr>
        <w:pStyle w:val="SourceCode"/>
      </w:pPr>
      <w:r>
        <w:rPr>
          <w:rStyle w:val="VerbatimChar"/>
        </w:rPr>
        <w:t xml:space="preserve">volis/</w:t>
      </w:r>
      <w:r>
        <w:br/>
      </w:r>
      <w:r>
        <w:rPr>
          <w:rStyle w:val="VerbatimChar"/>
        </w:rPr>
        <w:t xml:space="preserve">  app/                         # routes Expo Router (iOS, Android, web)</w:t>
      </w:r>
      <w:r>
        <w:br/>
      </w:r>
      <w:r>
        <w:rPr>
          <w:rStyle w:val="VerbatimChar"/>
        </w:rPr>
        <w:t xml:space="preserve">    (auth)/  connexion.tsx, inscription.tsx</w:t>
      </w:r>
      <w:r>
        <w:br/>
      </w:r>
      <w:r>
        <w:rPr>
          <w:rStyle w:val="VerbatimChar"/>
        </w:rPr>
        <w:t xml:space="preserve">    (tabs)/  trajets/, envois/, messages/, profil/</w:t>
      </w:r>
      <w:r>
        <w:br/>
      </w:r>
      <w:r>
        <w:rPr>
          <w:rStyle w:val="VerbatimChar"/>
        </w:rPr>
        <w:t xml:space="preserve">    reservation/[id].tsx</w:t>
      </w:r>
      <w:r>
        <w:br/>
      </w:r>
      <w:r>
        <w:rPr>
          <w:rStyle w:val="VerbatimChar"/>
        </w:rPr>
        <w:t xml:space="preserve">    litige/[id].tsx</w:t>
      </w:r>
      <w:r>
        <w:br/>
      </w:r>
      <w:r>
        <w:rPr>
          <w:rStyle w:val="VerbatimChar"/>
        </w:rPr>
        <w:t xml:space="preserve">    _layout.tsx                # fournisseurs (i18n, thème, requêtes, session)</w:t>
      </w:r>
      <w:r>
        <w:br/>
      </w:r>
      <w:r>
        <w:rPr>
          <w:rStyle w:val="VerbatimChar"/>
        </w:rPr>
        <w:t xml:space="preserve">  src/</w:t>
      </w:r>
      <w:r>
        <w:br/>
      </w:r>
      <w:r>
        <w:rPr>
          <w:rStyle w:val="VerbatimChar"/>
        </w:rPr>
        <w:t xml:space="preserve">    features/                  # une fonctionnalité = écrans + ViewModels + composants</w:t>
      </w:r>
      <w:r>
        <w:br/>
      </w:r>
      <w:r>
        <w:rPr>
          <w:rStyle w:val="VerbatimChar"/>
        </w:rPr>
        <w:t xml:space="preserve">      trips/  shipments/  bookings/  payments/  identity/</w:t>
      </w:r>
      <w:r>
        <w:br/>
      </w:r>
      <w:r>
        <w:rPr>
          <w:rStyle w:val="VerbatimChar"/>
        </w:rPr>
        <w:t xml:space="preserve">      messaging/  disputes/  reviews/  account/  payouts/</w:t>
      </w:r>
      <w:r>
        <w:br/>
      </w:r>
      <w:r>
        <w:rPr>
          <w:rStyle w:val="VerbatimChar"/>
        </w:rPr>
        <w:t xml:space="preserve">    domain/                    # types et règles pures (sans React Native)</w:t>
      </w:r>
      <w:r>
        <w:br/>
      </w:r>
      <w:r>
        <w:rPr>
          <w:rStyle w:val="VerbatimChar"/>
        </w:rPr>
        <w:t xml:space="preserve">    data/</w:t>
      </w:r>
      <w:r>
        <w:br/>
      </w:r>
      <w:r>
        <w:rPr>
          <w:rStyle w:val="VerbatimChar"/>
        </w:rPr>
        <w:t xml:space="preserve">      api/                     # client Supabase, client Edge Functions, intercepteurs</w:t>
      </w:r>
      <w:r>
        <w:br/>
      </w:r>
      <w:r>
        <w:rPr>
          <w:rStyle w:val="VerbatimChar"/>
        </w:rPr>
        <w:t xml:space="preserve">      repositories/</w:t>
      </w:r>
      <w:r>
        <w:br/>
      </w:r>
      <w:r>
        <w:rPr>
          <w:rStyle w:val="VerbatimChar"/>
        </w:rPr>
        <w:t xml:space="preserve">      secure/                  # wrapper expo-secure-store</w:t>
      </w:r>
      <w:r>
        <w:br/>
      </w:r>
      <w:r>
        <w:rPr>
          <w:rStyle w:val="VerbatimChar"/>
        </w:rPr>
        <w:t xml:space="preserve">      cache/                   # persistance hors-ligne (non sensible)</w:t>
      </w:r>
      <w:r>
        <w:br/>
      </w:r>
      <w:r>
        <w:rPr>
          <w:rStyle w:val="VerbatimChar"/>
        </w:rPr>
        <w:t xml:space="preserve">    ui/                        # design system (thème « Carnet de voyage » / « Scrapbook »)</w:t>
      </w:r>
      <w:r>
        <w:br/>
      </w:r>
      <w:r>
        <w:rPr>
          <w:rStyle w:val="VerbatimChar"/>
        </w:rPr>
        <w:t xml:space="preserve">    i18n/                      # fr, en, ar (RTL)</w:t>
      </w:r>
      <w:r>
        <w:br/>
      </w:r>
      <w:r>
        <w:rPr>
          <w:rStyle w:val="VerbatimChar"/>
        </w:rPr>
        <w:t xml:space="preserve">    test/                      # fakes, utilitaires</w:t>
      </w:r>
      <w:r>
        <w:br/>
      </w:r>
      <w:r>
        <w:rPr>
          <w:rStyle w:val="VerbatimChar"/>
        </w:rPr>
        <w:t xml:space="preserve">  supabase/</w:t>
      </w:r>
      <w:r>
        <w:br/>
      </w:r>
      <w:r>
        <w:rPr>
          <w:rStyle w:val="VerbatimChar"/>
        </w:rPr>
        <w:t xml:space="preserve">    migrations/                # schéma SQL versionné + politiques RLS</w:t>
      </w:r>
      <w:r>
        <w:br/>
      </w:r>
      <w:r>
        <w:rPr>
          <w:rStyle w:val="VerbatimChar"/>
        </w:rPr>
        <w:t xml:space="preserve">    functions/                 # Edge Functions (stripe-webhook, release-funds, …)</w:t>
      </w:r>
      <w:r>
        <w:br/>
      </w:r>
      <w:r>
        <w:rPr>
          <w:rStyle w:val="VerbatimChar"/>
        </w:rPr>
        <w:t xml:space="preserve">    tests/                     # tests RLS et tests de fonctions</w:t>
      </w:r>
      <w:r>
        <w:br/>
      </w:r>
      <w:r>
        <w:rPr>
          <w:rStyle w:val="VerbatimChar"/>
        </w:rPr>
        <w:t xml:space="preserve">  .github/workflows/           # CI</w:t>
      </w:r>
      <w:r>
        <w:br/>
      </w:r>
      <w:r>
        <w:rPr>
          <w:rStyle w:val="VerbatimChar"/>
        </w:rPr>
        <w:t xml:space="preserve">  eas.json  app.config.ts</w:t>
      </w:r>
    </w:p>
    <w:bookmarkEnd w:id="17"/>
    <w:bookmarkStart w:id="18" w:name="modèle-de-données-principal"/>
    <w:p>
      <w:pPr>
        <w:pStyle w:val="Heading2"/>
      </w:pPr>
      <w:r>
        <w:t xml:space="preserve">2.4 Modèle de données principal</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924"/>
        <w:gridCol w:w="5111"/>
        <w:gridCol w:w="2885"/>
      </w:tblGrid>
      <w:tr>
        <w:trPr>
          <w:tblHeader w:val="on"/>
          <w:tblHeader w:val="true"/>
        </w:trPr>
        <w:tc>
          <w:tcPr>
            <w:tcW w:type="dxa" w:w="1925"/>
            <w:shd w:val="clear" w:color="auto" w:fill="1F3A5F"/>
          </w:tcPr>
          <w:p>
            <w:pPr>
              <w:pStyle w:val="Compact"/>
              <w:spacing w:after="20" w:before="20"/>
            </w:pPr>
            <w:r>
              <w:rPr>
                <w:b/>
                <w:color w:val="FFFFFF"/>
                <w:sz w:val="17"/>
              </w:rPr>
              <w:t xml:space="preserve">Entité</w:t>
            </w:r>
          </w:p>
        </w:tc>
        <w:tc>
          <w:tcPr>
            <w:tcW w:type="dxa" w:w="5111"/>
            <w:shd w:val="clear" w:color="auto" w:fill="1F3A5F"/>
          </w:tcPr>
          <w:p>
            <w:pPr>
              <w:pStyle w:val="Compact"/>
              <w:spacing w:after="20" w:before="20"/>
            </w:pPr>
            <w:r>
              <w:rPr>
                <w:b/>
                <w:color w:val="FFFFFF"/>
                <w:sz w:val="17"/>
              </w:rPr>
              <w:t xml:space="preserve">Champs principaux (indicatifs)</w:t>
            </w:r>
          </w:p>
        </w:tc>
        <w:tc>
          <w:tcPr>
            <w:tcW w:type="dxa" w:w="2886"/>
            <w:shd w:val="clear" w:color="auto" w:fill="1F3A5F"/>
          </w:tcPr>
          <w:p>
            <w:pPr>
              <w:pStyle w:val="Compact"/>
              <w:spacing w:after="20" w:before="20"/>
            </w:pPr>
            <w:r>
              <w:rPr>
                <w:b/>
                <w:color w:val="FFFFFF"/>
                <w:sz w:val="17"/>
              </w:rPr>
              <w:t xml:space="preserve">Remarques</w:t>
            </w:r>
          </w:p>
        </w:tc>
      </w:tr>
      <w:tr>
        <w:tc>
          <w:tcPr>
            <w:tcW w:type="dxa" w:w="1925"/>
          </w:tcPr>
          <w:p>
            <w:pPr>
              <w:pStyle w:val="Compact"/>
              <w:spacing w:after="20" w:before="20"/>
            </w:pPr>
            <w:r>
              <w:rPr>
                <w:rStyle w:val="VerbatimChar"/>
                <w:sz w:val="17"/>
              </w:rPr>
              <w:t xml:space="preserve">users</w:t>
            </w:r>
            <w:r>
              <w:rPr>
                <w:sz w:val="17"/>
              </w:rPr>
              <w:t xml:space="preserve"> </w:t>
            </w:r>
            <w:r>
              <w:rPr>
                <w:sz w:val="17"/>
              </w:rPr>
              <w:t xml:space="preserve">(profils)</w:t>
            </w:r>
          </w:p>
        </w:tc>
        <w:tc>
          <w:tcPr>
            <w:tcW w:type="dxa" w:w="5111"/>
          </w:tcPr>
          <w:p>
            <w:pPr>
              <w:pStyle w:val="Compact"/>
              <w:spacing w:after="20" w:before="20"/>
            </w:pPr>
            <w:r>
              <w:rPr>
                <w:rStyle w:val="VerbatimChar"/>
                <w:sz w:val="17"/>
              </w:rPr>
              <w:t xml:space="preserve">id</w:t>
            </w:r>
            <w:r>
              <w:rPr>
                <w:sz w:val="17"/>
              </w:rPr>
              <w:t xml:space="preserve"> </w:t>
            </w:r>
            <w:r>
              <w:rPr>
                <w:sz w:val="17"/>
              </w:rPr>
              <w:t xml:space="preserve">(= Auth), nom affiché, langue, pays,</w:t>
            </w:r>
            <w:r>
              <w:rPr>
                <w:sz w:val="17"/>
              </w:rPr>
              <w:t xml:space="preserve"> </w:t>
            </w:r>
            <w:r>
              <w:rPr>
                <w:rStyle w:val="VerbatimChar"/>
                <w:sz w:val="17"/>
              </w:rPr>
              <w:t xml:space="preserve">identity_status</w:t>
            </w:r>
            <w:r>
              <w:rPr>
                <w:sz w:val="17"/>
              </w:rPr>
              <w:t xml:space="preserve">,</w:t>
            </w:r>
            <w:r>
              <w:rPr>
                <w:sz w:val="17"/>
              </w:rPr>
              <w:t xml:space="preserve"> </w:t>
            </w:r>
            <w:r>
              <w:rPr>
                <w:rStyle w:val="VerbatimChar"/>
                <w:sz w:val="17"/>
              </w:rPr>
              <w:t xml:space="preserve">stripe_identity_session_id</w:t>
            </w:r>
            <w:r>
              <w:rPr>
                <w:sz w:val="17"/>
              </w:rPr>
              <w:t xml:space="preserve">,</w:t>
            </w:r>
            <w:r>
              <w:rPr>
                <w:sz w:val="17"/>
              </w:rPr>
              <w:t xml:space="preserve"> </w:t>
            </w:r>
            <w:r>
              <w:rPr>
                <w:rStyle w:val="VerbatimChar"/>
                <w:sz w:val="17"/>
              </w:rPr>
              <w:t xml:space="preserve">stripe_account_id</w:t>
            </w:r>
            <w:r>
              <w:rPr>
                <w:sz w:val="17"/>
              </w:rPr>
              <w:t xml:space="preserve"> </w:t>
            </w:r>
            <w:r>
              <w:rPr>
                <w:sz w:val="17"/>
              </w:rPr>
              <w:t xml:space="preserve">(voyageur),</w:t>
            </w:r>
            <w:r>
              <w:rPr>
                <w:sz w:val="17"/>
              </w:rPr>
              <w:t xml:space="preserve"> </w:t>
            </w:r>
            <w:r>
              <w:rPr>
                <w:rStyle w:val="VerbatimChar"/>
                <w:sz w:val="17"/>
              </w:rPr>
              <w:t xml:space="preserve">stripe_customer_id</w:t>
            </w:r>
            <w:r>
              <w:rPr>
                <w:sz w:val="17"/>
              </w:rPr>
              <w:t xml:space="preserve"> </w:t>
            </w:r>
            <w:r>
              <w:rPr>
                <w:sz w:val="17"/>
              </w:rPr>
              <w:t xml:space="preserve">(expéditeur), dates de consentement,</w:t>
            </w:r>
            <w:r>
              <w:rPr>
                <w:sz w:val="17"/>
              </w:rPr>
              <w:t xml:space="preserve"> </w:t>
            </w:r>
            <w:r>
              <w:rPr>
                <w:rStyle w:val="VerbatimChar"/>
                <w:sz w:val="17"/>
              </w:rPr>
              <w:t xml:space="preserve">deleted_at</w:t>
            </w:r>
          </w:p>
        </w:tc>
        <w:tc>
          <w:tcPr>
            <w:tcW w:type="dxa" w:w="2886"/>
          </w:tcPr>
          <w:p>
            <w:pPr>
              <w:pStyle w:val="Compact"/>
              <w:spacing w:after="20" w:before="20"/>
            </w:pPr>
            <w:r>
              <w:rPr>
                <w:b/>
                <w:bCs/>
                <w:sz w:val="17"/>
              </w:rPr>
              <w:t xml:space="preserve">Aucune image biométrique ni donnée bancaire.</w:t>
            </w:r>
          </w:p>
        </w:tc>
      </w:tr>
      <w:tr>
        <w:tc>
          <w:tcPr>
            <w:tcW w:type="dxa" w:w="1925"/>
            <w:shd w:val="clear" w:color="auto" w:fill="EAF2F5"/>
          </w:tcPr>
          <w:p>
            <w:pPr>
              <w:pStyle w:val="Compact"/>
              <w:spacing w:after="20" w:before="20"/>
            </w:pPr>
            <w:r>
              <w:rPr>
                <w:rStyle w:val="VerbatimChar"/>
                <w:sz w:val="17"/>
              </w:rPr>
              <w:t xml:space="preserve">trips</w:t>
            </w:r>
            <w:r>
              <w:rPr>
                <w:sz w:val="17"/>
              </w:rPr>
              <w:t xml:space="preserve"> </w:t>
            </w:r>
            <w:r>
              <w:rPr>
                <w:sz w:val="17"/>
              </w:rPr>
              <w:t xml:space="preserve">(annonces de trajet)</w:t>
            </w:r>
          </w:p>
        </w:tc>
        <w:tc>
          <w:tcPr>
            <w:tcW w:type="dxa" w:w="5111"/>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traveler_id</w:t>
            </w:r>
            <w:r>
              <w:rPr>
                <w:sz w:val="17"/>
              </w:rPr>
              <w:t xml:space="preserve">, origine, destination, dates, capacité déclarée, restrictions, statut</w:t>
            </w:r>
          </w:p>
        </w:tc>
        <w:tc>
          <w:tcPr>
            <w:tcW w:type="dxa" w:w="2886"/>
            <w:shd w:val="clear" w:color="auto" w:fill="EAF2F5"/>
          </w:tcPr>
          <w:p>
            <w:pPr>
              <w:pStyle w:val="Compact"/>
              <w:spacing w:after="20" w:before="20"/>
            </w:pPr>
            <w:r>
              <w:rPr>
                <w:sz w:val="17"/>
              </w:rPr>
              <w:t xml:space="preserve">Publiées par les voyageurs.</w:t>
            </w:r>
          </w:p>
        </w:tc>
      </w:tr>
      <w:tr>
        <w:tc>
          <w:tcPr>
            <w:tcW w:type="dxa" w:w="1925"/>
          </w:tcPr>
          <w:p>
            <w:pPr>
              <w:pStyle w:val="Compact"/>
              <w:spacing w:after="20" w:before="20"/>
            </w:pPr>
            <w:r>
              <w:rPr>
                <w:rStyle w:val="VerbatimChar"/>
                <w:sz w:val="17"/>
              </w:rPr>
              <w:t xml:space="preserve">shipment_requests</w:t>
            </w:r>
            <w:r>
              <w:rPr>
                <w:sz w:val="17"/>
              </w:rPr>
              <w:t xml:space="preserve"> </w:t>
            </w:r>
            <w:r>
              <w:rPr>
                <w:sz w:val="17"/>
              </w:rPr>
              <w:t xml:space="preserve">(demandes d’envoi)</w:t>
            </w:r>
          </w:p>
        </w:tc>
        <w:tc>
          <w:tcPr>
            <w:tcW w:type="dxa" w:w="5111"/>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sender_id</w:t>
            </w:r>
            <w:r>
              <w:rPr>
                <w:sz w:val="17"/>
              </w:rPr>
              <w:t xml:space="preserve">, origine, destination, fenêtre de dates, statut</w:t>
            </w:r>
          </w:p>
        </w:tc>
        <w:tc>
          <w:tcPr>
            <w:tcW w:type="dxa" w:w="2886"/>
          </w:tcPr>
          <w:p>
            <w:pPr>
              <w:pStyle w:val="Compact"/>
              <w:spacing w:after="20" w:before="20"/>
            </w:pPr>
            <w:r>
              <w:rPr>
                <w:sz w:val="17"/>
              </w:rPr>
              <w:t xml:space="preserve">Publiées par les expéditeurs.</w:t>
            </w:r>
          </w:p>
        </w:tc>
      </w:tr>
      <w:tr>
        <w:tc>
          <w:tcPr>
            <w:tcW w:type="dxa" w:w="1925"/>
            <w:shd w:val="clear" w:color="auto" w:fill="EAF2F5"/>
          </w:tcPr>
          <w:p>
            <w:pPr>
              <w:pStyle w:val="Compact"/>
              <w:spacing w:after="20" w:before="20"/>
            </w:pPr>
            <w:r>
              <w:rPr>
                <w:rStyle w:val="VerbatimChar"/>
                <w:sz w:val="17"/>
              </w:rPr>
              <w:t xml:space="preserve">parcels</w:t>
            </w:r>
            <w:r>
              <w:rPr>
                <w:sz w:val="17"/>
              </w:rPr>
              <w:t xml:space="preserve"> </w:t>
            </w:r>
            <w:r>
              <w:rPr>
                <w:sz w:val="17"/>
              </w:rPr>
              <w:t xml:space="preserve">(colis)</w:t>
            </w:r>
          </w:p>
        </w:tc>
        <w:tc>
          <w:tcPr>
            <w:tcW w:type="dxa" w:w="5111"/>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shipment_request_id</w:t>
            </w:r>
            <w:r>
              <w:rPr>
                <w:sz w:val="17"/>
              </w:rPr>
              <w:t xml:space="preserve">, description, dimensions/poids déclarés,</w:t>
            </w:r>
            <w:r>
              <w:rPr>
                <w:sz w:val="17"/>
              </w:rPr>
              <w:t xml:space="preserve"> </w:t>
            </w:r>
            <w:r>
              <w:rPr>
                <w:rStyle w:val="VerbatimChar"/>
                <w:sz w:val="17"/>
              </w:rPr>
              <w:t xml:space="preserve">declared_value</w:t>
            </w:r>
            <w:r>
              <w:rPr>
                <w:sz w:val="17"/>
              </w:rPr>
              <w:t xml:space="preserve"> </w:t>
            </w:r>
            <w:r>
              <w:rPr>
                <w:sz w:val="17"/>
              </w:rPr>
              <w:t xml:space="preserve">+ devise, attestation du contenu (horodatée), photos de dépôt</w:t>
            </w:r>
          </w:p>
        </w:tc>
        <w:tc>
          <w:tcPr>
            <w:tcW w:type="dxa" w:w="2886"/>
            <w:shd w:val="clear" w:color="auto" w:fill="EAF2F5"/>
          </w:tcPr>
          <w:p>
            <w:pPr>
              <w:pStyle w:val="Compact"/>
              <w:spacing w:after="20" w:before="20"/>
            </w:pPr>
            <w:r>
              <w:rPr>
                <w:sz w:val="17"/>
              </w:rPr>
              <w:t xml:space="preserve">Liste d’objets interdits vérifiée à la saisie et côté serveur.</w:t>
            </w:r>
          </w:p>
        </w:tc>
      </w:tr>
      <w:tr>
        <w:tc>
          <w:tcPr>
            <w:tcW w:type="dxa" w:w="1925"/>
          </w:tcPr>
          <w:p>
            <w:pPr>
              <w:pStyle w:val="Compact"/>
              <w:spacing w:after="20" w:before="20"/>
            </w:pPr>
            <w:r>
              <w:rPr>
                <w:rStyle w:val="VerbatimChar"/>
                <w:sz w:val="17"/>
              </w:rPr>
              <w:t xml:space="preserve">bookings</w:t>
            </w:r>
            <w:r>
              <w:rPr>
                <w:sz w:val="17"/>
              </w:rPr>
              <w:t xml:space="preserve"> </w:t>
            </w:r>
            <w:r>
              <w:rPr>
                <w:sz w:val="17"/>
              </w:rPr>
              <w:t xml:space="preserve">(réservations)</w:t>
            </w:r>
          </w:p>
        </w:tc>
        <w:tc>
          <w:tcPr>
            <w:tcW w:type="dxa" w:w="5111"/>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trip_id</w:t>
            </w:r>
            <w:r>
              <w:rPr>
                <w:sz w:val="17"/>
              </w:rPr>
              <w:t xml:space="preserve">,</w:t>
            </w:r>
            <w:r>
              <w:rPr>
                <w:sz w:val="17"/>
              </w:rPr>
              <w:t xml:space="preserve"> </w:t>
            </w:r>
            <w:r>
              <w:rPr>
                <w:rStyle w:val="VerbatimChar"/>
                <w:sz w:val="17"/>
              </w:rPr>
              <w:t xml:space="preserve">parcel_id</w:t>
            </w:r>
            <w:r>
              <w:rPr>
                <w:sz w:val="17"/>
              </w:rPr>
              <w:t xml:space="preserve">,</w:t>
            </w:r>
            <w:r>
              <w:rPr>
                <w:sz w:val="17"/>
              </w:rPr>
              <w:t xml:space="preserve"> </w:t>
            </w:r>
            <w:r>
              <w:rPr>
                <w:rStyle w:val="VerbatimChar"/>
                <w:sz w:val="17"/>
              </w:rPr>
              <w:t xml:space="preserve">sender_id</w:t>
            </w:r>
            <w:r>
              <w:rPr>
                <w:sz w:val="17"/>
              </w:rPr>
              <w:t xml:space="preserve">,</w:t>
            </w:r>
            <w:r>
              <w:rPr>
                <w:sz w:val="17"/>
              </w:rPr>
              <w:t xml:space="preserve"> </w:t>
            </w:r>
            <w:r>
              <w:rPr>
                <w:rStyle w:val="VerbatimChar"/>
                <w:sz w:val="17"/>
              </w:rPr>
              <w:t xml:space="preserve">traveler_id</w:t>
            </w:r>
            <w:r>
              <w:rPr>
                <w:sz w:val="17"/>
              </w:rPr>
              <w:t xml:space="preserve">, prix convenu (détail : transport, commission, assurance, taxes, total),</w:t>
            </w:r>
            <w:r>
              <w:rPr>
                <w:sz w:val="17"/>
              </w:rPr>
              <w:t xml:space="preserve"> </w:t>
            </w:r>
            <w:r>
              <w:rPr>
                <w:rStyle w:val="VerbatimChar"/>
                <w:sz w:val="17"/>
              </w:rPr>
              <w:t xml:space="preserve">status</w:t>
            </w:r>
            <w:r>
              <w:rPr>
                <w:sz w:val="17"/>
              </w:rPr>
              <w:t xml:space="preserve"> </w:t>
            </w:r>
            <w:r>
              <w:rPr>
                <w:sz w:val="17"/>
              </w:rPr>
              <w:t xml:space="preserve">(machine d’états 2.5),</w:t>
            </w:r>
            <w:r>
              <w:rPr>
                <w:sz w:val="17"/>
              </w:rPr>
              <w:t xml:space="preserve"> </w:t>
            </w:r>
            <w:r>
              <w:rPr>
                <w:rStyle w:val="VerbatimChar"/>
                <w:sz w:val="17"/>
              </w:rPr>
              <w:t xml:space="preserve">version</w:t>
            </w:r>
          </w:p>
        </w:tc>
        <w:tc>
          <w:tcPr>
            <w:tcW w:type="dxa" w:w="2886"/>
          </w:tcPr>
          <w:p>
            <w:pPr>
              <w:pStyle w:val="Compact"/>
              <w:spacing w:after="20" w:before="20"/>
            </w:pPr>
            <w:r>
              <w:rPr>
                <w:sz w:val="17"/>
              </w:rPr>
              <w:t xml:space="preserve">Le détail de prix est calculé et figé par le serveur.</w:t>
            </w:r>
          </w:p>
        </w:tc>
      </w:tr>
      <w:tr>
        <w:tc>
          <w:tcPr>
            <w:tcW w:type="dxa" w:w="1925"/>
            <w:shd w:val="clear" w:color="auto" w:fill="EAF2F5"/>
          </w:tcPr>
          <w:p>
            <w:pPr>
              <w:pStyle w:val="Compact"/>
              <w:spacing w:after="20" w:before="20"/>
            </w:pPr>
            <w:r>
              <w:rPr>
                <w:rStyle w:val="VerbatimChar"/>
                <w:sz w:val="17"/>
              </w:rPr>
              <w:t xml:space="preserve">payments</w:t>
            </w:r>
          </w:p>
        </w:tc>
        <w:tc>
          <w:tcPr>
            <w:tcW w:type="dxa" w:w="5111"/>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w:t>
            </w:r>
            <w:r>
              <w:rPr>
                <w:sz w:val="17"/>
              </w:rPr>
              <w:t xml:space="preserve"> </w:t>
            </w:r>
            <w:r>
              <w:rPr>
                <w:rStyle w:val="VerbatimChar"/>
                <w:sz w:val="17"/>
              </w:rPr>
              <w:t xml:space="preserve">stripe_payment_intent_id</w:t>
            </w:r>
            <w:r>
              <w:rPr>
                <w:sz w:val="17"/>
              </w:rPr>
              <w:t xml:space="preserve">,</w:t>
            </w:r>
            <w:r>
              <w:rPr>
                <w:sz w:val="17"/>
              </w:rPr>
              <w:t xml:space="preserve"> </w:t>
            </w:r>
            <w:r>
              <w:rPr>
                <w:rStyle w:val="VerbatimChar"/>
                <w:sz w:val="17"/>
              </w:rPr>
              <w:t xml:space="preserve">stripe_charge_id</w:t>
            </w:r>
            <w:r>
              <w:rPr>
                <w:sz w:val="17"/>
              </w:rPr>
              <w:t xml:space="preserve">, montant, devise, statut,</w:t>
            </w:r>
            <w:r>
              <w:rPr>
                <w:sz w:val="17"/>
              </w:rPr>
              <w:t xml:space="preserve"> </w:t>
            </w:r>
            <w:r>
              <w:rPr>
                <w:rStyle w:val="VerbatimChar"/>
                <w:sz w:val="17"/>
              </w:rPr>
              <w:t xml:space="preserve">transfer_group</w:t>
            </w:r>
          </w:p>
        </w:tc>
        <w:tc>
          <w:tcPr>
            <w:tcW w:type="dxa" w:w="2886"/>
            <w:shd w:val="clear" w:color="auto" w:fill="EAF2F5"/>
          </w:tcPr>
          <w:p>
            <w:pPr>
              <w:pStyle w:val="Compact"/>
              <w:spacing w:after="20" w:before="20"/>
            </w:pPr>
            <w:r>
              <w:rPr>
                <w:sz w:val="17"/>
              </w:rPr>
              <w:t xml:space="preserve">Écrit uniquement par le serveur.</w:t>
            </w:r>
          </w:p>
        </w:tc>
      </w:tr>
      <w:tr>
        <w:tc>
          <w:tcPr>
            <w:tcW w:type="dxa" w:w="1925"/>
          </w:tcPr>
          <w:p>
            <w:pPr>
              <w:pStyle w:val="Compact"/>
              <w:spacing w:after="20" w:before="20"/>
            </w:pPr>
            <w:r>
              <w:rPr>
                <w:rStyle w:val="VerbatimChar"/>
                <w:sz w:val="17"/>
              </w:rPr>
              <w:t xml:space="preserve">transfers</w:t>
            </w:r>
          </w:p>
        </w:tc>
        <w:tc>
          <w:tcPr>
            <w:tcW w:type="dxa" w:w="5111"/>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w:t>
            </w:r>
            <w:r>
              <w:rPr>
                <w:sz w:val="17"/>
              </w:rPr>
              <w:t xml:space="preserve"> </w:t>
            </w:r>
            <w:r>
              <w:rPr>
                <w:rStyle w:val="VerbatimChar"/>
                <w:sz w:val="17"/>
              </w:rPr>
              <w:t xml:space="preserve">stripe_transfer_id</w:t>
            </w:r>
            <w:r>
              <w:rPr>
                <w:sz w:val="17"/>
              </w:rPr>
              <w:t xml:space="preserve">, destination, montant, statut, éventuelle annulation (</w:t>
            </w:r>
            <w:r>
              <w:rPr>
                <w:rStyle w:val="VerbatimChar"/>
                <w:sz w:val="17"/>
              </w:rPr>
              <w:t xml:space="preserve">reversal</w:t>
            </w:r>
            <w:r>
              <w:rPr>
                <w:sz w:val="17"/>
              </w:rPr>
              <w:t xml:space="preserve">)</w:t>
            </w:r>
          </w:p>
        </w:tc>
        <w:tc>
          <w:tcPr>
            <w:tcW w:type="dxa" w:w="2886"/>
          </w:tcPr>
          <w:p>
            <w:pPr>
              <w:pStyle w:val="Compact"/>
              <w:spacing w:after="20" w:before="20"/>
            </w:pPr>
            <w:r>
              <w:rPr>
                <w:sz w:val="17"/>
              </w:rPr>
              <w:t xml:space="preserve">Créé seulement par la fonction de libération des fonds.</w:t>
            </w:r>
          </w:p>
        </w:tc>
      </w:tr>
      <w:tr>
        <w:tc>
          <w:tcPr>
            <w:tcW w:type="dxa" w:w="1925"/>
            <w:shd w:val="clear" w:color="auto" w:fill="EAF2F5"/>
          </w:tcPr>
          <w:p>
            <w:pPr>
              <w:pStyle w:val="Compact"/>
              <w:spacing w:after="20" w:before="20"/>
            </w:pPr>
            <w:r>
              <w:rPr>
                <w:rStyle w:val="VerbatimChar"/>
                <w:sz w:val="17"/>
              </w:rPr>
              <w:t xml:space="preserve">insurance_policies</w:t>
            </w:r>
          </w:p>
        </w:tc>
        <w:tc>
          <w:tcPr>
            <w:tcW w:type="dxa" w:w="5111"/>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partenaire, référence de police, statut</w:t>
            </w:r>
          </w:p>
        </w:tc>
        <w:tc>
          <w:tcPr>
            <w:tcW w:type="dxa" w:w="2886"/>
            <w:shd w:val="clear" w:color="auto" w:fill="EAF2F5"/>
          </w:tcPr>
          <w:p>
            <w:pPr>
              <w:pStyle w:val="Compact"/>
              <w:spacing w:after="20" w:before="20"/>
            </w:pPr>
            <w:r>
              <w:rPr>
                <w:sz w:val="17"/>
              </w:rPr>
              <w:t xml:space="preserve">Selon l’intégration avec l’assureur partenaire (</w:t>
            </w:r>
            <w:r>
              <w:rPr>
                <w:b/>
                <w:bCs/>
                <w:sz w:val="17"/>
              </w:rPr>
              <w:t xml:space="preserve">à confirmer</w:t>
            </w:r>
            <w:r>
              <w:rPr>
                <w:sz w:val="17"/>
              </w:rPr>
              <w:t xml:space="preserve">).</w:t>
            </w:r>
          </w:p>
        </w:tc>
      </w:tr>
      <w:tr>
        <w:tc>
          <w:tcPr>
            <w:tcW w:type="dxa" w:w="1925"/>
          </w:tcPr>
          <w:p>
            <w:pPr>
              <w:pStyle w:val="Compact"/>
              <w:spacing w:after="20" w:before="20"/>
            </w:pPr>
            <w:r>
              <w:rPr>
                <w:rStyle w:val="VerbatimChar"/>
                <w:sz w:val="17"/>
              </w:rPr>
              <w:t xml:space="preserve">disputes</w:t>
            </w:r>
            <w:r>
              <w:rPr>
                <w:sz w:val="17"/>
              </w:rPr>
              <w:t xml:space="preserve"> </w:t>
            </w:r>
            <w:r>
              <w:rPr>
                <w:sz w:val="17"/>
              </w:rPr>
              <w:t xml:space="preserve">(litiges)</w:t>
            </w:r>
          </w:p>
        </w:tc>
        <w:tc>
          <w:tcPr>
            <w:tcW w:type="dxa" w:w="5111"/>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ouvert par, motif, description, statut, décision,</w:t>
            </w:r>
            <w:r>
              <w:rPr>
                <w:sz w:val="17"/>
              </w:rPr>
              <w:t xml:space="preserve"> </w:t>
            </w:r>
            <w:r>
              <w:rPr>
                <w:rStyle w:val="VerbatimChar"/>
                <w:sz w:val="17"/>
              </w:rPr>
              <w:t xml:space="preserve">stripe_dispute_id</w:t>
            </w:r>
            <w:r>
              <w:rPr>
                <w:sz w:val="17"/>
              </w:rPr>
              <w:t xml:space="preserve"> </w:t>
            </w:r>
            <w:r>
              <w:rPr>
                <w:sz w:val="17"/>
              </w:rPr>
              <w:t xml:space="preserve">éventuel</w:t>
            </w:r>
          </w:p>
        </w:tc>
        <w:tc>
          <w:tcPr>
            <w:tcW w:type="dxa" w:w="2886"/>
          </w:tcPr>
          <w:p>
            <w:pPr>
              <w:pStyle w:val="Compact"/>
              <w:spacing w:after="20" w:before="20"/>
            </w:pPr>
            <w:r>
              <w:rPr>
                <w:sz w:val="17"/>
              </w:rPr>
              <w:t xml:space="preserve">Couvre les litiges internes et les rétrofacturations.</w:t>
            </w:r>
          </w:p>
        </w:tc>
      </w:tr>
      <w:tr>
        <w:tc>
          <w:tcPr>
            <w:tcW w:type="dxa" w:w="1925"/>
            <w:shd w:val="clear" w:color="auto" w:fill="EAF2F5"/>
          </w:tcPr>
          <w:p>
            <w:pPr>
              <w:pStyle w:val="Compact"/>
              <w:spacing w:after="20" w:before="20"/>
            </w:pPr>
            <w:r>
              <w:rPr>
                <w:rStyle w:val="VerbatimChar"/>
                <w:sz w:val="17"/>
              </w:rPr>
              <w:t xml:space="preserve">dispute_evidence</w:t>
            </w:r>
          </w:p>
        </w:tc>
        <w:tc>
          <w:tcPr>
            <w:tcW w:type="dxa" w:w="5111"/>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dispute_id</w:t>
            </w:r>
            <w:r>
              <w:rPr>
                <w:sz w:val="17"/>
              </w:rPr>
              <w:t xml:space="preserve">, chemin de stockage, type, auteur</w:t>
            </w:r>
          </w:p>
        </w:tc>
        <w:tc>
          <w:tcPr>
            <w:tcW w:type="dxa" w:w="2886"/>
            <w:shd w:val="clear" w:color="auto" w:fill="EAF2F5"/>
          </w:tcPr>
          <w:p>
            <w:pPr>
              <w:pStyle w:val="Compact"/>
              <w:spacing w:after="20" w:before="20"/>
            </w:pPr>
            <w:r>
              <w:rPr>
                <w:sz w:val="17"/>
              </w:rPr>
              <w:t xml:space="preserve">Photos dans un compartiment privé.</w:t>
            </w:r>
          </w:p>
        </w:tc>
      </w:tr>
      <w:tr>
        <w:tc>
          <w:tcPr>
            <w:tcW w:type="dxa" w:w="1925"/>
          </w:tcPr>
          <w:p>
            <w:pPr>
              <w:pStyle w:val="Compact"/>
              <w:spacing w:after="20" w:before="20"/>
            </w:pPr>
            <w:r>
              <w:rPr>
                <w:rStyle w:val="VerbatimChar"/>
                <w:sz w:val="17"/>
              </w:rPr>
              <w:t xml:space="preserve">delivery_proofs</w:t>
            </w:r>
          </w:p>
        </w:tc>
        <w:tc>
          <w:tcPr>
            <w:tcW w:type="dxa" w:w="5111"/>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type (remise au voyageur, livraison), photo, code de confirmation, horodatage</w:t>
            </w:r>
          </w:p>
        </w:tc>
        <w:tc>
          <w:tcPr>
            <w:tcW w:type="dxa" w:w="2886"/>
          </w:tcPr>
          <w:p>
            <w:pPr>
              <w:pStyle w:val="Compact"/>
              <w:spacing w:after="20" w:before="20"/>
            </w:pPr>
            <w:r>
              <w:rPr>
                <w:sz w:val="17"/>
              </w:rPr>
              <w:t xml:space="preserve">Preuves de remise.</w:t>
            </w:r>
          </w:p>
        </w:tc>
      </w:tr>
      <w:tr>
        <w:tc>
          <w:tcPr>
            <w:tcW w:type="dxa" w:w="1925"/>
            <w:shd w:val="clear" w:color="auto" w:fill="EAF2F5"/>
          </w:tcPr>
          <w:p>
            <w:pPr>
              <w:pStyle w:val="Compact"/>
              <w:spacing w:after="20" w:before="20"/>
            </w:pPr>
            <w:r>
              <w:rPr>
                <w:rStyle w:val="VerbatimChar"/>
                <w:sz w:val="17"/>
              </w:rPr>
              <w:t xml:space="preserve">reviews</w:t>
            </w:r>
            <w:r>
              <w:rPr>
                <w:sz w:val="17"/>
              </w:rPr>
              <w:t xml:space="preserve"> </w:t>
            </w:r>
            <w:r>
              <w:rPr>
                <w:sz w:val="17"/>
              </w:rPr>
              <w:t xml:space="preserve">(avis)</w:t>
            </w:r>
          </w:p>
        </w:tc>
        <w:tc>
          <w:tcPr>
            <w:tcW w:type="dxa" w:w="5111"/>
            <w:shd w:val="clear" w:color="auto" w:fill="EAF2F5"/>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auteur, cible, note, commentaire, statut de modération</w:t>
            </w:r>
          </w:p>
        </w:tc>
        <w:tc>
          <w:tcPr>
            <w:tcW w:type="dxa" w:w="2886"/>
            <w:shd w:val="clear" w:color="auto" w:fill="EAF2F5"/>
          </w:tcPr>
          <w:p>
            <w:pPr>
              <w:pStyle w:val="Compact"/>
              <w:spacing w:after="20" w:before="20"/>
            </w:pPr>
            <w:r>
              <w:rPr>
                <w:sz w:val="17"/>
              </w:rPr>
              <w:t xml:space="preserve">Un avis par partie et par réservation.</w:t>
            </w:r>
          </w:p>
        </w:tc>
      </w:tr>
      <w:tr>
        <w:tc>
          <w:tcPr>
            <w:tcW w:type="dxa" w:w="1925"/>
          </w:tcPr>
          <w:p>
            <w:pPr>
              <w:pStyle w:val="Compact"/>
              <w:spacing w:after="20" w:before="20"/>
            </w:pPr>
            <w:r>
              <w:rPr>
                <w:rStyle w:val="VerbatimChar"/>
                <w:sz w:val="17"/>
              </w:rPr>
              <w:t xml:space="preserve">conversations</w:t>
            </w:r>
            <w:r>
              <w:rPr>
                <w:sz w:val="17"/>
              </w:rPr>
              <w:t xml:space="preserve"> </w:t>
            </w:r>
            <w:r>
              <w:rPr>
                <w:sz w:val="17"/>
              </w:rPr>
              <w:t xml:space="preserve">/</w:t>
            </w:r>
            <w:r>
              <w:rPr>
                <w:sz w:val="17"/>
              </w:rPr>
              <w:t xml:space="preserve"> </w:t>
            </w:r>
            <w:r>
              <w:rPr>
                <w:rStyle w:val="VerbatimChar"/>
                <w:sz w:val="17"/>
              </w:rPr>
              <w:t xml:space="preserve">messages</w:t>
            </w:r>
          </w:p>
        </w:tc>
        <w:tc>
          <w:tcPr>
            <w:tcW w:type="dxa" w:w="5111"/>
          </w:tcPr>
          <w:p>
            <w:pPr>
              <w:pStyle w:val="Compact"/>
              <w:spacing w:after="20" w:before="20"/>
            </w:pPr>
            <w:r>
              <w:rPr>
                <w:rStyle w:val="VerbatimChar"/>
                <w:sz w:val="17"/>
              </w:rPr>
              <w:t xml:space="preserve">id</w:t>
            </w:r>
            <w:r>
              <w:rPr>
                <w:sz w:val="17"/>
              </w:rPr>
              <w:t xml:space="preserve">,</w:t>
            </w:r>
            <w:r>
              <w:rPr>
                <w:sz w:val="17"/>
              </w:rPr>
              <w:t xml:space="preserve"> </w:t>
            </w:r>
            <w:r>
              <w:rPr>
                <w:rStyle w:val="VerbatimChar"/>
                <w:sz w:val="17"/>
              </w:rPr>
              <w:t xml:space="preserve">booking_id</w:t>
            </w:r>
            <w:r>
              <w:rPr>
                <w:sz w:val="17"/>
              </w:rPr>
              <w:t xml:space="preserve">, participants ;</w:t>
            </w:r>
            <w:r>
              <w:rPr>
                <w:sz w:val="17"/>
              </w:rPr>
              <w:t xml:space="preserve"> </w:t>
            </w:r>
            <w:r>
              <w:rPr>
                <w:rStyle w:val="VerbatimChar"/>
                <w:sz w:val="17"/>
              </w:rPr>
              <w:t xml:space="preserve">message.id</w:t>
            </w:r>
            <w:r>
              <w:rPr>
                <w:sz w:val="17"/>
              </w:rPr>
              <w:t xml:space="preserve">, auteur, contenu, statut de modération, signalé</w:t>
            </w:r>
          </w:p>
        </w:tc>
        <w:tc>
          <w:tcPr>
            <w:tcW w:type="dxa" w:w="2886"/>
          </w:tcPr>
          <w:p>
            <w:pPr>
              <w:pStyle w:val="Compact"/>
              <w:spacing w:after="20" w:before="20"/>
            </w:pPr>
            <w:r>
              <w:rPr>
                <w:sz w:val="17"/>
              </w:rPr>
              <w:t xml:space="preserve">Accessibles seulement aux participants (RLS).</w:t>
            </w:r>
          </w:p>
        </w:tc>
      </w:tr>
      <w:tr>
        <w:tc>
          <w:tcPr>
            <w:tcW w:type="dxa" w:w="1925"/>
            <w:shd w:val="clear" w:color="auto" w:fill="EAF2F5"/>
          </w:tcPr>
          <w:p>
            <w:pPr>
              <w:pStyle w:val="Compact"/>
              <w:spacing w:after="20" w:before="20"/>
            </w:pPr>
            <w:r>
              <w:rPr>
                <w:rStyle w:val="VerbatimChar"/>
                <w:sz w:val="17"/>
              </w:rPr>
              <w:t xml:space="preserve">reports</w:t>
            </w:r>
            <w:r>
              <w:rPr>
                <w:sz w:val="17"/>
              </w:rPr>
              <w:t xml:space="preserve"> </w:t>
            </w:r>
            <w:r>
              <w:rPr>
                <w:sz w:val="17"/>
              </w:rPr>
              <w:t xml:space="preserve">(signalements)</w:t>
            </w:r>
          </w:p>
        </w:tc>
        <w:tc>
          <w:tcPr>
            <w:tcW w:type="dxa" w:w="5111"/>
            <w:shd w:val="clear" w:color="auto" w:fill="EAF2F5"/>
          </w:tcPr>
          <w:p>
            <w:pPr>
              <w:pStyle w:val="Compact"/>
              <w:spacing w:after="20" w:before="20"/>
            </w:pPr>
            <w:r>
              <w:rPr>
                <w:rStyle w:val="VerbatimChar"/>
                <w:sz w:val="17"/>
              </w:rPr>
              <w:t xml:space="preserve">id</w:t>
            </w:r>
            <w:r>
              <w:rPr>
                <w:sz w:val="17"/>
              </w:rPr>
              <w:t xml:space="preserve">, auteur, cible (utilisateur, message, photo, annonce), motif, statut</w:t>
            </w:r>
          </w:p>
        </w:tc>
        <w:tc>
          <w:tcPr>
            <w:tcW w:type="dxa" w:w="2886"/>
            <w:shd w:val="clear" w:color="auto" w:fill="EAF2F5"/>
          </w:tcPr>
          <w:p>
            <w:pPr>
              <w:pStyle w:val="Compact"/>
              <w:spacing w:after="20" w:before="20"/>
            </w:pPr>
            <w:r>
              <w:rPr>
                <w:sz w:val="17"/>
              </w:rPr>
              <w:t xml:space="preserve">Alimente la modération et l’anti-fraude.</w:t>
            </w:r>
          </w:p>
        </w:tc>
      </w:tr>
      <w:tr>
        <w:tc>
          <w:tcPr>
            <w:tcW w:type="dxa" w:w="1925"/>
          </w:tcPr>
          <w:p>
            <w:pPr>
              <w:pStyle w:val="Compact"/>
              <w:spacing w:after="20" w:before="20"/>
            </w:pPr>
            <w:r>
              <w:rPr>
                <w:rStyle w:val="VerbatimChar"/>
                <w:sz w:val="17"/>
              </w:rPr>
              <w:t xml:space="preserve">stripe_events</w:t>
            </w:r>
          </w:p>
        </w:tc>
        <w:tc>
          <w:tcPr>
            <w:tcW w:type="dxa" w:w="5111"/>
          </w:tcPr>
          <w:p>
            <w:pPr>
              <w:pStyle w:val="Compact"/>
              <w:spacing w:after="20" w:before="20"/>
            </w:pPr>
            <w:r>
              <w:rPr>
                <w:rStyle w:val="VerbatimChar"/>
                <w:sz w:val="17"/>
              </w:rPr>
              <w:t xml:space="preserve">event_id</w:t>
            </w:r>
            <w:r>
              <w:rPr>
                <w:sz w:val="17"/>
              </w:rPr>
              <w:t xml:space="preserve"> </w:t>
            </w:r>
            <w:r>
              <w:rPr>
                <w:sz w:val="17"/>
              </w:rPr>
              <w:t xml:space="preserve">(unique), type, reçu le, traité le, résultat</w:t>
            </w:r>
          </w:p>
        </w:tc>
        <w:tc>
          <w:tcPr>
            <w:tcW w:type="dxa" w:w="2886"/>
          </w:tcPr>
          <w:p>
            <w:pPr>
              <w:pStyle w:val="Compact"/>
              <w:spacing w:after="20" w:before="20"/>
            </w:pPr>
            <w:r>
              <w:rPr>
                <w:sz w:val="17"/>
              </w:rPr>
              <w:t xml:space="preserve">Idempotence des webhooks.</w:t>
            </w:r>
          </w:p>
        </w:tc>
      </w:tr>
      <w:tr>
        <w:tc>
          <w:tcPr>
            <w:tcW w:type="dxa" w:w="1925"/>
            <w:shd w:val="clear" w:color="auto" w:fill="EAF2F5"/>
          </w:tcPr>
          <w:p>
            <w:pPr>
              <w:pStyle w:val="Compact"/>
              <w:spacing w:after="20" w:before="20"/>
            </w:pPr>
            <w:r>
              <w:rPr>
                <w:rStyle w:val="VerbatimChar"/>
                <w:sz w:val="17"/>
              </w:rPr>
              <w:t xml:space="preserve">audit_log</w:t>
            </w:r>
          </w:p>
        </w:tc>
        <w:tc>
          <w:tcPr>
            <w:tcW w:type="dxa" w:w="5111"/>
            <w:shd w:val="clear" w:color="auto" w:fill="EAF2F5"/>
          </w:tcPr>
          <w:p>
            <w:pPr>
              <w:pStyle w:val="Compact"/>
              <w:spacing w:after="20" w:before="20"/>
            </w:pPr>
            <w:r>
              <w:rPr>
                <w:sz w:val="17"/>
              </w:rPr>
              <w:t xml:space="preserve">acteur, action, ressource, horodatage, identifiants techniques</w:t>
            </w:r>
          </w:p>
        </w:tc>
        <w:tc>
          <w:tcPr>
            <w:tcW w:type="dxa" w:w="2886"/>
            <w:shd w:val="clear" w:color="auto" w:fill="EAF2F5"/>
          </w:tcPr>
          <w:p>
            <w:pPr>
              <w:pStyle w:val="Compact"/>
              <w:spacing w:after="20" w:before="20"/>
            </w:pPr>
            <w:r>
              <w:rPr>
                <w:b/>
                <w:bCs/>
                <w:sz w:val="17"/>
              </w:rPr>
              <w:t xml:space="preserve">Sans données personnelles en clair.</w:t>
            </w:r>
          </w:p>
        </w:tc>
      </w:tr>
      <w:tr>
        <w:tc>
          <w:tcPr>
            <w:tcW w:type="dxa" w:w="1925"/>
          </w:tcPr>
          <w:p>
            <w:pPr>
              <w:pStyle w:val="Compact"/>
              <w:spacing w:after="20" w:before="20"/>
            </w:pPr>
            <w:r>
              <w:rPr>
                <w:rStyle w:val="VerbatimChar"/>
                <w:sz w:val="17"/>
              </w:rPr>
              <w:t xml:space="preserve">security_incidents</w:t>
            </w:r>
          </w:p>
        </w:tc>
        <w:tc>
          <w:tcPr>
            <w:tcW w:type="dxa" w:w="5111"/>
          </w:tcPr>
          <w:p>
            <w:pPr>
              <w:pStyle w:val="Compact"/>
              <w:spacing w:after="20" w:before="20"/>
            </w:pPr>
            <w:r>
              <w:rPr>
                <w:sz w:val="17"/>
              </w:rPr>
              <w:t xml:space="preserve">date, description, données touchées, évaluation du risque, mesures, avis transmis</w:t>
            </w:r>
          </w:p>
        </w:tc>
        <w:tc>
          <w:tcPr>
            <w:tcW w:type="dxa" w:w="2886"/>
          </w:tcPr>
          <w:p>
            <w:pPr>
              <w:pStyle w:val="Compact"/>
              <w:spacing w:after="20" w:before="20"/>
            </w:pPr>
            <w:r>
              <w:rPr>
                <w:sz w:val="17"/>
              </w:rPr>
              <w:t xml:space="preserve">Registre des incidents (Loi 25).</w:t>
            </w:r>
          </w:p>
        </w:tc>
      </w:tr>
    </w:tbl>
    <w:bookmarkEnd w:id="18"/>
    <w:bookmarkStart w:id="22" w:name="machine-détats-dune-livraison"/>
    <w:p>
      <w:pPr>
        <w:pStyle w:val="Heading2"/>
      </w:pPr>
      <w:r>
        <w:t xml:space="preserve">2.5 Machine d’états d’une livraison</w:t>
      </w:r>
    </w:p>
    <w:p>
      <w:pPr>
        <w:pStyle w:val="CaptionedFigure"/>
      </w:pPr>
      <w:r>
        <w:drawing>
          <wp:inline>
            <wp:extent cx="3419999" cy="5871581"/>
            <wp:effectExtent b="0" l="0" r="0" t="0"/>
            <wp:docPr descr="Figure 2 — Machine d’états d’une livraison (source Mermaid dans la version .md)" title="" id="20" name="Picture"/>
            <a:graphic>
              <a:graphicData uri="http://schemas.openxmlformats.org/drawingml/2006/picture">
                <pic:pic>
                  <pic:nvPicPr>
                    <pic:cNvPr descr="/workspace/volis/cdc/d2.png" id="21" name="Picture"/>
                    <pic:cNvPicPr>
                      <a:picLocks noChangeArrowheads="1" noChangeAspect="1"/>
                    </pic:cNvPicPr>
                  </pic:nvPicPr>
                  <pic:blipFill>
                    <a:blip r:embed="rId19"/>
                    <a:stretch>
                      <a:fillRect/>
                    </a:stretch>
                  </pic:blipFill>
                  <pic:spPr bwMode="auto">
                    <a:xfrm>
                      <a:off x="0" y="0"/>
                      <a:ext cx="3419999" cy="5871581"/>
                    </a:xfrm>
                    <a:prstGeom prst="rect">
                      <a:avLst/>
                    </a:prstGeom>
                    <a:noFill/>
                    <a:ln w="9525">
                      <a:noFill/>
                      <a:headEnd/>
                      <a:tailEnd/>
                    </a:ln>
                  </pic:spPr>
                </pic:pic>
              </a:graphicData>
            </a:graphic>
          </wp:inline>
        </w:drawing>
      </w:r>
    </w:p>
    <w:p>
      <w:pPr>
        <w:pStyle w:val="ImageCaption"/>
      </w:pPr>
      <w:r>
        <w:t xml:space="preserve">Figure 2 — Machine d’états d’une livraison (source Mermaid dans la version .md)</w:t>
      </w:r>
    </w:p>
    <w:p>
      <w:pPr>
        <w:pStyle w:val="BodyText"/>
      </w:pPr>
      <w:r>
        <w:t xml:space="preserve">Règles :</w:t>
      </w:r>
    </w:p>
    <w:p>
      <w:pPr>
        <w:pStyle w:val="Compact"/>
        <w:numPr>
          <w:ilvl w:val="0"/>
          <w:numId w:val="1002"/>
        </w:numPr>
      </w:pPr>
      <w:r>
        <w:t xml:space="preserve">Chaque transition est faite par une fonction serveur qui vérifie l’état courant, le rôle de l’appelant et la version de la ligne (verrou optimiste). Les transitions non prévues sont refusées.</w:t>
      </w:r>
    </w:p>
    <w:p>
      <w:pPr>
        <w:pStyle w:val="Compact"/>
        <w:numPr>
          <w:ilvl w:val="0"/>
          <w:numId w:val="1002"/>
        </w:numPr>
      </w:pPr>
      <w:r>
        <w:rPr>
          <w:rStyle w:val="VerbatimChar"/>
        </w:rPr>
        <w:t xml:space="preserve">PayeeRetenue</w:t>
      </w:r>
      <w:r>
        <w:t xml:space="preserve"> </w:t>
      </w:r>
      <w:r>
        <w:t xml:space="preserve">n’est atteint que sur réception du webhook Stripe, jamais sur un retour de l’app.</w:t>
      </w:r>
    </w:p>
    <w:p>
      <w:pPr>
        <w:pStyle w:val="Compact"/>
        <w:numPr>
          <w:ilvl w:val="0"/>
          <w:numId w:val="1002"/>
        </w:numPr>
      </w:pPr>
      <w:r>
        <w:rPr>
          <w:rStyle w:val="VerbatimChar"/>
        </w:rPr>
        <w:t xml:space="preserve">FondsLiberes</w:t>
      </w:r>
      <w:r>
        <w:t xml:space="preserve"> </w:t>
      </w:r>
      <w:r>
        <w:t xml:space="preserve">déclenche un</w:t>
      </w:r>
      <w:r>
        <w:t xml:space="preserve"> </w:t>
      </w:r>
      <w:r>
        <w:rPr>
          <w:rStyle w:val="VerbatimChar"/>
        </w:rPr>
        <w:t xml:space="preserve">Transfer</w:t>
      </w:r>
      <w:r>
        <w:t xml:space="preserve"> </w:t>
      </w:r>
      <w:r>
        <w:t xml:space="preserve">Stripe avec</w:t>
      </w:r>
      <w:r>
        <w:t xml:space="preserve"> </w:t>
      </w:r>
      <w:r>
        <w:rPr>
          <w:rStyle w:val="VerbatimChar"/>
        </w:rPr>
        <w:t xml:space="preserve">source_transaction</w:t>
      </w:r>
      <w:r>
        <w:t xml:space="preserve"> </w:t>
      </w:r>
      <w:r>
        <w:t xml:space="preserve">(doc Stripe : le transfert est accepté mais n’est exécuté que lorsque les fonds du paiement sont disponibles).</w:t>
      </w:r>
    </w:p>
    <w:p>
      <w:pPr>
        <w:pStyle w:val="Compact"/>
        <w:numPr>
          <w:ilvl w:val="0"/>
          <w:numId w:val="1002"/>
        </w:numPr>
      </w:pPr>
      <w:r>
        <w:t xml:space="preserve">Une rétrofacturation (</w:t>
      </w:r>
      <w:r>
        <w:rPr>
          <w:rStyle w:val="VerbatimChar"/>
        </w:rPr>
        <w:t xml:space="preserve">charge.dispute.created</w:t>
      </w:r>
      <w:r>
        <w:t xml:space="preserve">) fait passer la réservation en</w:t>
      </w:r>
      <w:r>
        <w:t xml:space="preserve"> </w:t>
      </w:r>
      <w:r>
        <w:rPr>
          <w:rStyle w:val="VerbatimChar"/>
        </w:rPr>
        <w:t xml:space="preserve">Litige</w:t>
      </w:r>
      <w:r>
        <w:t xml:space="preserve">, quel que soit son état. Si le transfert a déjà été fait, une annulation de transfert (reversal) peut être nécessaire selon les conditions (</w:t>
      </w:r>
      <w:r>
        <w:rPr>
          <w:b/>
          <w:bCs/>
        </w:rPr>
        <w:t xml:space="preserve">à confirmer avec l’équipe juridique</w:t>
      </w:r>
      <w:r>
        <w:t xml:space="preserve">, section 6 du volet légal).</w:t>
      </w:r>
    </w:p>
    <w:p>
      <w:pPr>
        <w:pStyle w:val="Compact"/>
        <w:numPr>
          <w:ilvl w:val="0"/>
          <w:numId w:val="1002"/>
        </w:numPr>
      </w:pPr>
      <w:r>
        <w:t xml:space="preserve">La durée maximale pendant laquelle les fonds peuvent rester sur le solde de la plateforme avant le transfert est</w:t>
      </w:r>
      <w:r>
        <w:t xml:space="preserve"> </w:t>
      </w:r>
      <w:r>
        <w:rPr>
          <w:b/>
          <w:bCs/>
        </w:rPr>
        <w:t xml:space="preserve">à confirmer avec Stripe</w:t>
      </w:r>
      <w:r>
        <w:t xml:space="preserve">. Les délais de contestation et de libération sont</w:t>
      </w:r>
      <w:r>
        <w:t xml:space="preserve"> </w:t>
      </w:r>
      <w:r>
        <w:rPr>
          <w:b/>
          <w:bCs/>
        </w:rPr>
        <w:t xml:space="preserve">à décider</w:t>
      </w:r>
      <w:r>
        <w:t xml:space="preserve">.</w:t>
      </w:r>
    </w:p>
    <w:bookmarkEnd w:id="22"/>
    <w:bookmarkStart w:id="23" w:name="webhooks-stripe-à-traiter"/>
    <w:p>
      <w:pPr>
        <w:pStyle w:val="Heading2"/>
      </w:pPr>
      <w:r>
        <w:t xml:space="preserve">2.6 Webhooks Stripe à traiter</w:t>
      </w:r>
    </w:p>
    <w:p>
      <w:pPr>
        <w:pStyle w:val="FirstParagraph"/>
      </w:pPr>
      <w:r>
        <w:t xml:space="preserve">Deux points de terminaison distincts : un pour les événements du compte plateforme, un pour les événements des comptes connectés (Connect). Les deux vérifient la signature et sont idempotents (voir SEC-08).</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3293"/>
        <w:gridCol w:w="1934"/>
        <w:gridCol w:w="4693"/>
      </w:tblGrid>
      <w:tr>
        <w:trPr>
          <w:tblHeader w:val="on"/>
          <w:tblHeader w:val="true"/>
        </w:trPr>
        <w:tc>
          <w:tcPr>
            <w:tcW w:type="dxa" w:w="3293"/>
            <w:shd w:val="clear" w:color="auto" w:fill="1F3A5F"/>
          </w:tcPr>
          <w:p>
            <w:pPr>
              <w:pStyle w:val="Compact"/>
              <w:spacing w:after="20" w:before="20"/>
            </w:pPr>
            <w:r>
              <w:rPr>
                <w:b/>
                <w:color w:val="FFFFFF"/>
                <w:sz w:val="17"/>
              </w:rPr>
              <w:t xml:space="preserve">Événement</w:t>
            </w:r>
          </w:p>
        </w:tc>
        <w:tc>
          <w:tcPr>
            <w:tcW w:type="dxa" w:w="1934"/>
            <w:shd w:val="clear" w:color="auto" w:fill="1F3A5F"/>
          </w:tcPr>
          <w:p>
            <w:pPr>
              <w:pStyle w:val="Compact"/>
              <w:spacing w:after="20" w:before="20"/>
            </w:pPr>
            <w:r>
              <w:rPr>
                <w:b/>
                <w:color w:val="FFFFFF"/>
                <w:sz w:val="17"/>
              </w:rPr>
              <w:t xml:space="preserve">Point de terminaison</w:t>
            </w:r>
          </w:p>
        </w:tc>
        <w:tc>
          <w:tcPr>
            <w:tcW w:type="dxa" w:w="4694"/>
            <w:shd w:val="clear" w:color="auto" w:fill="1F3A5F"/>
          </w:tcPr>
          <w:p>
            <w:pPr>
              <w:pStyle w:val="Compact"/>
              <w:spacing w:after="20" w:before="20"/>
            </w:pPr>
            <w:r>
              <w:rPr>
                <w:b/>
                <w:color w:val="FFFFFF"/>
                <w:sz w:val="17"/>
              </w:rPr>
              <w:t xml:space="preserve">Action</w:t>
            </w:r>
          </w:p>
        </w:tc>
      </w:tr>
      <w:tr>
        <w:tc>
          <w:tcPr>
            <w:tcW w:type="dxa" w:w="3293"/>
          </w:tcPr>
          <w:p>
            <w:pPr>
              <w:pStyle w:val="Compact"/>
              <w:spacing w:after="20" w:before="20"/>
            </w:pPr>
            <w:r>
              <w:rPr>
                <w:rStyle w:val="VerbatimChar"/>
                <w:sz w:val="17"/>
              </w:rPr>
              <w:t xml:space="preserve">payment_intent.succeeded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Réservation →</w:t>
            </w:r>
            <w:r>
              <w:rPr>
                <w:sz w:val="17"/>
              </w:rPr>
              <w:t xml:space="preserve"> </w:t>
            </w:r>
            <w:r>
              <w:rPr>
                <w:rStyle w:val="VerbatimChar"/>
                <w:sz w:val="17"/>
              </w:rPr>
              <w:t xml:space="preserve">PayeeRetenue</w:t>
            </w:r>
            <w:r>
              <w:rPr>
                <w:sz w:val="17"/>
              </w:rPr>
              <w:t xml:space="preserve"> </w:t>
            </w:r>
            <w:r>
              <w:rPr>
                <w:sz w:val="17"/>
              </w:rPr>
              <w:t xml:space="preserve">; enregistrer</w:t>
            </w:r>
            <w:r>
              <w:rPr>
                <w:sz w:val="17"/>
              </w:rPr>
              <w:t xml:space="preserve"> </w:t>
            </w:r>
            <w:r>
              <w:rPr>
                <w:rStyle w:val="VerbatimChar"/>
                <w:sz w:val="17"/>
              </w:rPr>
              <w:t xml:space="preserve">charge_id</w:t>
            </w:r>
            <w:r>
              <w:rPr>
                <w:sz w:val="17"/>
              </w:rPr>
              <w:t xml:space="preserve">.</w:t>
            </w:r>
          </w:p>
        </w:tc>
      </w:tr>
      <w:tr>
        <w:tc>
          <w:tcPr>
            <w:tcW w:type="dxa" w:w="3293"/>
            <w:shd w:val="clear" w:color="auto" w:fill="EAF2F5"/>
          </w:tcPr>
          <w:p>
            <w:pPr>
              <w:pStyle w:val="Compact"/>
              <w:spacing w:after="20" w:before="20"/>
            </w:pPr>
            <w:r>
              <w:rPr>
                <w:rStyle w:val="VerbatimChar"/>
                <w:sz w:val="17"/>
              </w:rPr>
              <w:t xml:space="preserve">payment_intent.payment_failed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Informer l’expéditeur ; la réservation reste</w:t>
            </w:r>
            <w:r>
              <w:rPr>
                <w:sz w:val="17"/>
              </w:rPr>
              <w:t xml:space="preserve"> </w:t>
            </w:r>
            <w:r>
              <w:rPr>
                <w:rStyle w:val="VerbatimChar"/>
                <w:sz w:val="17"/>
              </w:rPr>
              <w:t xml:space="preserve">Reservee</w:t>
            </w:r>
            <w:r>
              <w:rPr>
                <w:sz w:val="17"/>
              </w:rPr>
              <w:t xml:space="preserve">.</w:t>
            </w:r>
          </w:p>
        </w:tc>
      </w:tr>
      <w:tr>
        <w:tc>
          <w:tcPr>
            <w:tcW w:type="dxa" w:w="3293"/>
          </w:tcPr>
          <w:p>
            <w:pPr>
              <w:pStyle w:val="Compact"/>
              <w:spacing w:after="20" w:before="20"/>
            </w:pPr>
            <w:r>
              <w:rPr>
                <w:rStyle w:val="VerbatimChar"/>
                <w:sz w:val="17"/>
              </w:rPr>
              <w:t xml:space="preserve">payment_intent.canceled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Réservation annulée si applicable.</w:t>
            </w:r>
          </w:p>
        </w:tc>
      </w:tr>
      <w:tr>
        <w:tc>
          <w:tcPr>
            <w:tcW w:type="dxa" w:w="3293"/>
            <w:shd w:val="clear" w:color="auto" w:fill="EAF2F5"/>
          </w:tcPr>
          <w:p>
            <w:pPr>
              <w:pStyle w:val="Compact"/>
              <w:spacing w:after="20" w:before="20"/>
            </w:pPr>
            <w:r>
              <w:rPr>
                <w:rStyle w:val="VerbatimChar"/>
                <w:sz w:val="17"/>
              </w:rPr>
              <w:t xml:space="preserve">charge.refunded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Réservation →</w:t>
            </w:r>
            <w:r>
              <w:rPr>
                <w:sz w:val="17"/>
              </w:rPr>
              <w:t xml:space="preserve"> </w:t>
            </w:r>
            <w:r>
              <w:rPr>
                <w:rStyle w:val="VerbatimChar"/>
                <w:sz w:val="17"/>
              </w:rPr>
              <w:t xml:space="preserve">Remboursee</w:t>
            </w:r>
            <w:r>
              <w:rPr>
                <w:sz w:val="17"/>
              </w:rPr>
              <w:t xml:space="preserve"> </w:t>
            </w:r>
            <w:r>
              <w:rPr>
                <w:sz w:val="17"/>
              </w:rPr>
              <w:t xml:space="preserve">; reçu de remboursement.</w:t>
            </w:r>
          </w:p>
        </w:tc>
      </w:tr>
      <w:tr>
        <w:tc>
          <w:tcPr>
            <w:tcW w:type="dxa" w:w="3293"/>
          </w:tcPr>
          <w:p>
            <w:pPr>
              <w:pStyle w:val="Compact"/>
              <w:spacing w:after="20" w:before="20"/>
            </w:pPr>
            <w:r>
              <w:rPr>
                <w:rStyle w:val="VerbatimChar"/>
                <w:sz w:val="17"/>
              </w:rPr>
              <w:t xml:space="preserve">charge.dispute.created</w:t>
            </w:r>
            <w:r>
              <w:rPr>
                <w:sz w:val="17"/>
              </w:rPr>
              <w:t xml:space="preserve"> </w:t>
            </w:r>
            <w:r>
              <w:rPr>
                <w:sz w:val="17"/>
              </w:rPr>
              <w:t xml:space="preserve">/</w:t>
            </w:r>
            <w:r>
              <w:rPr>
                <w:sz w:val="17"/>
              </w:rPr>
              <w:t xml:space="preserve"> </w:t>
            </w:r>
            <w:r>
              <w:rPr>
                <w:rStyle w:val="VerbatimChar"/>
                <w:sz w:val="17"/>
              </w:rPr>
              <w:t xml:space="preserve">charge.dispute.updated</w:t>
            </w:r>
            <w:r>
              <w:rPr>
                <w:sz w:val="17"/>
              </w:rPr>
              <w:t xml:space="preserve"> </w:t>
            </w:r>
            <w:r>
              <w:rPr>
                <w:sz w:val="17"/>
              </w:rPr>
              <w:t xml:space="preserve">/</w:t>
            </w:r>
            <w:r>
              <w:rPr>
                <w:sz w:val="17"/>
              </w:rPr>
              <w:t xml:space="preserve"> </w:t>
            </w:r>
            <w:r>
              <w:rPr>
                <w:rStyle w:val="VerbatimChar"/>
                <w:sz w:val="17"/>
              </w:rPr>
              <w:t xml:space="preserve">charge.dispute.closed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Ouvrir ou mettre à jour le litige ; préparer les preuves de remise ; suspendre le transfert.</w:t>
            </w:r>
          </w:p>
        </w:tc>
      </w:tr>
      <w:tr>
        <w:tc>
          <w:tcPr>
            <w:tcW w:type="dxa" w:w="3293"/>
            <w:shd w:val="clear" w:color="auto" w:fill="EAF2F5"/>
          </w:tcPr>
          <w:p>
            <w:pPr>
              <w:pStyle w:val="Compact"/>
              <w:spacing w:after="20" w:before="20"/>
            </w:pPr>
            <w:r>
              <w:rPr>
                <w:rStyle w:val="VerbatimChar"/>
                <w:sz w:val="17"/>
              </w:rPr>
              <w:t xml:space="preserve">radar.early_fraud_warning.created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Signal de fraude : suspendre le transfert, révision manuelle.</w:t>
            </w:r>
          </w:p>
        </w:tc>
      </w:tr>
      <w:tr>
        <w:tc>
          <w:tcPr>
            <w:tcW w:type="dxa" w:w="3293"/>
          </w:tcPr>
          <w:p>
            <w:pPr>
              <w:pStyle w:val="Compact"/>
              <w:spacing w:after="20" w:before="20"/>
            </w:pPr>
            <w:r>
              <w:rPr>
                <w:rStyle w:val="VerbatimChar"/>
                <w:sz w:val="17"/>
              </w:rPr>
              <w:t xml:space="preserve">transfer.created</w:t>
            </w:r>
            <w:r>
              <w:rPr>
                <w:sz w:val="17"/>
              </w:rPr>
              <w:t xml:space="preserve"> </w:t>
            </w:r>
            <w:r>
              <w:rPr>
                <w:sz w:val="17"/>
              </w:rPr>
              <w:t xml:space="preserve">/</w:t>
            </w:r>
            <w:r>
              <w:rPr>
                <w:sz w:val="17"/>
              </w:rPr>
              <w:t xml:space="preserve"> </w:t>
            </w:r>
            <w:r>
              <w:rPr>
                <w:rStyle w:val="VerbatimChar"/>
                <w:sz w:val="17"/>
              </w:rPr>
              <w:t xml:space="preserve">transfer.reversed</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sz w:val="17"/>
              </w:rPr>
              <w:t xml:space="preserve">Mettre à jour</w:t>
            </w:r>
            <w:r>
              <w:rPr>
                <w:sz w:val="17"/>
              </w:rPr>
              <w:t xml:space="preserve"> </w:t>
            </w:r>
            <w:r>
              <w:rPr>
                <w:rStyle w:val="VerbatimChar"/>
                <w:sz w:val="17"/>
              </w:rPr>
              <w:t xml:space="preserve">transfers</w:t>
            </w:r>
            <w:r>
              <w:rPr>
                <w:sz w:val="17"/>
              </w:rPr>
              <w:t xml:space="preserve">. Noms exacts des événements de transfert disponibles dans la version d’API retenue :</w:t>
            </w:r>
            <w:r>
              <w:rPr>
                <w:sz w:val="17"/>
              </w:rPr>
              <w:t xml:space="preserve"> </w:t>
            </w:r>
            <w:r>
              <w:rPr>
                <w:b/>
                <w:bCs/>
                <w:sz w:val="17"/>
              </w:rPr>
              <w:t xml:space="preserve">à confirmer</w:t>
            </w:r>
            <w:r>
              <w:rPr>
                <w:sz w:val="17"/>
              </w:rPr>
              <w:t xml:space="preserve">.</w:t>
            </w:r>
          </w:p>
        </w:tc>
      </w:tr>
      <w:tr>
        <w:tc>
          <w:tcPr>
            <w:tcW w:type="dxa" w:w="3293"/>
            <w:shd w:val="clear" w:color="auto" w:fill="EAF2F5"/>
          </w:tcPr>
          <w:p>
            <w:pPr>
              <w:pStyle w:val="Compact"/>
              <w:spacing w:after="20" w:before="20"/>
            </w:pPr>
            <w:r>
              <w:rPr>
                <w:rStyle w:val="VerbatimChar"/>
                <w:sz w:val="17"/>
              </w:rPr>
              <w:t xml:space="preserve">identity.verification_session.verified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rStyle w:val="VerbatimChar"/>
                <w:sz w:val="17"/>
              </w:rPr>
              <w:t xml:space="preserve">identity_status = verified</w:t>
            </w:r>
            <w:r>
              <w:rPr>
                <w:sz w:val="17"/>
              </w:rPr>
              <w:t xml:space="preserve">.</w:t>
            </w:r>
          </w:p>
        </w:tc>
      </w:tr>
      <w:tr>
        <w:tc>
          <w:tcPr>
            <w:tcW w:type="dxa" w:w="3293"/>
          </w:tcPr>
          <w:p>
            <w:pPr>
              <w:pStyle w:val="Compact"/>
              <w:spacing w:after="20" w:before="20"/>
            </w:pPr>
            <w:r>
              <w:rPr>
                <w:rStyle w:val="VerbatimChar"/>
                <w:sz w:val="17"/>
              </w:rPr>
              <w:t xml:space="preserve">identity.verification_session.requires_input</w:t>
            </w:r>
          </w:p>
        </w:tc>
        <w:tc>
          <w:tcPr>
            <w:tcW w:type="dxa" w:w="1934"/>
          </w:tcPr>
          <w:p>
            <w:pPr>
              <w:pStyle w:val="Compact"/>
              <w:spacing w:after="20" w:before="20"/>
            </w:pPr>
            <w:r>
              <w:rPr>
                <w:sz w:val="17"/>
              </w:rPr>
              <w:t xml:space="preserve">Plateforme</w:t>
            </w:r>
          </w:p>
        </w:tc>
        <w:tc>
          <w:tcPr>
            <w:tcW w:type="dxa" w:w="4694"/>
          </w:tcPr>
          <w:p>
            <w:pPr>
              <w:pStyle w:val="Compact"/>
              <w:spacing w:after="20" w:before="20"/>
            </w:pPr>
            <w:r>
              <w:rPr>
                <w:rStyle w:val="VerbatimChar"/>
                <w:sz w:val="17"/>
              </w:rPr>
              <w:t xml:space="preserve">identity_status = requires_input</w:t>
            </w:r>
            <w:r>
              <w:rPr>
                <w:sz w:val="17"/>
              </w:rPr>
              <w:t xml:space="preserve"> </w:t>
            </w:r>
            <w:r>
              <w:rPr>
                <w:sz w:val="17"/>
              </w:rPr>
              <w:t xml:space="preserve">; afficher</w:t>
            </w:r>
            <w:r>
              <w:rPr>
                <w:sz w:val="17"/>
              </w:rPr>
              <w:t xml:space="preserve"> </w:t>
            </w:r>
            <w:r>
              <w:rPr>
                <w:rStyle w:val="VerbatimChar"/>
                <w:sz w:val="17"/>
              </w:rPr>
              <w:t xml:space="preserve">last_error.reason</w:t>
            </w:r>
            <w:r>
              <w:rPr>
                <w:sz w:val="17"/>
              </w:rPr>
              <w:t xml:space="preserve">.</w:t>
            </w:r>
          </w:p>
        </w:tc>
      </w:tr>
      <w:tr>
        <w:tc>
          <w:tcPr>
            <w:tcW w:type="dxa" w:w="3293"/>
            <w:shd w:val="clear" w:color="auto" w:fill="EAF2F5"/>
          </w:tcPr>
          <w:p>
            <w:pPr>
              <w:pStyle w:val="Compact"/>
              <w:spacing w:after="20" w:before="20"/>
            </w:pPr>
            <w:r>
              <w:rPr>
                <w:rStyle w:val="VerbatimChar"/>
                <w:sz w:val="17"/>
              </w:rPr>
              <w:t xml:space="preserve">identity.verification_session.processing</w:t>
            </w:r>
            <w:r>
              <w:rPr>
                <w:sz w:val="17"/>
              </w:rPr>
              <w:t xml:space="preserve"> </w:t>
            </w:r>
            <w:r>
              <w:rPr>
                <w:sz w:val="17"/>
              </w:rPr>
              <w:t xml:space="preserve">/</w:t>
            </w:r>
            <w:r>
              <w:rPr>
                <w:sz w:val="17"/>
              </w:rPr>
              <w:t xml:space="preserve"> </w:t>
            </w:r>
            <w:r>
              <w:rPr>
                <w:rStyle w:val="VerbatimChar"/>
                <w:sz w:val="17"/>
              </w:rPr>
              <w:t xml:space="preserve">canceled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Mettre à jour le statut.</w:t>
            </w:r>
          </w:p>
        </w:tc>
      </w:tr>
      <w:tr>
        <w:tc>
          <w:tcPr>
            <w:tcW w:type="dxa" w:w="3293"/>
          </w:tcPr>
          <w:p>
            <w:pPr>
              <w:pStyle w:val="Compact"/>
              <w:spacing w:after="20" w:before="20"/>
            </w:pPr>
            <w:r>
              <w:rPr>
                <w:rStyle w:val="VerbatimChar"/>
                <w:sz w:val="17"/>
              </w:rPr>
              <w:t xml:space="preserve">identity.verification_session.redacted</w:t>
            </w:r>
          </w:p>
        </w:tc>
        <w:tc>
          <w:tcPr>
            <w:tcW w:type="dxa" w:w="1934"/>
          </w:tcPr>
          <w:p>
            <w:pPr>
              <w:pStyle w:val="Compact"/>
              <w:spacing w:after="20" w:before="20"/>
            </w:pPr>
            <w:r>
              <w:rPr>
                <w:sz w:val="17"/>
              </w:rPr>
              <w:t xml:space="preserve">Plateforme (abonnement explicite requis selon la doc Stripe)</w:t>
            </w:r>
          </w:p>
        </w:tc>
        <w:tc>
          <w:tcPr>
            <w:tcW w:type="dxa" w:w="4694"/>
          </w:tcPr>
          <w:p>
            <w:pPr>
              <w:pStyle w:val="Compact"/>
              <w:spacing w:after="20" w:before="20"/>
            </w:pPr>
            <w:r>
              <w:rPr>
                <w:sz w:val="17"/>
              </w:rPr>
              <w:t xml:space="preserve">Confirmer l’effacement des données chez Stripe.</w:t>
            </w:r>
          </w:p>
        </w:tc>
      </w:tr>
      <w:tr>
        <w:tc>
          <w:tcPr>
            <w:tcW w:type="dxa" w:w="3293"/>
            <w:shd w:val="clear" w:color="auto" w:fill="EAF2F5"/>
          </w:tcPr>
          <w:p>
            <w:pPr>
              <w:pStyle w:val="Compact"/>
              <w:spacing w:after="20" w:before="20"/>
            </w:pPr>
            <w:r>
              <w:rPr>
                <w:rStyle w:val="VerbatimChar"/>
                <w:sz w:val="17"/>
              </w:rPr>
              <w:t xml:space="preserve">account.updated</w:t>
            </w:r>
          </w:p>
        </w:tc>
        <w:tc>
          <w:tcPr>
            <w:tcW w:type="dxa" w:w="1934"/>
            <w:shd w:val="clear" w:color="auto" w:fill="EAF2F5"/>
          </w:tcPr>
          <w:p>
            <w:pPr>
              <w:pStyle w:val="Compact"/>
              <w:spacing w:after="20" w:before="20"/>
            </w:pPr>
            <w:r>
              <w:rPr>
                <w:sz w:val="17"/>
              </w:rPr>
              <w:t xml:space="preserve">Connect</w:t>
            </w:r>
          </w:p>
        </w:tc>
        <w:tc>
          <w:tcPr>
            <w:tcW w:type="dxa" w:w="4694"/>
            <w:shd w:val="clear" w:color="auto" w:fill="EAF2F5"/>
          </w:tcPr>
          <w:p>
            <w:pPr>
              <w:pStyle w:val="Compact"/>
              <w:spacing w:after="20" w:before="20"/>
            </w:pPr>
            <w:r>
              <w:rPr>
                <w:sz w:val="17"/>
              </w:rPr>
              <w:t xml:space="preserve">Mettre à jour les capacités du voyageur (</w:t>
            </w:r>
            <w:r>
              <w:rPr>
                <w:rStyle w:val="VerbatimChar"/>
                <w:sz w:val="17"/>
              </w:rPr>
              <w:t xml:space="preserve">charges_enabled</w:t>
            </w:r>
            <w:r>
              <w:rPr>
                <w:sz w:val="17"/>
              </w:rPr>
              <w:t xml:space="preserve">,</w:t>
            </w:r>
            <w:r>
              <w:rPr>
                <w:sz w:val="17"/>
              </w:rPr>
              <w:t xml:space="preserve"> </w:t>
            </w:r>
            <w:r>
              <w:rPr>
                <w:rStyle w:val="VerbatimChar"/>
                <w:sz w:val="17"/>
              </w:rPr>
              <w:t xml:space="preserve">payouts_enabled</w:t>
            </w:r>
            <w:r>
              <w:rPr>
                <w:sz w:val="17"/>
              </w:rPr>
              <w:t xml:space="preserve">, exigences en attente).</w:t>
            </w:r>
          </w:p>
        </w:tc>
      </w:tr>
      <w:tr>
        <w:tc>
          <w:tcPr>
            <w:tcW w:type="dxa" w:w="3293"/>
          </w:tcPr>
          <w:p>
            <w:pPr>
              <w:pStyle w:val="Compact"/>
              <w:spacing w:after="20" w:before="20"/>
            </w:pPr>
            <w:r>
              <w:rPr>
                <w:rStyle w:val="VerbatimChar"/>
                <w:sz w:val="17"/>
              </w:rPr>
              <w:t xml:space="preserve">payout.created</w:t>
            </w:r>
            <w:r>
              <w:rPr>
                <w:sz w:val="17"/>
              </w:rPr>
              <w:t xml:space="preserve"> </w:t>
            </w:r>
            <w:r>
              <w:rPr>
                <w:sz w:val="17"/>
              </w:rPr>
              <w:t xml:space="preserve">/</w:t>
            </w:r>
            <w:r>
              <w:rPr>
                <w:sz w:val="17"/>
              </w:rPr>
              <w:t xml:space="preserve"> </w:t>
            </w:r>
            <w:r>
              <w:rPr>
                <w:rStyle w:val="VerbatimChar"/>
                <w:sz w:val="17"/>
              </w:rPr>
              <w:t xml:space="preserve">payout.paid</w:t>
            </w:r>
            <w:r>
              <w:rPr>
                <w:sz w:val="17"/>
              </w:rPr>
              <w:t xml:space="preserve"> </w:t>
            </w:r>
            <w:r>
              <w:rPr>
                <w:sz w:val="17"/>
              </w:rPr>
              <w:t xml:space="preserve">/</w:t>
            </w:r>
            <w:r>
              <w:rPr>
                <w:sz w:val="17"/>
              </w:rPr>
              <w:t xml:space="preserve"> </w:t>
            </w:r>
            <w:r>
              <w:rPr>
                <w:rStyle w:val="VerbatimChar"/>
                <w:sz w:val="17"/>
              </w:rPr>
              <w:t xml:space="preserve">payout.failed</w:t>
            </w:r>
          </w:p>
        </w:tc>
        <w:tc>
          <w:tcPr>
            <w:tcW w:type="dxa" w:w="1934"/>
          </w:tcPr>
          <w:p>
            <w:pPr>
              <w:pStyle w:val="Compact"/>
              <w:spacing w:after="20" w:before="20"/>
            </w:pPr>
            <w:r>
              <w:rPr>
                <w:sz w:val="17"/>
              </w:rPr>
              <w:t xml:space="preserve">Connect</w:t>
            </w:r>
          </w:p>
        </w:tc>
        <w:tc>
          <w:tcPr>
            <w:tcW w:type="dxa" w:w="4694"/>
          </w:tcPr>
          <w:p>
            <w:pPr>
              <w:pStyle w:val="Compact"/>
              <w:spacing w:after="20" w:before="20"/>
            </w:pPr>
            <w:r>
              <w:rPr>
                <w:sz w:val="17"/>
              </w:rPr>
              <w:t xml:space="preserve">Statuts des versements affichés au voyageur (« en cours → déposé ») ; alerte en cas d’échec.</w:t>
            </w:r>
          </w:p>
        </w:tc>
      </w:tr>
      <w:tr>
        <w:tc>
          <w:tcPr>
            <w:tcW w:type="dxa" w:w="3293"/>
            <w:shd w:val="clear" w:color="auto" w:fill="EAF2F5"/>
          </w:tcPr>
          <w:p>
            <w:pPr>
              <w:pStyle w:val="Compact"/>
              <w:spacing w:after="20" w:before="20"/>
            </w:pPr>
            <w:r>
              <w:rPr>
                <w:rStyle w:val="VerbatimChar"/>
                <w:sz w:val="17"/>
              </w:rPr>
              <w:t xml:space="preserve">customer.subscription.*</w:t>
            </w:r>
            <w:r>
              <w:rPr>
                <w:sz w:val="17"/>
              </w:rPr>
              <w:t xml:space="preserve">,</w:t>
            </w:r>
            <w:r>
              <w:rPr>
                <w:sz w:val="17"/>
              </w:rPr>
              <w:t xml:space="preserve"> </w:t>
            </w:r>
            <w:r>
              <w:rPr>
                <w:rStyle w:val="VerbatimChar"/>
                <w:sz w:val="17"/>
              </w:rPr>
              <w:t xml:space="preserve">invoice.paid</w:t>
            </w:r>
            <w:r>
              <w:rPr>
                <w:sz w:val="17"/>
              </w:rPr>
              <w:t xml:space="preserve">,</w:t>
            </w:r>
            <w:r>
              <w:rPr>
                <w:sz w:val="17"/>
              </w:rPr>
              <w:t xml:space="preserve"> </w:t>
            </w:r>
            <w:r>
              <w:rPr>
                <w:rStyle w:val="VerbatimChar"/>
                <w:sz w:val="17"/>
              </w:rPr>
              <w:t xml:space="preserve">invoice.payment_failed</w:t>
            </w:r>
          </w:p>
        </w:tc>
        <w:tc>
          <w:tcPr>
            <w:tcW w:type="dxa" w:w="1934"/>
            <w:shd w:val="clear" w:color="auto" w:fill="EAF2F5"/>
          </w:tcPr>
          <w:p>
            <w:pPr>
              <w:pStyle w:val="Compact"/>
              <w:spacing w:after="20" w:before="20"/>
            </w:pPr>
            <w:r>
              <w:rPr>
                <w:sz w:val="17"/>
              </w:rPr>
              <w:t xml:space="preserve">Plateforme</w:t>
            </w:r>
          </w:p>
        </w:tc>
        <w:tc>
          <w:tcPr>
            <w:tcW w:type="dxa" w:w="4694"/>
            <w:shd w:val="clear" w:color="auto" w:fill="EAF2F5"/>
          </w:tcPr>
          <w:p>
            <w:pPr>
              <w:pStyle w:val="Compact"/>
              <w:spacing w:after="20" w:before="20"/>
            </w:pPr>
            <w:r>
              <w:rPr>
                <w:sz w:val="17"/>
              </w:rPr>
              <w:t xml:space="preserve">Seulement si un abonnement est lancé (Stripe Billing, voir 4.5).</w:t>
            </w:r>
          </w:p>
        </w:tc>
      </w:tr>
    </w:tbl>
    <w:p>
      <w:pPr>
        <w:pStyle w:val="BodyText"/>
      </w:pPr>
      <w:r>
        <w:t xml:space="preserve">Version de l’API Stripe épinglée et mise à jour volontairement (procédure de test en staging).</w:t>
      </w:r>
    </w:p>
    <w:bookmarkEnd w:id="23"/>
    <w:bookmarkEnd w:id="24"/>
    <w:bookmarkStart w:id="25" w:name="sécurité-exigences-testables"/>
    <w:p>
      <w:pPr>
        <w:pStyle w:val="Heading1"/>
      </w:pPr>
      <w:r>
        <w:t xml:space="preserve">3. Sécurité — exigences testables</w:t>
      </w:r>
    </w:p>
    <w:p>
      <w:pPr>
        <w:pStyle w:val="FirstParagraph"/>
      </w:pPr>
      <w:r>
        <w:t xml:space="preserve">Référentiels : OWASP MASVS v2.1.0, OWASP API Security Top 10 (2023), guide « Guide sécurité et architecture mobile » (sections 2.2 à 2.9). Profil visé :</w:t>
      </w:r>
      <w:r>
        <w:t xml:space="preserve"> </w:t>
      </w:r>
      <w:r>
        <w:rPr>
          <w:b/>
          <w:bCs/>
        </w:rPr>
        <w:t xml:space="preserve">MAS-L1 au minimum, plus MASVS-NETWORK-2 et MASVS-RESILIENCE à évaluer</w:t>
      </w:r>
      <w:r>
        <w:t xml:space="preserve">, car l’app manipule de l’argent (recommandation du guide). Le niveau final est</w:t>
      </w:r>
      <w:r>
        <w:t xml:space="preserve"> </w:t>
      </w:r>
      <w:r>
        <w:rPr>
          <w:b/>
          <w:bCs/>
        </w:rPr>
        <w:t xml:space="preserve">à confirmer</w:t>
      </w:r>
      <w:r>
        <w:t xml:space="preserve"> </w:t>
      </w:r>
      <w:r>
        <w:t xml:space="preserve">après la modélisation des menaces (STRIDE).</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316"/>
        <w:gridCol w:w="4986"/>
        <w:gridCol w:w="1316"/>
        <w:gridCol w:w="2302"/>
      </w:tblGrid>
      <w:tr>
        <w:trPr>
          <w:tblHeader w:val="on"/>
          <w:tblHeader w:val="true"/>
        </w:trPr>
        <w:tc>
          <w:tcPr>
            <w:tcW w:type="dxa" w:w="1316"/>
            <w:shd w:val="clear" w:color="auto" w:fill="1F3A5F"/>
          </w:tcPr>
          <w:p>
            <w:pPr>
              <w:pStyle w:val="Compact"/>
              <w:spacing w:after="20" w:before="20"/>
            </w:pPr>
            <w:r>
              <w:rPr>
                <w:b/>
                <w:color w:val="FFFFFF"/>
                <w:sz w:val="17"/>
              </w:rPr>
              <w:t xml:space="preserve">ID</w:t>
            </w:r>
          </w:p>
        </w:tc>
        <w:tc>
          <w:tcPr>
            <w:tcW w:type="dxa" w:w="4986"/>
            <w:shd w:val="clear" w:color="auto" w:fill="1F3A5F"/>
          </w:tcPr>
          <w:p>
            <w:pPr>
              <w:pStyle w:val="Compact"/>
              <w:spacing w:after="20" w:before="20"/>
            </w:pPr>
            <w:r>
              <w:rPr>
                <w:b/>
                <w:color w:val="FFFFFF"/>
                <w:sz w:val="17"/>
              </w:rPr>
              <w:t xml:space="preserve">Exigence</w:t>
            </w:r>
          </w:p>
        </w:tc>
        <w:tc>
          <w:tcPr>
            <w:tcW w:type="dxa" w:w="1316"/>
            <w:shd w:val="clear" w:color="auto" w:fill="1F3A5F"/>
          </w:tcPr>
          <w:p>
            <w:pPr>
              <w:pStyle w:val="Compact"/>
              <w:spacing w:after="20" w:before="20"/>
            </w:pPr>
            <w:r>
              <w:rPr>
                <w:b/>
                <w:color w:val="FFFFFF"/>
                <w:sz w:val="17"/>
              </w:rPr>
              <w:t xml:space="preserve">Référence</w:t>
            </w:r>
          </w:p>
        </w:tc>
        <w:tc>
          <w:tcPr>
            <w:tcW w:type="dxa" w:w="2302"/>
            <w:shd w:val="clear" w:color="auto" w:fill="1F3A5F"/>
          </w:tcPr>
          <w:p>
            <w:pPr>
              <w:pStyle w:val="Compact"/>
              <w:spacing w:after="20" w:before="20"/>
            </w:pPr>
            <w:r>
              <w:rPr>
                <w:b/>
                <w:color w:val="FFFFFF"/>
                <w:sz w:val="17"/>
              </w:rPr>
              <w:t xml:space="preserve">Critère de vérification</w:t>
            </w:r>
          </w:p>
        </w:tc>
      </w:tr>
      <w:tr>
        <w:tc>
          <w:tcPr>
            <w:tcW w:type="dxa" w:w="1316"/>
          </w:tcPr>
          <w:p>
            <w:pPr>
              <w:pStyle w:val="Compact"/>
              <w:spacing w:after="20" w:before="20"/>
            </w:pPr>
            <w:r>
              <w:rPr>
                <w:sz w:val="17"/>
              </w:rPr>
              <w:t xml:space="preserve">SEC-01</w:t>
            </w:r>
          </w:p>
        </w:tc>
        <w:tc>
          <w:tcPr>
            <w:tcW w:type="dxa" w:w="4986"/>
          </w:tcPr>
          <w:p>
            <w:pPr>
              <w:pStyle w:val="Compact"/>
              <w:spacing w:after="20" w:before="20"/>
            </w:pPr>
            <w:r>
              <w:rPr>
                <w:sz w:val="17"/>
              </w:rPr>
              <w:t xml:space="preserve">Authentification par</w:t>
            </w:r>
            <w:r>
              <w:rPr>
                <w:sz w:val="17"/>
              </w:rPr>
              <w:t xml:space="preserve"> </w:t>
            </w:r>
            <w:r>
              <w:rPr>
                <w:b/>
                <w:bCs/>
                <w:sz w:val="17"/>
              </w:rPr>
              <w:t xml:space="preserve">Supabase Auth avec flux PKCE</w:t>
            </w:r>
            <w:r>
              <w:rPr>
                <w:sz w:val="17"/>
              </w:rPr>
              <w:t xml:space="preserve"> </w:t>
            </w:r>
            <w:r>
              <w:rPr>
                <w:sz w:val="17"/>
              </w:rPr>
              <w:t xml:space="preserve">(ou fournisseur OIDC avec code d’autorisation + PKCE via le navigateur système). Aucune WebView de connexion.</w:t>
            </w:r>
          </w:p>
        </w:tc>
        <w:tc>
          <w:tcPr>
            <w:tcW w:type="dxa" w:w="1316"/>
          </w:tcPr>
          <w:p>
            <w:pPr>
              <w:pStyle w:val="Compact"/>
              <w:spacing w:after="20" w:before="20"/>
            </w:pPr>
            <w:r>
              <w:rPr>
                <w:sz w:val="17"/>
              </w:rPr>
              <w:t xml:space="preserve">MASVS-AUTH-1 ; RFC 8252, RFC 7636</w:t>
            </w:r>
          </w:p>
        </w:tc>
        <w:tc>
          <w:tcPr>
            <w:tcW w:type="dxa" w:w="2302"/>
          </w:tcPr>
          <w:p>
            <w:pPr>
              <w:pStyle w:val="Compact"/>
              <w:spacing w:after="20" w:before="20"/>
            </w:pPr>
            <w:r>
              <w:rPr>
                <w:sz w:val="17"/>
              </w:rPr>
              <w:t xml:space="preserve">Revue de config ; test : le flux implicite est refusé.</w:t>
            </w:r>
          </w:p>
        </w:tc>
      </w:tr>
      <w:tr>
        <w:tc>
          <w:tcPr>
            <w:tcW w:type="dxa" w:w="1316"/>
            <w:shd w:val="clear" w:color="auto" w:fill="EAF2F5"/>
          </w:tcPr>
          <w:p>
            <w:pPr>
              <w:pStyle w:val="Compact"/>
              <w:spacing w:after="20" w:before="20"/>
            </w:pPr>
            <w:r>
              <w:rPr>
                <w:sz w:val="17"/>
              </w:rPr>
              <w:t xml:space="preserve">SEC-02</w:t>
            </w:r>
          </w:p>
        </w:tc>
        <w:tc>
          <w:tcPr>
            <w:tcW w:type="dxa" w:w="4986"/>
            <w:shd w:val="clear" w:color="auto" w:fill="EAF2F5"/>
          </w:tcPr>
          <w:p>
            <w:pPr>
              <w:pStyle w:val="Compact"/>
              <w:spacing w:after="20" w:before="20"/>
            </w:pPr>
            <w:r>
              <w:rPr>
                <w:b/>
                <w:bCs/>
                <w:sz w:val="17"/>
              </w:rPr>
              <w:t xml:space="preserve">MFA optionnelle</w:t>
            </w:r>
            <w:r>
              <w:rPr>
                <w:sz w:val="17"/>
              </w:rPr>
              <w:t xml:space="preserve"> </w:t>
            </w:r>
            <w:r>
              <w:rPr>
                <w:sz w:val="17"/>
              </w:rPr>
              <w:t xml:space="preserve">(TOTP ou passkeys,</w:t>
            </w:r>
            <w:r>
              <w:rPr>
                <w:sz w:val="17"/>
              </w:rPr>
              <w:t xml:space="preserve"> </w:t>
            </w:r>
            <w:r>
              <w:rPr>
                <w:b/>
                <w:bCs/>
                <w:sz w:val="17"/>
              </w:rPr>
              <w:t xml:space="preserve">à confirmer</w:t>
            </w:r>
            <w:r>
              <w:rPr>
                <w:sz w:val="17"/>
              </w:rPr>
              <w:t xml:space="preserve">) proposée aux utilisateurs ;</w:t>
            </w:r>
            <w:r>
              <w:rPr>
                <w:sz w:val="17"/>
              </w:rPr>
              <w:t xml:space="preserve"> </w:t>
            </w:r>
            <w:r>
              <w:rPr>
                <w:b/>
                <w:bCs/>
                <w:sz w:val="17"/>
              </w:rPr>
              <w:t xml:space="preserve">ré-authentification</w:t>
            </w:r>
            <w:r>
              <w:rPr>
                <w:sz w:val="17"/>
              </w:rPr>
              <w:t xml:space="preserve"> </w:t>
            </w:r>
            <w:r>
              <w:rPr>
                <w:sz w:val="17"/>
              </w:rPr>
              <w:t xml:space="preserve">avant les opérations sensibles (changement de courriel, export, suppression du compte, ajout de méthode de versement).</w:t>
            </w:r>
          </w:p>
        </w:tc>
        <w:tc>
          <w:tcPr>
            <w:tcW w:type="dxa" w:w="1316"/>
            <w:shd w:val="clear" w:color="auto" w:fill="EAF2F5"/>
          </w:tcPr>
          <w:p>
            <w:pPr>
              <w:pStyle w:val="Compact"/>
              <w:spacing w:after="20" w:before="20"/>
            </w:pPr>
            <w:r>
              <w:rPr>
                <w:sz w:val="17"/>
              </w:rPr>
              <w:t xml:space="preserve">MASVS-AUTH-3</w:t>
            </w:r>
          </w:p>
        </w:tc>
        <w:tc>
          <w:tcPr>
            <w:tcW w:type="dxa" w:w="2302"/>
            <w:shd w:val="clear" w:color="auto" w:fill="EAF2F5"/>
          </w:tcPr>
          <w:p>
            <w:pPr>
              <w:pStyle w:val="Compact"/>
              <w:spacing w:after="20" w:before="20"/>
            </w:pPr>
            <w:r>
              <w:rPr>
                <w:sz w:val="17"/>
              </w:rPr>
              <w:t xml:space="preserve">Test E2E : opération sensible refusée sans ré-authentification récente.</w:t>
            </w:r>
          </w:p>
        </w:tc>
      </w:tr>
      <w:tr>
        <w:tc>
          <w:tcPr>
            <w:tcW w:type="dxa" w:w="1316"/>
          </w:tcPr>
          <w:p>
            <w:pPr>
              <w:pStyle w:val="Compact"/>
              <w:spacing w:after="20" w:before="20"/>
            </w:pPr>
            <w:r>
              <w:rPr>
                <w:sz w:val="17"/>
              </w:rPr>
              <w:t xml:space="preserve">SEC-03</w:t>
            </w:r>
          </w:p>
        </w:tc>
        <w:tc>
          <w:tcPr>
            <w:tcW w:type="dxa" w:w="4986"/>
          </w:tcPr>
          <w:p>
            <w:pPr>
              <w:pStyle w:val="Compact"/>
              <w:spacing w:after="20" w:before="20"/>
            </w:pPr>
            <w:r>
              <w:rPr>
                <w:b/>
                <w:bCs/>
                <w:sz w:val="17"/>
              </w:rPr>
              <w:t xml:space="preserve">Jetons d’accès courts</w:t>
            </w:r>
            <w:r>
              <w:rPr>
                <w:sz w:val="17"/>
              </w:rPr>
              <w:t xml:space="preserve">, refresh token avec rotation et révocation côté serveur à la déconnexion et au changement de mot de passe. Durées exactes :</w:t>
            </w:r>
            <w:r>
              <w:rPr>
                <w:sz w:val="17"/>
              </w:rPr>
              <w:t xml:space="preserve"> </w:t>
            </w:r>
            <w:r>
              <w:rPr>
                <w:b/>
                <w:bCs/>
                <w:sz w:val="17"/>
              </w:rPr>
              <w:t xml:space="preserve">à décider</w:t>
            </w:r>
            <w:r>
              <w:rPr>
                <w:sz w:val="17"/>
              </w:rPr>
              <w:t xml:space="preserve">.</w:t>
            </w:r>
          </w:p>
        </w:tc>
        <w:tc>
          <w:tcPr>
            <w:tcW w:type="dxa" w:w="1316"/>
          </w:tcPr>
          <w:p>
            <w:pPr>
              <w:pStyle w:val="Compact"/>
              <w:spacing w:after="20" w:before="20"/>
            </w:pPr>
            <w:r>
              <w:rPr>
                <w:sz w:val="17"/>
              </w:rPr>
              <w:t xml:space="preserve">MASVS-AUTH-1 ; RFC 9700</w:t>
            </w:r>
          </w:p>
        </w:tc>
        <w:tc>
          <w:tcPr>
            <w:tcW w:type="dxa" w:w="2302"/>
          </w:tcPr>
          <w:p>
            <w:pPr>
              <w:pStyle w:val="Compact"/>
              <w:spacing w:after="20" w:before="20"/>
            </w:pPr>
            <w:r>
              <w:rPr>
                <w:sz w:val="17"/>
              </w:rPr>
              <w:t xml:space="preserve">Test : refresh token réutilisé → session révoquée.</w:t>
            </w:r>
          </w:p>
        </w:tc>
      </w:tr>
      <w:tr>
        <w:tc>
          <w:tcPr>
            <w:tcW w:type="dxa" w:w="1316"/>
            <w:shd w:val="clear" w:color="auto" w:fill="EAF2F5"/>
          </w:tcPr>
          <w:p>
            <w:pPr>
              <w:pStyle w:val="Compact"/>
              <w:spacing w:after="20" w:before="20"/>
            </w:pPr>
            <w:r>
              <w:rPr>
                <w:sz w:val="17"/>
              </w:rPr>
              <w:t xml:space="preserve">SEC-04</w:t>
            </w:r>
          </w:p>
        </w:tc>
        <w:tc>
          <w:tcPr>
            <w:tcW w:type="dxa" w:w="4986"/>
            <w:shd w:val="clear" w:color="auto" w:fill="EAF2F5"/>
          </w:tcPr>
          <w:p>
            <w:pPr>
              <w:pStyle w:val="Compact"/>
              <w:spacing w:after="20" w:before="20"/>
            </w:pPr>
            <w:r>
              <w:rPr>
                <w:b/>
                <w:bCs/>
                <w:sz w:val="17"/>
              </w:rPr>
              <w:t xml:space="preserve">Autorisation côté serveur sur chaque ressource</w:t>
            </w:r>
            <w:r>
              <w:rPr>
                <w:sz w:val="17"/>
              </w:rPr>
              <w:t xml:space="preserve"> </w:t>
            </w:r>
            <w:r>
              <w:rPr>
                <w:sz w:val="17"/>
              </w:rPr>
              <w:t xml:space="preserve">: RLS activée sur toutes les tables exposées, politiques par rôle (expéditeur, voyageur, admin) ; aucune table sans politique.</w:t>
            </w:r>
          </w:p>
        </w:tc>
        <w:tc>
          <w:tcPr>
            <w:tcW w:type="dxa" w:w="1316"/>
            <w:shd w:val="clear" w:color="auto" w:fill="EAF2F5"/>
          </w:tcPr>
          <w:p>
            <w:pPr>
              <w:pStyle w:val="Compact"/>
              <w:spacing w:after="20" w:before="20"/>
            </w:pPr>
            <w:r>
              <w:rPr>
                <w:sz w:val="17"/>
              </w:rPr>
              <w:t xml:space="preserve">MASVS-AUTH ; API1/API3/API5</w:t>
            </w:r>
          </w:p>
        </w:tc>
        <w:tc>
          <w:tcPr>
            <w:tcW w:type="dxa" w:w="2302"/>
            <w:shd w:val="clear" w:color="auto" w:fill="EAF2F5"/>
          </w:tcPr>
          <w:p>
            <w:pPr>
              <w:pStyle w:val="Compact"/>
              <w:spacing w:after="20" w:before="20"/>
            </w:pPr>
            <w:r>
              <w:rPr>
                <w:sz w:val="17"/>
              </w:rPr>
              <w:t xml:space="preserve">Tests RLS automatisés en CI : l’utilisateur A ne lit ni ne modifie les données de B ; requête qui liste les tables sans RLS = vide.</w:t>
            </w:r>
          </w:p>
        </w:tc>
      </w:tr>
      <w:tr>
        <w:tc>
          <w:tcPr>
            <w:tcW w:type="dxa" w:w="1316"/>
          </w:tcPr>
          <w:p>
            <w:pPr>
              <w:pStyle w:val="Compact"/>
              <w:spacing w:after="20" w:before="20"/>
            </w:pPr>
            <w:r>
              <w:rPr>
                <w:sz w:val="17"/>
              </w:rPr>
              <w:t xml:space="preserve">SEC-05</w:t>
            </w:r>
          </w:p>
        </w:tc>
        <w:tc>
          <w:tcPr>
            <w:tcW w:type="dxa" w:w="4986"/>
          </w:tcPr>
          <w:p>
            <w:pPr>
              <w:pStyle w:val="Compact"/>
              <w:spacing w:after="20" w:before="20"/>
            </w:pPr>
            <w:r>
              <w:rPr>
                <w:b/>
                <w:bCs/>
                <w:sz w:val="17"/>
              </w:rPr>
              <w:t xml:space="preserve">Stockage sécurisé</w:t>
            </w:r>
            <w:r>
              <w:rPr>
                <w:sz w:val="17"/>
              </w:rPr>
              <w:t xml:space="preserve"> </w:t>
            </w:r>
            <w:r>
              <w:rPr>
                <w:sz w:val="17"/>
              </w:rPr>
              <w:t xml:space="preserve">: jetons uniquement dans</w:t>
            </w:r>
            <w:r>
              <w:rPr>
                <w:sz w:val="17"/>
              </w:rPr>
              <w:t xml:space="preserve"> </w:t>
            </w:r>
            <w:r>
              <w:rPr>
                <w:rStyle w:val="VerbatimChar"/>
                <w:sz w:val="17"/>
              </w:rPr>
              <w:t xml:space="preserve">expo-secure-store</w:t>
            </w:r>
            <w:r>
              <w:rPr>
                <w:sz w:val="17"/>
              </w:rPr>
              <w:t xml:space="preserve"> </w:t>
            </w:r>
            <w:r>
              <w:rPr>
                <w:sz w:val="17"/>
              </w:rPr>
              <w:t xml:space="preserve">(Keychain iOS / Keystore Android) ; rien de sensible dans AsyncStorage ni dans le cache persistant ; purge à la déconnexion. Sur le web : cookies</w:t>
            </w:r>
            <w:r>
              <w:rPr>
                <w:sz w:val="17"/>
              </w:rPr>
              <w:t xml:space="preserve"> </w:t>
            </w:r>
            <w:r>
              <w:rPr>
                <w:rStyle w:val="VerbatimChar"/>
                <w:sz w:val="17"/>
              </w:rPr>
              <w:t xml:space="preserve">HttpOnly</w:t>
            </w:r>
            <w:r>
              <w:rPr>
                <w:sz w:val="17"/>
              </w:rPr>
              <w:t xml:space="preserve">/</w:t>
            </w:r>
            <w:r>
              <w:rPr>
                <w:rStyle w:val="VerbatimChar"/>
                <w:sz w:val="17"/>
              </w:rPr>
              <w:t xml:space="preserve">Secure</w:t>
            </w:r>
            <w:r>
              <w:rPr>
                <w:sz w:val="17"/>
              </w:rPr>
              <w:t xml:space="preserve"> </w:t>
            </w:r>
            <w:r>
              <w:rPr>
                <w:sz w:val="17"/>
              </w:rPr>
              <w:t xml:space="preserve">ou stratégie équivalente (</w:t>
            </w:r>
            <w:r>
              <w:rPr>
                <w:b/>
                <w:bCs/>
                <w:sz w:val="17"/>
              </w:rPr>
              <w:t xml:space="preserve">à confirmer</w:t>
            </w:r>
            <w:r>
              <w:rPr>
                <w:sz w:val="17"/>
              </w:rPr>
              <w:t xml:space="preserve">).</w:t>
            </w:r>
          </w:p>
        </w:tc>
        <w:tc>
          <w:tcPr>
            <w:tcW w:type="dxa" w:w="1316"/>
          </w:tcPr>
          <w:p>
            <w:pPr>
              <w:pStyle w:val="Compact"/>
              <w:spacing w:after="20" w:before="20"/>
            </w:pPr>
            <w:r>
              <w:rPr>
                <w:sz w:val="17"/>
              </w:rPr>
              <w:t xml:space="preserve">MASVS-STORAGE-1/2</w:t>
            </w:r>
          </w:p>
        </w:tc>
        <w:tc>
          <w:tcPr>
            <w:tcW w:type="dxa" w:w="2302"/>
          </w:tcPr>
          <w:p>
            <w:pPr>
              <w:pStyle w:val="Compact"/>
              <w:spacing w:after="20" w:before="20"/>
            </w:pPr>
            <w:r>
              <w:rPr>
                <w:sz w:val="17"/>
              </w:rPr>
              <w:t xml:space="preserve">Inspection de l’appareil (MASTG) ; MobSF sans constat critique.</w:t>
            </w:r>
          </w:p>
        </w:tc>
      </w:tr>
      <w:tr>
        <w:tc>
          <w:tcPr>
            <w:tcW w:type="dxa" w:w="1316"/>
            <w:shd w:val="clear" w:color="auto" w:fill="EAF2F5"/>
          </w:tcPr>
          <w:p>
            <w:pPr>
              <w:pStyle w:val="Compact"/>
              <w:spacing w:after="20" w:before="20"/>
            </w:pPr>
            <w:r>
              <w:rPr>
                <w:sz w:val="17"/>
              </w:rPr>
              <w:t xml:space="preserve">SEC-06</w:t>
            </w:r>
          </w:p>
        </w:tc>
        <w:tc>
          <w:tcPr>
            <w:tcW w:type="dxa" w:w="4986"/>
            <w:shd w:val="clear" w:color="auto" w:fill="EAF2F5"/>
          </w:tcPr>
          <w:p>
            <w:pPr>
              <w:pStyle w:val="Compact"/>
              <w:spacing w:after="20" w:before="20"/>
            </w:pPr>
            <w:r>
              <w:rPr>
                <w:b/>
                <w:bCs/>
                <w:sz w:val="17"/>
              </w:rPr>
              <w:t xml:space="preserve">Aucun secret dans l’app</w:t>
            </w:r>
            <w:r>
              <w:rPr>
                <w:sz w:val="17"/>
              </w:rPr>
              <w:t xml:space="preserve"> </w:t>
            </w:r>
            <w:r>
              <w:rPr>
                <w:sz w:val="17"/>
              </w:rPr>
              <w:t xml:space="preserve">: seules les clés publiques (URL Supabase, clé anonyme, clé publiable Stripe) sont embarquées. Clé secrète Stripe, clé</w:t>
            </w:r>
            <w:r>
              <w:rPr>
                <w:sz w:val="17"/>
              </w:rPr>
              <w:t xml:space="preserve"> </w:t>
            </w:r>
            <w:r>
              <w:rPr>
                <w:rStyle w:val="VerbatimChar"/>
                <w:sz w:val="17"/>
              </w:rPr>
              <w:t xml:space="preserve">service_role</w:t>
            </w:r>
            <w:r>
              <w:rPr>
                <w:sz w:val="17"/>
              </w:rPr>
              <w:t xml:space="preserve"> </w:t>
            </w:r>
            <w:r>
              <w:rPr>
                <w:sz w:val="17"/>
              </w:rPr>
              <w:t xml:space="preserve">Supabase et secrets des webhooks uniquement côté serveur.</w:t>
            </w:r>
          </w:p>
        </w:tc>
        <w:tc>
          <w:tcPr>
            <w:tcW w:type="dxa" w:w="1316"/>
            <w:shd w:val="clear" w:color="auto" w:fill="EAF2F5"/>
          </w:tcPr>
          <w:p>
            <w:pPr>
              <w:pStyle w:val="Compact"/>
              <w:spacing w:after="20" w:before="20"/>
            </w:pPr>
            <w:r>
              <w:rPr>
                <w:sz w:val="17"/>
              </w:rPr>
              <w:t xml:space="preserve">Guide 2.4 ; M1</w:t>
            </w:r>
          </w:p>
        </w:tc>
        <w:tc>
          <w:tcPr>
            <w:tcW w:type="dxa" w:w="2302"/>
            <w:shd w:val="clear" w:color="auto" w:fill="EAF2F5"/>
          </w:tcPr>
          <w:p>
            <w:pPr>
              <w:pStyle w:val="Compact"/>
              <w:spacing w:after="20" w:before="20"/>
            </w:pPr>
            <w:r>
              <w:rPr>
                <w:sz w:val="17"/>
              </w:rPr>
              <w:t xml:space="preserve">gitleaks en CI ; décompilation du bundle sans secret trouvé.</w:t>
            </w:r>
          </w:p>
        </w:tc>
      </w:tr>
      <w:tr>
        <w:tc>
          <w:tcPr>
            <w:tcW w:type="dxa" w:w="1316"/>
          </w:tcPr>
          <w:p>
            <w:pPr>
              <w:pStyle w:val="Compact"/>
              <w:spacing w:after="20" w:before="20"/>
            </w:pPr>
            <w:r>
              <w:rPr>
                <w:sz w:val="17"/>
              </w:rPr>
              <w:t xml:space="preserve">SEC-07</w:t>
            </w:r>
          </w:p>
        </w:tc>
        <w:tc>
          <w:tcPr>
            <w:tcW w:type="dxa" w:w="4986"/>
          </w:tcPr>
          <w:p>
            <w:pPr>
              <w:pStyle w:val="Compact"/>
              <w:spacing w:after="20" w:before="20"/>
            </w:pPr>
            <w:r>
              <w:rPr>
                <w:b/>
                <w:bCs/>
                <w:sz w:val="17"/>
              </w:rPr>
              <w:t xml:space="preserve">HTTPS partout</w:t>
            </w:r>
            <w:r>
              <w:rPr>
                <w:sz w:val="17"/>
              </w:rPr>
              <w:t xml:space="preserve"> </w:t>
            </w:r>
            <w:r>
              <w:rPr>
                <w:sz w:val="17"/>
              </w:rPr>
              <w:t xml:space="preserve">; aucune exception ATS / cleartext ; décision écrite sur le pinning (déconseillé par Android Developers, à évaluer avec MASVS-NETWORK-2).</w:t>
            </w:r>
          </w:p>
        </w:tc>
        <w:tc>
          <w:tcPr>
            <w:tcW w:type="dxa" w:w="1316"/>
          </w:tcPr>
          <w:p>
            <w:pPr>
              <w:pStyle w:val="Compact"/>
              <w:spacing w:after="20" w:before="20"/>
            </w:pPr>
            <w:r>
              <w:rPr>
                <w:sz w:val="17"/>
              </w:rPr>
              <w:t xml:space="preserve">MASVS-NETWORK-1/2</w:t>
            </w:r>
          </w:p>
        </w:tc>
        <w:tc>
          <w:tcPr>
            <w:tcW w:type="dxa" w:w="2302"/>
          </w:tcPr>
          <w:p>
            <w:pPr>
              <w:pStyle w:val="Compact"/>
              <w:spacing w:after="20" w:before="20"/>
            </w:pPr>
            <w:r>
              <w:rPr>
                <w:sz w:val="17"/>
              </w:rPr>
              <w:t xml:space="preserve">Vérification du manifeste et de l’Info.plist ; test d’interception.</w:t>
            </w:r>
          </w:p>
        </w:tc>
      </w:tr>
      <w:tr>
        <w:tc>
          <w:tcPr>
            <w:tcW w:type="dxa" w:w="1316"/>
            <w:shd w:val="clear" w:color="auto" w:fill="EAF2F5"/>
          </w:tcPr>
          <w:p>
            <w:pPr>
              <w:pStyle w:val="Compact"/>
              <w:spacing w:after="20" w:before="20"/>
            </w:pPr>
            <w:r>
              <w:rPr>
                <w:sz w:val="17"/>
              </w:rPr>
              <w:t xml:space="preserve">SEC-08</w:t>
            </w:r>
          </w:p>
        </w:tc>
        <w:tc>
          <w:tcPr>
            <w:tcW w:type="dxa" w:w="4986"/>
            <w:shd w:val="clear" w:color="auto" w:fill="EAF2F5"/>
          </w:tcPr>
          <w:p>
            <w:pPr>
              <w:pStyle w:val="Compact"/>
              <w:spacing w:after="20" w:before="20"/>
            </w:pPr>
            <w:r>
              <w:rPr>
                <w:b/>
                <w:bCs/>
                <w:sz w:val="17"/>
              </w:rPr>
              <w:t xml:space="preserve">Webhooks Stripe</w:t>
            </w:r>
            <w:r>
              <w:rPr>
                <w:sz w:val="17"/>
              </w:rPr>
              <w:t xml:space="preserve"> </w:t>
            </w:r>
            <w:r>
              <w:rPr>
                <w:sz w:val="17"/>
              </w:rPr>
              <w:t xml:space="preserve">: vérification de signature (</w:t>
            </w:r>
            <w:r>
              <w:rPr>
                <w:rStyle w:val="VerbatimChar"/>
                <w:sz w:val="17"/>
              </w:rPr>
              <w:t xml:space="preserve">Stripe-Signature</w:t>
            </w:r>
            <w:r>
              <w:rPr>
                <w:sz w:val="17"/>
              </w:rPr>
              <w:t xml:space="preserve">, secret par point de terminaison) sur le corps brut ; rejet si la signature ou l’horodatage est invalide ;</w:t>
            </w:r>
            <w:r>
              <w:rPr>
                <w:sz w:val="17"/>
              </w:rPr>
              <w:t xml:space="preserve"> </w:t>
            </w:r>
            <w:r>
              <w:rPr>
                <w:b/>
                <w:bCs/>
                <w:sz w:val="17"/>
              </w:rPr>
              <w:t xml:space="preserve">idempotence</w:t>
            </w:r>
            <w:r>
              <w:rPr>
                <w:sz w:val="17"/>
              </w:rPr>
              <w:t xml:space="preserve"> </w:t>
            </w:r>
            <w:r>
              <w:rPr>
                <w:sz w:val="17"/>
              </w:rPr>
              <w:t xml:space="preserve">par</w:t>
            </w:r>
            <w:r>
              <w:rPr>
                <w:sz w:val="17"/>
              </w:rPr>
              <w:t xml:space="preserve"> </w:t>
            </w:r>
            <w:r>
              <w:rPr>
                <w:rStyle w:val="VerbatimChar"/>
                <w:sz w:val="17"/>
              </w:rPr>
              <w:t xml:space="preserve">event.id</w:t>
            </w:r>
            <w:r>
              <w:rPr>
                <w:sz w:val="17"/>
              </w:rPr>
              <w:t xml:space="preserve"> </w:t>
            </w:r>
            <w:r>
              <w:rPr>
                <w:sz w:val="17"/>
              </w:rPr>
              <w:t xml:space="preserve">unique (table</w:t>
            </w:r>
            <w:r>
              <w:rPr>
                <w:sz w:val="17"/>
              </w:rPr>
              <w:t xml:space="preserve"> </w:t>
            </w:r>
            <w:r>
              <w:rPr>
                <w:rStyle w:val="VerbatimChar"/>
                <w:sz w:val="17"/>
              </w:rPr>
              <w:t xml:space="preserve">stripe_events</w:t>
            </w:r>
            <w:r>
              <w:rPr>
                <w:sz w:val="17"/>
              </w:rPr>
              <w:t xml:space="preserve">) ; traitement tolérant au désordre des événements (relecture de l’objet chez Stripe si besoin).</w:t>
            </w:r>
          </w:p>
        </w:tc>
        <w:tc>
          <w:tcPr>
            <w:tcW w:type="dxa" w:w="1316"/>
            <w:shd w:val="clear" w:color="auto" w:fill="EAF2F5"/>
          </w:tcPr>
          <w:p>
            <w:pPr>
              <w:pStyle w:val="Compact"/>
              <w:spacing w:after="20" w:before="20"/>
            </w:pPr>
            <w:r>
              <w:rPr>
                <w:sz w:val="17"/>
              </w:rPr>
              <w:t xml:space="preserve">API8/API10</w:t>
            </w:r>
          </w:p>
        </w:tc>
        <w:tc>
          <w:tcPr>
            <w:tcW w:type="dxa" w:w="2302"/>
            <w:shd w:val="clear" w:color="auto" w:fill="EAF2F5"/>
          </w:tcPr>
          <w:p>
            <w:pPr>
              <w:pStyle w:val="Compact"/>
              <w:spacing w:after="20" w:before="20"/>
            </w:pPr>
            <w:r>
              <w:rPr>
                <w:sz w:val="17"/>
              </w:rPr>
              <w:t xml:space="preserve">Tests : événement non signé → 400 ; même événement reçu deux fois → un seul effet.</w:t>
            </w:r>
          </w:p>
        </w:tc>
      </w:tr>
      <w:tr>
        <w:tc>
          <w:tcPr>
            <w:tcW w:type="dxa" w:w="1316"/>
          </w:tcPr>
          <w:p>
            <w:pPr>
              <w:pStyle w:val="Compact"/>
              <w:spacing w:after="20" w:before="20"/>
            </w:pPr>
            <w:r>
              <w:rPr>
                <w:sz w:val="17"/>
              </w:rPr>
              <w:t xml:space="preserve">SEC-09</w:t>
            </w:r>
          </w:p>
        </w:tc>
        <w:tc>
          <w:tcPr>
            <w:tcW w:type="dxa" w:w="4986"/>
          </w:tcPr>
          <w:p>
            <w:pPr>
              <w:pStyle w:val="Compact"/>
              <w:spacing w:after="20" w:before="20"/>
            </w:pPr>
            <w:r>
              <w:rPr>
                <w:b/>
                <w:bCs/>
                <w:sz w:val="17"/>
              </w:rPr>
              <w:t xml:space="preserve">Idempotence des appels sortants</w:t>
            </w:r>
            <w:r>
              <w:rPr>
                <w:sz w:val="17"/>
              </w:rPr>
              <w:t xml:space="preserve"> </w:t>
            </w:r>
            <w:r>
              <w:rPr>
                <w:sz w:val="17"/>
              </w:rPr>
              <w:t xml:space="preserve">vers Stripe (clé d’idempotence pour les paiements, remboursements et transferts).</w:t>
            </w:r>
          </w:p>
        </w:tc>
        <w:tc>
          <w:tcPr>
            <w:tcW w:type="dxa" w:w="1316"/>
          </w:tcPr>
          <w:p>
            <w:pPr>
              <w:pStyle w:val="Compact"/>
              <w:spacing w:after="20" w:before="20"/>
            </w:pPr>
            <w:r>
              <w:rPr>
                <w:sz w:val="17"/>
              </w:rPr>
              <w:t xml:space="preserve">Doc Stripe</w:t>
            </w:r>
          </w:p>
        </w:tc>
        <w:tc>
          <w:tcPr>
            <w:tcW w:type="dxa" w:w="2302"/>
          </w:tcPr>
          <w:p>
            <w:pPr>
              <w:pStyle w:val="Compact"/>
              <w:spacing w:after="20" w:before="20"/>
            </w:pPr>
            <w:r>
              <w:rPr>
                <w:sz w:val="17"/>
              </w:rPr>
              <w:t xml:space="preserve">Test : double clic ou nouvel essai réseau → un seul paiement ou transfert.</w:t>
            </w:r>
          </w:p>
        </w:tc>
      </w:tr>
      <w:tr>
        <w:tc>
          <w:tcPr>
            <w:tcW w:type="dxa" w:w="1316"/>
            <w:shd w:val="clear" w:color="auto" w:fill="EAF2F5"/>
          </w:tcPr>
          <w:p>
            <w:pPr>
              <w:pStyle w:val="Compact"/>
              <w:spacing w:after="20" w:before="20"/>
            </w:pPr>
            <w:r>
              <w:rPr>
                <w:sz w:val="17"/>
              </w:rPr>
              <w:t xml:space="preserve">SEC-10</w:t>
            </w:r>
          </w:p>
        </w:tc>
        <w:tc>
          <w:tcPr>
            <w:tcW w:type="dxa" w:w="4986"/>
            <w:shd w:val="clear" w:color="auto" w:fill="EAF2F5"/>
          </w:tcPr>
          <w:p>
            <w:pPr>
              <w:pStyle w:val="Compact"/>
              <w:spacing w:after="20" w:before="20"/>
            </w:pPr>
            <w:r>
              <w:rPr>
                <w:b/>
                <w:bCs/>
                <w:sz w:val="17"/>
              </w:rPr>
              <w:t xml:space="preserve">Aucune image biométrique stockée</w:t>
            </w:r>
            <w:r>
              <w:rPr>
                <w:sz w:val="17"/>
              </w:rPr>
              <w:t xml:space="preserve"> </w:t>
            </w:r>
            <w:r>
              <w:rPr>
                <w:sz w:val="17"/>
              </w:rPr>
              <w:t xml:space="preserve">par Volis : seulement</w:t>
            </w:r>
            <w:r>
              <w:rPr>
                <w:sz w:val="17"/>
              </w:rPr>
              <w:t xml:space="preserve"> </w:t>
            </w:r>
            <w:r>
              <w:rPr>
                <w:rStyle w:val="VerbatimChar"/>
                <w:sz w:val="17"/>
              </w:rPr>
              <w:t xml:space="preserve">identity_status</w:t>
            </w:r>
            <w:r>
              <w:rPr>
                <w:sz w:val="17"/>
              </w:rPr>
              <w:t xml:space="preserve"> </w:t>
            </w:r>
            <w:r>
              <w:rPr>
                <w:sz w:val="17"/>
              </w:rPr>
              <w:t xml:space="preserve">et l’ID de session Stripe. Durée de conservation minimale configurée chez Stripe ; effacement (redact) des sessions selon la politique de conservation (la doc Stripe indique que l’effacement peut prendre jusqu’à 4 jours).</w:t>
            </w:r>
          </w:p>
        </w:tc>
        <w:tc>
          <w:tcPr>
            <w:tcW w:type="dxa" w:w="1316"/>
            <w:shd w:val="clear" w:color="auto" w:fill="EAF2F5"/>
          </w:tcPr>
          <w:p>
            <w:pPr>
              <w:pStyle w:val="Compact"/>
              <w:spacing w:after="20" w:before="20"/>
            </w:pPr>
            <w:r>
              <w:rPr>
                <w:sz w:val="17"/>
              </w:rPr>
              <w:t xml:space="preserve">MASVS-PRIVACY-1 ; Loi 25</w:t>
            </w:r>
          </w:p>
        </w:tc>
        <w:tc>
          <w:tcPr>
            <w:tcW w:type="dxa" w:w="2302"/>
            <w:shd w:val="clear" w:color="auto" w:fill="EAF2F5"/>
          </w:tcPr>
          <w:p>
            <w:pPr>
              <w:pStyle w:val="Compact"/>
              <w:spacing w:after="20" w:before="20"/>
            </w:pPr>
            <w:r>
              <w:rPr>
                <w:sz w:val="17"/>
              </w:rPr>
              <w:t xml:space="preserve">Revue du schéma ; tests : aucun champ ni fichier d’image d’identité.</w:t>
            </w:r>
          </w:p>
        </w:tc>
      </w:tr>
      <w:tr>
        <w:tc>
          <w:tcPr>
            <w:tcW w:type="dxa" w:w="1316"/>
          </w:tcPr>
          <w:p>
            <w:pPr>
              <w:pStyle w:val="Compact"/>
              <w:spacing w:after="20" w:before="20"/>
            </w:pPr>
            <w:r>
              <w:rPr>
                <w:sz w:val="17"/>
              </w:rPr>
              <w:t xml:space="preserve">SEC-11</w:t>
            </w:r>
          </w:p>
        </w:tc>
        <w:tc>
          <w:tcPr>
            <w:tcW w:type="dxa" w:w="4986"/>
          </w:tcPr>
          <w:p>
            <w:pPr>
              <w:pStyle w:val="Compact"/>
              <w:spacing w:after="20" w:before="20"/>
            </w:pPr>
            <w:r>
              <w:rPr>
                <w:b/>
                <w:bCs/>
                <w:sz w:val="17"/>
              </w:rPr>
              <w:t xml:space="preserve">Données bancaires jamais saisies dans nos écrans</w:t>
            </w:r>
            <w:r>
              <w:rPr>
                <w:sz w:val="17"/>
              </w:rPr>
              <w:t xml:space="preserve"> </w:t>
            </w:r>
            <w:r>
              <w:rPr>
                <w:sz w:val="17"/>
              </w:rPr>
              <w:t xml:space="preserve">: onboarding hébergé Stripe ou composants intégrés ; Volis ne stocke que l’ID du compte connecté. Paiement par carte via PaymentSheet / Payment Element (les données de carte ne transitent pas par nos serveurs).</w:t>
            </w:r>
          </w:p>
        </w:tc>
        <w:tc>
          <w:tcPr>
            <w:tcW w:type="dxa" w:w="1316"/>
          </w:tcPr>
          <w:p>
            <w:pPr>
              <w:pStyle w:val="Compact"/>
              <w:spacing w:after="20" w:before="20"/>
            </w:pPr>
            <w:r>
              <w:rPr>
                <w:sz w:val="17"/>
              </w:rPr>
              <w:t xml:space="preserve">Fiche de recherche ; volet légal 5</w:t>
            </w:r>
          </w:p>
        </w:tc>
        <w:tc>
          <w:tcPr>
            <w:tcW w:type="dxa" w:w="2302"/>
          </w:tcPr>
          <w:p>
            <w:pPr>
              <w:pStyle w:val="Compact"/>
              <w:spacing w:after="20" w:before="20"/>
            </w:pPr>
            <w:r>
              <w:rPr>
                <w:sz w:val="17"/>
              </w:rPr>
              <w:t xml:space="preserve">Revue de code ; aucun champ de numéro de compte ou de carte dans l’app.</w:t>
            </w:r>
          </w:p>
        </w:tc>
      </w:tr>
      <w:tr>
        <w:tc>
          <w:tcPr>
            <w:tcW w:type="dxa" w:w="1316"/>
            <w:shd w:val="clear" w:color="auto" w:fill="EAF2F5"/>
          </w:tcPr>
          <w:p>
            <w:pPr>
              <w:pStyle w:val="Compact"/>
              <w:spacing w:after="20" w:before="20"/>
            </w:pPr>
            <w:r>
              <w:rPr>
                <w:sz w:val="17"/>
              </w:rPr>
              <w:t xml:space="preserve">SEC-12</w:t>
            </w:r>
          </w:p>
        </w:tc>
        <w:tc>
          <w:tcPr>
            <w:tcW w:type="dxa" w:w="4986"/>
            <w:shd w:val="clear" w:color="auto" w:fill="EAF2F5"/>
          </w:tcPr>
          <w:p>
            <w:pPr>
              <w:pStyle w:val="Compact"/>
              <w:spacing w:after="20" w:before="20"/>
            </w:pPr>
            <w:r>
              <w:rPr>
                <w:b/>
                <w:bCs/>
                <w:sz w:val="17"/>
              </w:rPr>
              <w:t xml:space="preserve">Chiffrement au repos</w:t>
            </w:r>
            <w:r>
              <w:rPr>
                <w:sz w:val="17"/>
              </w:rPr>
              <w:t xml:space="preserve"> </w:t>
            </w:r>
            <w:r>
              <w:rPr>
                <w:sz w:val="17"/>
              </w:rPr>
              <w:t xml:space="preserve">de la base, du stockage et des sauvegardes (fourni par l’hébergeur,</w:t>
            </w:r>
            <w:r>
              <w:rPr>
                <w:sz w:val="17"/>
              </w:rPr>
              <w:t xml:space="preserve"> </w:t>
            </w:r>
            <w:r>
              <w:rPr>
                <w:b/>
                <w:bCs/>
                <w:sz w:val="17"/>
              </w:rPr>
              <w:t xml:space="preserve">à confirmer</w:t>
            </w:r>
            <w:r>
              <w:rPr>
                <w:sz w:val="17"/>
              </w:rPr>
              <w:t xml:space="preserve"> </w:t>
            </w:r>
            <w:r>
              <w:rPr>
                <w:sz w:val="17"/>
              </w:rPr>
              <w:t xml:space="preserve">dans sa documentation) ; chiffrement supplémentaire au niveau des colonnes pour les champs les plus sensibles si nécessaire.</w:t>
            </w:r>
          </w:p>
        </w:tc>
        <w:tc>
          <w:tcPr>
            <w:tcW w:type="dxa" w:w="1316"/>
            <w:shd w:val="clear" w:color="auto" w:fill="EAF2F5"/>
          </w:tcPr>
          <w:p>
            <w:pPr>
              <w:pStyle w:val="Compact"/>
              <w:spacing w:after="20" w:before="20"/>
            </w:pPr>
            <w:r>
              <w:rPr>
                <w:sz w:val="17"/>
              </w:rPr>
              <w:t xml:space="preserve">MASVS-CRYPTO ; Loi 25</w:t>
            </w:r>
          </w:p>
        </w:tc>
        <w:tc>
          <w:tcPr>
            <w:tcW w:type="dxa" w:w="2302"/>
            <w:shd w:val="clear" w:color="auto" w:fill="EAF2F5"/>
          </w:tcPr>
          <w:p>
            <w:pPr>
              <w:pStyle w:val="Compact"/>
              <w:spacing w:after="20" w:before="20"/>
            </w:pPr>
            <w:r>
              <w:rPr>
                <w:sz w:val="17"/>
              </w:rPr>
              <w:t xml:space="preserve">Attestation de l’hébergeur ; revue de config.</w:t>
            </w:r>
          </w:p>
        </w:tc>
      </w:tr>
      <w:tr>
        <w:tc>
          <w:tcPr>
            <w:tcW w:type="dxa" w:w="1316"/>
          </w:tcPr>
          <w:p>
            <w:pPr>
              <w:pStyle w:val="Compact"/>
              <w:spacing w:after="20" w:before="20"/>
            </w:pPr>
            <w:r>
              <w:rPr>
                <w:sz w:val="17"/>
              </w:rPr>
              <w:t xml:space="preserve">SEC-13</w:t>
            </w:r>
          </w:p>
        </w:tc>
        <w:tc>
          <w:tcPr>
            <w:tcW w:type="dxa" w:w="4986"/>
          </w:tcPr>
          <w:p>
            <w:pPr>
              <w:pStyle w:val="Compact"/>
              <w:spacing w:after="20" w:before="20"/>
            </w:pPr>
            <w:r>
              <w:rPr>
                <w:b/>
                <w:bCs/>
                <w:sz w:val="17"/>
              </w:rPr>
              <w:t xml:space="preserve">Journalisation sans données personnelles</w:t>
            </w:r>
            <w:r>
              <w:rPr>
                <w:sz w:val="17"/>
              </w:rPr>
              <w:t xml:space="preserve"> </w:t>
            </w:r>
            <w:r>
              <w:rPr>
                <w:sz w:val="17"/>
              </w:rPr>
              <w:t xml:space="preserve">: identifiants techniques seulement ; masquage (scrubbing) dans Sentry ; aucun jeton, courriel, adresse ou contenu de message dans les journaux. Durées de conservation des journaux</w:t>
            </w:r>
            <w:r>
              <w:rPr>
                <w:sz w:val="17"/>
              </w:rPr>
              <w:t xml:space="preserve"> </w:t>
            </w:r>
            <w:r>
              <w:rPr>
                <w:b/>
                <w:bCs/>
                <w:sz w:val="17"/>
              </w:rPr>
              <w:t xml:space="preserve">à décider</w:t>
            </w:r>
            <w:r>
              <w:rPr>
                <w:sz w:val="17"/>
              </w:rPr>
              <w:t xml:space="preserve">.</w:t>
            </w:r>
          </w:p>
        </w:tc>
        <w:tc>
          <w:tcPr>
            <w:tcW w:type="dxa" w:w="1316"/>
          </w:tcPr>
          <w:p>
            <w:pPr>
              <w:pStyle w:val="Compact"/>
              <w:spacing w:after="20" w:before="20"/>
            </w:pPr>
            <w:r>
              <w:rPr>
                <w:sz w:val="17"/>
              </w:rPr>
              <w:t xml:space="preserve">MASVS-STORAGE-2 ; guide 5.4</w:t>
            </w:r>
          </w:p>
        </w:tc>
        <w:tc>
          <w:tcPr>
            <w:tcW w:type="dxa" w:w="2302"/>
          </w:tcPr>
          <w:p>
            <w:pPr>
              <w:pStyle w:val="Compact"/>
              <w:spacing w:after="20" w:before="20"/>
            </w:pPr>
            <w:r>
              <w:rPr>
                <w:sz w:val="17"/>
              </w:rPr>
              <w:t xml:space="preserve">Test : recherche de motifs (courriel, jeton) dans les journaux = 0.</w:t>
            </w:r>
          </w:p>
        </w:tc>
      </w:tr>
      <w:tr>
        <w:tc>
          <w:tcPr>
            <w:tcW w:type="dxa" w:w="1316"/>
            <w:shd w:val="clear" w:color="auto" w:fill="EAF2F5"/>
          </w:tcPr>
          <w:p>
            <w:pPr>
              <w:pStyle w:val="Compact"/>
              <w:spacing w:after="20" w:before="20"/>
            </w:pPr>
            <w:r>
              <w:rPr>
                <w:sz w:val="17"/>
              </w:rPr>
              <w:t xml:space="preserve">SEC-14</w:t>
            </w:r>
          </w:p>
        </w:tc>
        <w:tc>
          <w:tcPr>
            <w:tcW w:type="dxa" w:w="4986"/>
            <w:shd w:val="clear" w:color="auto" w:fill="EAF2F5"/>
          </w:tcPr>
          <w:p>
            <w:pPr>
              <w:pStyle w:val="Compact"/>
              <w:spacing w:after="20" w:before="20"/>
            </w:pPr>
            <w:r>
              <w:rPr>
                <w:b/>
                <w:bCs/>
                <w:sz w:val="17"/>
              </w:rPr>
              <w:t xml:space="preserve">Limitation de débit</w:t>
            </w:r>
            <w:r>
              <w:rPr>
                <w:sz w:val="17"/>
              </w:rPr>
              <w:t xml:space="preserve"> </w:t>
            </w:r>
            <w:r>
              <w:rPr>
                <w:sz w:val="17"/>
              </w:rPr>
              <w:t xml:space="preserve">sur l’authentification, la réinitialisation, l’envoi de messages, la création d’annonces et les fonctions coûteuses ; quotas par utilisateur, IP et appareil. Seuils</w:t>
            </w:r>
            <w:r>
              <w:rPr>
                <w:sz w:val="17"/>
              </w:rPr>
              <w:t xml:space="preserve"> </w:t>
            </w:r>
            <w:r>
              <w:rPr>
                <w:b/>
                <w:bCs/>
                <w:sz w:val="17"/>
              </w:rPr>
              <w:t xml:space="preserve">à décider</w:t>
            </w:r>
            <w:r>
              <w:rPr>
                <w:sz w:val="17"/>
              </w:rPr>
              <w:t xml:space="preserve">.</w:t>
            </w:r>
          </w:p>
        </w:tc>
        <w:tc>
          <w:tcPr>
            <w:tcW w:type="dxa" w:w="1316"/>
            <w:shd w:val="clear" w:color="auto" w:fill="EAF2F5"/>
          </w:tcPr>
          <w:p>
            <w:pPr>
              <w:pStyle w:val="Compact"/>
              <w:spacing w:after="20" w:before="20"/>
            </w:pPr>
            <w:r>
              <w:rPr>
                <w:sz w:val="17"/>
              </w:rPr>
              <w:t xml:space="preserve">API4/API6</w:t>
            </w:r>
          </w:p>
        </w:tc>
        <w:tc>
          <w:tcPr>
            <w:tcW w:type="dxa" w:w="2302"/>
            <w:shd w:val="clear" w:color="auto" w:fill="EAF2F5"/>
          </w:tcPr>
          <w:p>
            <w:pPr>
              <w:pStyle w:val="Compact"/>
              <w:spacing w:after="20" w:before="20"/>
            </w:pPr>
            <w:r>
              <w:rPr>
                <w:sz w:val="17"/>
              </w:rPr>
              <w:t xml:space="preserve">Test de charge ciblé : dépassement → 429.</w:t>
            </w:r>
          </w:p>
        </w:tc>
      </w:tr>
      <w:tr>
        <w:tc>
          <w:tcPr>
            <w:tcW w:type="dxa" w:w="1316"/>
          </w:tcPr>
          <w:p>
            <w:pPr>
              <w:pStyle w:val="Compact"/>
              <w:spacing w:after="20" w:before="20"/>
            </w:pPr>
            <w:r>
              <w:rPr>
                <w:sz w:val="17"/>
              </w:rPr>
              <w:t xml:space="preserve">SEC-15</w:t>
            </w:r>
          </w:p>
        </w:tc>
        <w:tc>
          <w:tcPr>
            <w:tcW w:type="dxa" w:w="4986"/>
          </w:tcPr>
          <w:p>
            <w:pPr>
              <w:pStyle w:val="Compact"/>
              <w:spacing w:after="20" w:before="20"/>
            </w:pPr>
            <w:r>
              <w:rPr>
                <w:b/>
                <w:bCs/>
                <w:sz w:val="17"/>
              </w:rPr>
              <w:t xml:space="preserve">Anti-fraude</w:t>
            </w:r>
            <w:r>
              <w:rPr>
                <w:sz w:val="17"/>
              </w:rPr>
              <w:t xml:space="preserve"> </w:t>
            </w:r>
            <w:r>
              <w:rPr>
                <w:sz w:val="17"/>
              </w:rPr>
              <w:t xml:space="preserve">: Stripe Radar sur les paiements ;</w:t>
            </w:r>
            <w:r>
              <w:rPr>
                <w:sz w:val="17"/>
              </w:rPr>
              <w:t xml:space="preserve"> </w:t>
            </w:r>
            <w:r>
              <w:rPr>
                <w:b/>
                <w:bCs/>
                <w:sz w:val="17"/>
              </w:rPr>
              <w:t xml:space="preserve">vérification d’identité obligatoire avant la première transaction</w:t>
            </w:r>
            <w:r>
              <w:rPr>
                <w:sz w:val="17"/>
              </w:rPr>
              <w:t xml:space="preserve"> </w:t>
            </w:r>
            <w:r>
              <w:rPr>
                <w:sz w:val="17"/>
              </w:rPr>
              <w:t xml:space="preserve">(expéditeur et voyageur, périmètre</w:t>
            </w:r>
            <w:r>
              <w:rPr>
                <w:sz w:val="17"/>
              </w:rPr>
              <w:t xml:space="preserve"> </w:t>
            </w:r>
            <w:r>
              <w:rPr>
                <w:b/>
                <w:bCs/>
                <w:sz w:val="17"/>
              </w:rPr>
              <w:t xml:space="preserve">à confirmer</w:t>
            </w:r>
            <w:r>
              <w:rPr>
                <w:sz w:val="17"/>
              </w:rPr>
              <w:t xml:space="preserve">) ; signalements d’utilisateurs ; suspension du transfert en cas d’alerte ; attestation d’app (Play Integrity / App Attest) à évaluer.</w:t>
            </w:r>
          </w:p>
        </w:tc>
        <w:tc>
          <w:tcPr>
            <w:tcW w:type="dxa" w:w="1316"/>
          </w:tcPr>
          <w:p>
            <w:pPr>
              <w:pStyle w:val="Compact"/>
              <w:spacing w:after="20" w:before="20"/>
            </w:pPr>
            <w:r>
              <w:rPr>
                <w:sz w:val="17"/>
              </w:rPr>
              <w:t xml:space="preserve">API6 ; MASVS-RESILIENCE</w:t>
            </w:r>
          </w:p>
        </w:tc>
        <w:tc>
          <w:tcPr>
            <w:tcW w:type="dxa" w:w="2302"/>
          </w:tcPr>
          <w:p>
            <w:pPr>
              <w:pStyle w:val="Compact"/>
              <w:spacing w:after="20" w:before="20"/>
            </w:pPr>
            <w:r>
              <w:rPr>
                <w:sz w:val="17"/>
              </w:rPr>
              <w:t xml:space="preserve">Test : réservation refusée sans</w:t>
            </w:r>
            <w:r>
              <w:rPr>
                <w:sz w:val="17"/>
              </w:rPr>
              <w:t xml:space="preserve"> </w:t>
            </w:r>
            <w:r>
              <w:rPr>
                <w:rStyle w:val="VerbatimChar"/>
                <w:sz w:val="17"/>
              </w:rPr>
              <w:t xml:space="preserve">identity_status = verified</w:t>
            </w:r>
            <w:r>
              <w:rPr>
                <w:sz w:val="17"/>
              </w:rPr>
              <w:t xml:space="preserve">.</w:t>
            </w:r>
          </w:p>
        </w:tc>
      </w:tr>
      <w:tr>
        <w:tc>
          <w:tcPr>
            <w:tcW w:type="dxa" w:w="1316"/>
            <w:shd w:val="clear" w:color="auto" w:fill="EAF2F5"/>
          </w:tcPr>
          <w:p>
            <w:pPr>
              <w:pStyle w:val="Compact"/>
              <w:spacing w:after="20" w:before="20"/>
            </w:pPr>
            <w:r>
              <w:rPr>
                <w:sz w:val="17"/>
              </w:rPr>
              <w:t xml:space="preserve">SEC-16</w:t>
            </w:r>
          </w:p>
        </w:tc>
        <w:tc>
          <w:tcPr>
            <w:tcW w:type="dxa" w:w="4986"/>
            <w:shd w:val="clear" w:color="auto" w:fill="EAF2F5"/>
          </w:tcPr>
          <w:p>
            <w:pPr>
              <w:pStyle w:val="Compact"/>
              <w:spacing w:after="20" w:before="20"/>
            </w:pPr>
            <w:r>
              <w:rPr>
                <w:b/>
                <w:bCs/>
                <w:sz w:val="17"/>
              </w:rPr>
              <w:t xml:space="preserve">Modération</w:t>
            </w:r>
            <w:r>
              <w:rPr>
                <w:sz w:val="17"/>
              </w:rPr>
              <w:t xml:space="preserve"> </w:t>
            </w:r>
            <w:r>
              <w:rPr>
                <w:sz w:val="17"/>
              </w:rPr>
              <w:t xml:space="preserve">des photos et des messages : signalement depuis l’app, file de modération, blocage d’un utilisateur ; analyse automatique (service</w:t>
            </w:r>
            <w:r>
              <w:rPr>
                <w:sz w:val="17"/>
              </w:rPr>
              <w:t xml:space="preserve"> </w:t>
            </w:r>
            <w:r>
              <w:rPr>
                <w:b/>
                <w:bCs/>
                <w:sz w:val="17"/>
              </w:rPr>
              <w:t xml:space="preserve">à confirmer</w:t>
            </w:r>
            <w:r>
              <w:rPr>
                <w:sz w:val="17"/>
              </w:rPr>
              <w:t xml:space="preserve">).</w:t>
            </w:r>
          </w:p>
        </w:tc>
        <w:tc>
          <w:tcPr>
            <w:tcW w:type="dxa" w:w="1316"/>
            <w:shd w:val="clear" w:color="auto" w:fill="EAF2F5"/>
          </w:tcPr>
          <w:p>
            <w:pPr>
              <w:pStyle w:val="Compact"/>
              <w:spacing w:after="20" w:before="20"/>
            </w:pPr>
            <w:r>
              <w:rPr>
                <w:sz w:val="17"/>
              </w:rPr>
              <w:t xml:space="preserve">MASVS-PLATFORM-3 ; exigences des stores sur le contenu des utilisateurs (</w:t>
            </w:r>
            <w:r>
              <w:rPr>
                <w:b/>
                <w:bCs/>
                <w:sz w:val="17"/>
              </w:rPr>
              <w:t xml:space="preserve">à confirmer</w:t>
            </w:r>
            <w:r>
              <w:rPr>
                <w:sz w:val="17"/>
              </w:rPr>
              <w:t xml:space="preserve">)</w:t>
            </w:r>
          </w:p>
        </w:tc>
        <w:tc>
          <w:tcPr>
            <w:tcW w:type="dxa" w:w="2302"/>
            <w:shd w:val="clear" w:color="auto" w:fill="EAF2F5"/>
          </w:tcPr>
          <w:p>
            <w:pPr>
              <w:pStyle w:val="Compact"/>
              <w:spacing w:after="20" w:before="20"/>
            </w:pPr>
            <w:r>
              <w:rPr>
                <w:sz w:val="17"/>
              </w:rPr>
              <w:t xml:space="preserve">Test E2E : message signalé → masqué en attente de révision.</w:t>
            </w:r>
          </w:p>
        </w:tc>
      </w:tr>
      <w:tr>
        <w:tc>
          <w:tcPr>
            <w:tcW w:type="dxa" w:w="1316"/>
          </w:tcPr>
          <w:p>
            <w:pPr>
              <w:pStyle w:val="Compact"/>
              <w:spacing w:after="20" w:before="20"/>
            </w:pPr>
            <w:r>
              <w:rPr>
                <w:sz w:val="17"/>
              </w:rPr>
              <w:t xml:space="preserve">SEC-17</w:t>
            </w:r>
          </w:p>
        </w:tc>
        <w:tc>
          <w:tcPr>
            <w:tcW w:type="dxa" w:w="4986"/>
          </w:tcPr>
          <w:p>
            <w:pPr>
              <w:pStyle w:val="Compact"/>
              <w:spacing w:after="20" w:before="20"/>
            </w:pPr>
            <w:r>
              <w:rPr>
                <w:b/>
                <w:bCs/>
                <w:sz w:val="17"/>
              </w:rPr>
              <w:t xml:space="preserve">Photos</w:t>
            </w:r>
            <w:r>
              <w:rPr>
                <w:sz w:val="17"/>
              </w:rPr>
              <w:t xml:space="preserve"> </w:t>
            </w:r>
            <w:r>
              <w:rPr>
                <w:sz w:val="17"/>
              </w:rPr>
              <w:t xml:space="preserve">: compartiments privés ; URL signées de courte durée ; EXIF retiré ; types et tailles de fichiers validés côté serveur.</w:t>
            </w:r>
          </w:p>
        </w:tc>
        <w:tc>
          <w:tcPr>
            <w:tcW w:type="dxa" w:w="1316"/>
          </w:tcPr>
          <w:p>
            <w:pPr>
              <w:pStyle w:val="Compact"/>
              <w:spacing w:after="20" w:before="20"/>
            </w:pPr>
            <w:r>
              <w:rPr>
                <w:sz w:val="17"/>
              </w:rPr>
              <w:t xml:space="preserve">MASVS-CODE-4 ; PRIVACY</w:t>
            </w:r>
          </w:p>
        </w:tc>
        <w:tc>
          <w:tcPr>
            <w:tcW w:type="dxa" w:w="2302"/>
          </w:tcPr>
          <w:p>
            <w:pPr>
              <w:pStyle w:val="Compact"/>
              <w:spacing w:after="20" w:before="20"/>
            </w:pPr>
            <w:r>
              <w:rPr>
                <w:sz w:val="17"/>
              </w:rPr>
              <w:t xml:space="preserve">Test : URL d’une photo d’une autre réservation → refusée.</w:t>
            </w:r>
          </w:p>
        </w:tc>
      </w:tr>
      <w:tr>
        <w:tc>
          <w:tcPr>
            <w:tcW w:type="dxa" w:w="1316"/>
            <w:shd w:val="clear" w:color="auto" w:fill="EAF2F5"/>
          </w:tcPr>
          <w:p>
            <w:pPr>
              <w:pStyle w:val="Compact"/>
              <w:spacing w:after="20" w:before="20"/>
            </w:pPr>
            <w:r>
              <w:rPr>
                <w:sz w:val="17"/>
              </w:rPr>
              <w:t xml:space="preserve">SEC-18</w:t>
            </w:r>
          </w:p>
        </w:tc>
        <w:tc>
          <w:tcPr>
            <w:tcW w:type="dxa" w:w="4986"/>
            <w:shd w:val="clear" w:color="auto" w:fill="EAF2F5"/>
          </w:tcPr>
          <w:p>
            <w:pPr>
              <w:pStyle w:val="Compact"/>
              <w:spacing w:after="20" w:before="20"/>
            </w:pPr>
            <w:r>
              <w:rPr>
                <w:b/>
                <w:bCs/>
                <w:sz w:val="17"/>
              </w:rPr>
              <w:t xml:space="preserve">Sauvegardes</w:t>
            </w:r>
            <w:r>
              <w:rPr>
                <w:sz w:val="17"/>
              </w:rPr>
              <w:t xml:space="preserve"> </w:t>
            </w:r>
            <w:r>
              <w:rPr>
                <w:sz w:val="17"/>
              </w:rPr>
              <w:t xml:space="preserve">: sauvegardes automatiques et restauration testée ; fréquence et durée de rétention</w:t>
            </w:r>
            <w:r>
              <w:rPr>
                <w:sz w:val="17"/>
              </w:rPr>
              <w:t xml:space="preserve"> </w:t>
            </w:r>
            <w:r>
              <w:rPr>
                <w:b/>
                <w:bCs/>
                <w:sz w:val="17"/>
              </w:rPr>
              <w:t xml:space="preserve">à décider</w:t>
            </w:r>
            <w:r>
              <w:rPr>
                <w:sz w:val="17"/>
              </w:rPr>
              <w:t xml:space="preserve"> </w:t>
            </w:r>
            <w:r>
              <w:rPr>
                <w:sz w:val="17"/>
              </w:rPr>
              <w:t xml:space="preserve">selon l’offre de l’hébergeur.</w:t>
            </w:r>
          </w:p>
        </w:tc>
        <w:tc>
          <w:tcPr>
            <w:tcW w:type="dxa" w:w="1316"/>
            <w:shd w:val="clear" w:color="auto" w:fill="EAF2F5"/>
          </w:tcPr>
          <w:p>
            <w:pPr>
              <w:pStyle w:val="Compact"/>
              <w:spacing w:after="20" w:before="20"/>
            </w:pPr>
            <w:r>
              <w:rPr>
                <w:sz w:val="17"/>
              </w:rPr>
              <w:t xml:space="preserve">Guide 5.5</w:t>
            </w:r>
          </w:p>
        </w:tc>
        <w:tc>
          <w:tcPr>
            <w:tcW w:type="dxa" w:w="2302"/>
            <w:shd w:val="clear" w:color="auto" w:fill="EAF2F5"/>
          </w:tcPr>
          <w:p>
            <w:pPr>
              <w:pStyle w:val="Compact"/>
              <w:spacing w:after="20" w:before="20"/>
            </w:pPr>
            <w:r>
              <w:rPr>
                <w:sz w:val="17"/>
              </w:rPr>
              <w:t xml:space="preserve">Exercice de restauration documenté avant le lancement.</w:t>
            </w:r>
          </w:p>
        </w:tc>
      </w:tr>
      <w:tr>
        <w:tc>
          <w:tcPr>
            <w:tcW w:type="dxa" w:w="1316"/>
          </w:tcPr>
          <w:p>
            <w:pPr>
              <w:pStyle w:val="Compact"/>
              <w:spacing w:after="20" w:before="20"/>
            </w:pPr>
            <w:r>
              <w:rPr>
                <w:sz w:val="17"/>
              </w:rPr>
              <w:t xml:space="preserve">SEC-19</w:t>
            </w:r>
          </w:p>
        </w:tc>
        <w:tc>
          <w:tcPr>
            <w:tcW w:type="dxa" w:w="4986"/>
          </w:tcPr>
          <w:p>
            <w:pPr>
              <w:pStyle w:val="Compact"/>
              <w:spacing w:after="20" w:before="20"/>
            </w:pPr>
            <w:r>
              <w:rPr>
                <w:b/>
                <w:bCs/>
                <w:sz w:val="17"/>
              </w:rPr>
              <w:t xml:space="preserve">Suppression du compte dans l’app</w:t>
            </w:r>
            <w:r>
              <w:rPr>
                <w:sz w:val="17"/>
              </w:rPr>
              <w:t xml:space="preserve"> </w:t>
            </w:r>
            <w:r>
              <w:rPr>
                <w:sz w:val="17"/>
              </w:rPr>
              <w:t xml:space="preserve">(exigée par Apple, règle 5.1.1(v)) et</w:t>
            </w:r>
            <w:r>
              <w:rPr>
                <w:sz w:val="17"/>
              </w:rPr>
              <w:t xml:space="preserve"> </w:t>
            </w:r>
            <w:r>
              <w:rPr>
                <w:b/>
                <w:bCs/>
                <w:sz w:val="17"/>
              </w:rPr>
              <w:t xml:space="preserve">export des données</w:t>
            </w:r>
            <w:r>
              <w:rPr>
                <w:sz w:val="17"/>
              </w:rPr>
              <w:t xml:space="preserve"> </w:t>
            </w:r>
            <w:r>
              <w:rPr>
                <w:sz w:val="17"/>
              </w:rPr>
              <w:t xml:space="preserve">dans un format structuré (portabilité, Loi 25). Données à conserver pour obligations légales (paiements, litiges) : liste et durées</w:t>
            </w:r>
            <w:r>
              <w:rPr>
                <w:sz w:val="17"/>
              </w:rPr>
              <w:t xml:space="preserve"> </w:t>
            </w:r>
            <w:r>
              <w:rPr>
                <w:b/>
                <w:bCs/>
                <w:sz w:val="17"/>
              </w:rPr>
              <w:t xml:space="preserve">à confirmer avec l’équipe juridique</w:t>
            </w:r>
            <w:r>
              <w:rPr>
                <w:sz w:val="17"/>
              </w:rPr>
              <w:t xml:space="preserve">.</w:t>
            </w:r>
          </w:p>
        </w:tc>
        <w:tc>
          <w:tcPr>
            <w:tcW w:type="dxa" w:w="1316"/>
          </w:tcPr>
          <w:p>
            <w:pPr>
              <w:pStyle w:val="Compact"/>
              <w:spacing w:after="20" w:before="20"/>
            </w:pPr>
            <w:r>
              <w:rPr>
                <w:sz w:val="17"/>
              </w:rPr>
              <w:t xml:space="preserve">MASVS-PRIVACY-4</w:t>
            </w:r>
          </w:p>
        </w:tc>
        <w:tc>
          <w:tcPr>
            <w:tcW w:type="dxa" w:w="2302"/>
          </w:tcPr>
          <w:p>
            <w:pPr>
              <w:pStyle w:val="Compact"/>
              <w:spacing w:after="20" w:before="20"/>
            </w:pPr>
            <w:r>
              <w:rPr>
                <w:sz w:val="17"/>
              </w:rPr>
              <w:t xml:space="preserve">Test E2E : suppression → session révoquée, données effacées ou anonymisées, export JSON disponible.</w:t>
            </w:r>
          </w:p>
        </w:tc>
      </w:tr>
      <w:tr>
        <w:tc>
          <w:tcPr>
            <w:tcW w:type="dxa" w:w="1316"/>
            <w:shd w:val="clear" w:color="auto" w:fill="EAF2F5"/>
          </w:tcPr>
          <w:p>
            <w:pPr>
              <w:pStyle w:val="Compact"/>
              <w:spacing w:after="20" w:before="20"/>
            </w:pPr>
            <w:r>
              <w:rPr>
                <w:sz w:val="17"/>
              </w:rPr>
              <w:t xml:space="preserve">SEC-20</w:t>
            </w:r>
          </w:p>
        </w:tc>
        <w:tc>
          <w:tcPr>
            <w:tcW w:type="dxa" w:w="4986"/>
            <w:shd w:val="clear" w:color="auto" w:fill="EAF2F5"/>
          </w:tcPr>
          <w:p>
            <w:pPr>
              <w:pStyle w:val="Compact"/>
              <w:spacing w:after="20" w:before="20"/>
            </w:pPr>
            <w:r>
              <w:rPr>
                <w:b/>
                <w:bCs/>
                <w:sz w:val="17"/>
              </w:rPr>
              <w:t xml:space="preserve">Plan de réponse aux incidents</w:t>
            </w:r>
            <w:r>
              <w:rPr>
                <w:sz w:val="17"/>
              </w:rPr>
              <w:t xml:space="preserve"> </w:t>
            </w:r>
            <w:r>
              <w:rPr>
                <w:sz w:val="17"/>
              </w:rPr>
              <w:t xml:space="preserve">: détection → confinement (révocation des jetons, désactivation de fonctions, version minimale) → correctif → évaluation du préjudice → avis à la CAI et aux personnes si risque de préjudice sérieux →</w:t>
            </w:r>
            <w:r>
              <w:rPr>
                <w:sz w:val="17"/>
              </w:rPr>
              <w:t xml:space="preserve"> </w:t>
            </w:r>
            <w:r>
              <w:rPr>
                <w:b/>
                <w:bCs/>
                <w:sz w:val="17"/>
              </w:rPr>
              <w:t xml:space="preserve">registre des incidents</w:t>
            </w:r>
            <w:r>
              <w:rPr>
                <w:sz w:val="17"/>
              </w:rPr>
              <w:t xml:space="preserve"> </w:t>
            </w:r>
            <w:r>
              <w:rPr>
                <w:sz w:val="17"/>
              </w:rPr>
              <w:t xml:space="preserve">(</w:t>
            </w:r>
            <w:r>
              <w:rPr>
                <w:rStyle w:val="VerbatimChar"/>
                <w:sz w:val="17"/>
              </w:rPr>
              <w:t xml:space="preserve">security_incidents</w:t>
            </w:r>
            <w:r>
              <w:rPr>
                <w:sz w:val="17"/>
              </w:rPr>
              <w:t xml:space="preserve">).</w:t>
            </w:r>
          </w:p>
        </w:tc>
        <w:tc>
          <w:tcPr>
            <w:tcW w:type="dxa" w:w="1316"/>
            <w:shd w:val="clear" w:color="auto" w:fill="EAF2F5"/>
          </w:tcPr>
          <w:p>
            <w:pPr>
              <w:pStyle w:val="Compact"/>
              <w:spacing w:after="20" w:before="20"/>
            </w:pPr>
            <w:r>
              <w:rPr>
                <w:sz w:val="17"/>
              </w:rPr>
              <w:t xml:space="preserve">Guide 5.5 ; Loi 25</w:t>
            </w:r>
          </w:p>
        </w:tc>
        <w:tc>
          <w:tcPr>
            <w:tcW w:type="dxa" w:w="2302"/>
            <w:shd w:val="clear" w:color="auto" w:fill="EAF2F5"/>
          </w:tcPr>
          <w:p>
            <w:pPr>
              <w:pStyle w:val="Compact"/>
              <w:spacing w:after="20" w:before="20"/>
            </w:pPr>
            <w:r>
              <w:rPr>
                <w:sz w:val="17"/>
              </w:rPr>
              <w:t xml:space="preserve">Exercice sur table avant le lancement.</w:t>
            </w:r>
          </w:p>
        </w:tc>
      </w:tr>
      <w:tr>
        <w:tc>
          <w:tcPr>
            <w:tcW w:type="dxa" w:w="1316"/>
          </w:tcPr>
          <w:p>
            <w:pPr>
              <w:pStyle w:val="Compact"/>
              <w:spacing w:after="20" w:before="20"/>
            </w:pPr>
            <w:r>
              <w:rPr>
                <w:sz w:val="17"/>
              </w:rPr>
              <w:t xml:space="preserve">SEC-21</w:t>
            </w:r>
          </w:p>
        </w:tc>
        <w:tc>
          <w:tcPr>
            <w:tcW w:type="dxa" w:w="4986"/>
          </w:tcPr>
          <w:p>
            <w:pPr>
              <w:pStyle w:val="Compact"/>
              <w:spacing w:after="20" w:before="20"/>
            </w:pPr>
            <w:r>
              <w:rPr>
                <w:b/>
                <w:bCs/>
                <w:sz w:val="17"/>
              </w:rPr>
              <w:t xml:space="preserve">Mise à jour forcée</w:t>
            </w:r>
            <w:r>
              <w:rPr>
                <w:sz w:val="17"/>
              </w:rPr>
              <w:t xml:space="preserve"> </w:t>
            </w:r>
            <w:r>
              <w:rPr>
                <w:sz w:val="17"/>
              </w:rPr>
              <w:t xml:space="preserve">: version minimale renvoyée par le backend, qui bloque les versions vulnérables.</w:t>
            </w:r>
          </w:p>
        </w:tc>
        <w:tc>
          <w:tcPr>
            <w:tcW w:type="dxa" w:w="1316"/>
          </w:tcPr>
          <w:p>
            <w:pPr>
              <w:pStyle w:val="Compact"/>
              <w:spacing w:after="20" w:before="20"/>
            </w:pPr>
            <w:r>
              <w:rPr>
                <w:sz w:val="17"/>
              </w:rPr>
              <w:t xml:space="preserve">MASVS-CODE-2</w:t>
            </w:r>
          </w:p>
        </w:tc>
        <w:tc>
          <w:tcPr>
            <w:tcW w:type="dxa" w:w="2302"/>
          </w:tcPr>
          <w:p>
            <w:pPr>
              <w:pStyle w:val="Compact"/>
              <w:spacing w:after="20" w:before="20"/>
            </w:pPr>
            <w:r>
              <w:rPr>
                <w:sz w:val="17"/>
              </w:rPr>
              <w:t xml:space="preserve">Test : version inférieure au minimum → écran de mise à jour.</w:t>
            </w:r>
          </w:p>
        </w:tc>
      </w:tr>
      <w:tr>
        <w:tc>
          <w:tcPr>
            <w:tcW w:type="dxa" w:w="1316"/>
            <w:shd w:val="clear" w:color="auto" w:fill="EAF2F5"/>
          </w:tcPr>
          <w:p>
            <w:pPr>
              <w:pStyle w:val="Compact"/>
              <w:spacing w:after="20" w:before="20"/>
            </w:pPr>
            <w:r>
              <w:rPr>
                <w:sz w:val="17"/>
              </w:rPr>
              <w:t xml:space="preserve">SEC-22</w:t>
            </w:r>
          </w:p>
        </w:tc>
        <w:tc>
          <w:tcPr>
            <w:tcW w:type="dxa" w:w="4986"/>
            <w:shd w:val="clear" w:color="auto" w:fill="EAF2F5"/>
          </w:tcPr>
          <w:p>
            <w:pPr>
              <w:pStyle w:val="Compact"/>
              <w:spacing w:after="20" w:before="20"/>
            </w:pPr>
            <w:r>
              <w:rPr>
                <w:b/>
                <w:bCs/>
                <w:sz w:val="17"/>
              </w:rPr>
              <w:t xml:space="preserve">Tests de sécurité</w:t>
            </w:r>
            <w:r>
              <w:rPr>
                <w:sz w:val="17"/>
              </w:rPr>
              <w:t xml:space="preserve"> </w:t>
            </w:r>
            <w:r>
              <w:rPr>
                <w:sz w:val="17"/>
              </w:rPr>
              <w:t xml:space="preserve">: SAST (CodeQL ou Semgrep) et SCA (Dependabot/Renovate,</w:t>
            </w:r>
            <w:r>
              <w:rPr>
                <w:sz w:val="17"/>
              </w:rPr>
              <w:t xml:space="preserve"> </w:t>
            </w:r>
            <w:r>
              <w:rPr>
                <w:rStyle w:val="VerbatimChar"/>
                <w:sz w:val="17"/>
              </w:rPr>
              <w:t xml:space="preserve">npm audit</w:t>
            </w:r>
            <w:r>
              <w:rPr>
                <w:sz w:val="17"/>
              </w:rPr>
              <w:t xml:space="preserve">, OSV-Scanner) à chaque PR ; scan de secrets ; analyse</w:t>
            </w:r>
            <w:r>
              <w:rPr>
                <w:sz w:val="17"/>
              </w:rPr>
              <w:t xml:space="preserve"> </w:t>
            </w:r>
            <w:r>
              <w:rPr>
                <w:b/>
                <w:bCs/>
                <w:sz w:val="17"/>
              </w:rPr>
              <w:t xml:space="preserve">MobSF</w:t>
            </w:r>
            <w:r>
              <w:rPr>
                <w:sz w:val="17"/>
              </w:rPr>
              <w:t xml:space="preserve"> </w:t>
            </w:r>
            <w:r>
              <w:rPr>
                <w:sz w:val="17"/>
              </w:rPr>
              <w:t xml:space="preserve">des builds de release ;</w:t>
            </w:r>
            <w:r>
              <w:rPr>
                <w:sz w:val="17"/>
              </w:rPr>
              <w:t xml:space="preserve"> </w:t>
            </w:r>
            <w:r>
              <w:rPr>
                <w:b/>
                <w:bCs/>
                <w:sz w:val="17"/>
              </w:rPr>
              <w:t xml:space="preserve">test d’intrusion par un tiers avant le lancement</w:t>
            </w:r>
            <w:r>
              <w:rPr>
                <w:sz w:val="17"/>
              </w:rPr>
              <w:t xml:space="preserve"> </w:t>
            </w:r>
            <w:r>
              <w:rPr>
                <w:sz w:val="17"/>
              </w:rPr>
              <w:t xml:space="preserve">(MASVS/MASTG + API).</w:t>
            </w:r>
          </w:p>
        </w:tc>
        <w:tc>
          <w:tcPr>
            <w:tcW w:type="dxa" w:w="1316"/>
            <w:shd w:val="clear" w:color="auto" w:fill="EAF2F5"/>
          </w:tcPr>
          <w:p>
            <w:pPr>
              <w:pStyle w:val="Compact"/>
              <w:spacing w:after="20" w:before="20"/>
            </w:pPr>
            <w:r>
              <w:rPr>
                <w:sz w:val="17"/>
              </w:rPr>
              <w:t xml:space="preserve">MASVS-CODE-3 ; guide 2.6–2.7</w:t>
            </w:r>
          </w:p>
        </w:tc>
        <w:tc>
          <w:tcPr>
            <w:tcW w:type="dxa" w:w="2302"/>
            <w:shd w:val="clear" w:color="auto" w:fill="EAF2F5"/>
          </w:tcPr>
          <w:p>
            <w:pPr>
              <w:pStyle w:val="Compact"/>
              <w:spacing w:after="20" w:before="20"/>
            </w:pPr>
            <w:r>
              <w:rPr>
                <w:sz w:val="17"/>
              </w:rPr>
              <w:t xml:space="preserve">CI verte sans vulnérabilité critique ; rapport de pentest avec constats corrigés.</w:t>
            </w:r>
          </w:p>
        </w:tc>
      </w:tr>
      <w:tr>
        <w:tc>
          <w:tcPr>
            <w:tcW w:type="dxa" w:w="1316"/>
          </w:tcPr>
          <w:p>
            <w:pPr>
              <w:pStyle w:val="Compact"/>
              <w:spacing w:after="20" w:before="20"/>
            </w:pPr>
            <w:r>
              <w:rPr>
                <w:sz w:val="17"/>
              </w:rPr>
              <w:t xml:space="preserve">SEC-23</w:t>
            </w:r>
          </w:p>
        </w:tc>
        <w:tc>
          <w:tcPr>
            <w:tcW w:type="dxa" w:w="4986"/>
          </w:tcPr>
          <w:p>
            <w:pPr>
              <w:pStyle w:val="Compact"/>
              <w:spacing w:after="20" w:before="20"/>
            </w:pPr>
            <w:r>
              <w:rPr>
                <w:b/>
                <w:bCs/>
                <w:sz w:val="17"/>
              </w:rPr>
              <w:t xml:space="preserve">Liens profonds</w:t>
            </w:r>
            <w:r>
              <w:rPr>
                <w:sz w:val="17"/>
              </w:rPr>
              <w:t xml:space="preserve"> </w:t>
            </w:r>
            <w:r>
              <w:rPr>
                <w:sz w:val="17"/>
              </w:rPr>
              <w:t xml:space="preserve">validés comme des entrées non fiables ; Universal Links / App Links pour les retours d’onboarding Stripe et d’authentification ; aucun jeton dans un lien.</w:t>
            </w:r>
          </w:p>
        </w:tc>
        <w:tc>
          <w:tcPr>
            <w:tcW w:type="dxa" w:w="1316"/>
          </w:tcPr>
          <w:p>
            <w:pPr>
              <w:pStyle w:val="Compact"/>
              <w:spacing w:after="20" w:before="20"/>
            </w:pPr>
            <w:r>
              <w:rPr>
                <w:sz w:val="17"/>
              </w:rPr>
              <w:t xml:space="preserve">MASVS-PLATFORM-1</w:t>
            </w:r>
          </w:p>
        </w:tc>
        <w:tc>
          <w:tcPr>
            <w:tcW w:type="dxa" w:w="2302"/>
          </w:tcPr>
          <w:p>
            <w:pPr>
              <w:pStyle w:val="Compact"/>
              <w:spacing w:after="20" w:before="20"/>
            </w:pPr>
            <w:r>
              <w:rPr>
                <w:sz w:val="17"/>
              </w:rPr>
              <w:t xml:space="preserve">Test : lien forgé → aucune action sensible sans confirmation.</w:t>
            </w:r>
          </w:p>
        </w:tc>
      </w:tr>
      <w:tr>
        <w:tc>
          <w:tcPr>
            <w:tcW w:type="dxa" w:w="1316"/>
            <w:shd w:val="clear" w:color="auto" w:fill="EAF2F5"/>
          </w:tcPr>
          <w:p>
            <w:pPr>
              <w:pStyle w:val="Compact"/>
              <w:spacing w:after="20" w:before="20"/>
            </w:pPr>
            <w:r>
              <w:rPr>
                <w:sz w:val="17"/>
              </w:rPr>
              <w:t xml:space="preserve">SEC-24</w:t>
            </w:r>
          </w:p>
        </w:tc>
        <w:tc>
          <w:tcPr>
            <w:tcW w:type="dxa" w:w="4986"/>
            <w:shd w:val="clear" w:color="auto" w:fill="EAF2F5"/>
          </w:tcPr>
          <w:p>
            <w:pPr>
              <w:pStyle w:val="Compact"/>
              <w:spacing w:after="20" w:before="20"/>
            </w:pPr>
            <w:r>
              <w:rPr>
                <w:b/>
                <w:bCs/>
                <w:sz w:val="17"/>
              </w:rPr>
              <w:t xml:space="preserve">Permissions minimales</w:t>
            </w:r>
            <w:r>
              <w:rPr>
                <w:sz w:val="17"/>
              </w:rPr>
              <w:t xml:space="preserve">, demandées en contexte (localisation, caméra, photos, notifications) ; sélecteur de photos du système de préférence.</w:t>
            </w:r>
          </w:p>
        </w:tc>
        <w:tc>
          <w:tcPr>
            <w:tcW w:type="dxa" w:w="1316"/>
            <w:shd w:val="clear" w:color="auto" w:fill="EAF2F5"/>
          </w:tcPr>
          <w:p>
            <w:pPr>
              <w:pStyle w:val="Compact"/>
              <w:spacing w:after="20" w:before="20"/>
            </w:pPr>
            <w:r>
              <w:rPr>
                <w:sz w:val="17"/>
              </w:rPr>
              <w:t xml:space="preserve">MASVS-PRIVACY-1</w:t>
            </w:r>
          </w:p>
        </w:tc>
        <w:tc>
          <w:tcPr>
            <w:tcW w:type="dxa" w:w="2302"/>
            <w:shd w:val="clear" w:color="auto" w:fill="EAF2F5"/>
          </w:tcPr>
          <w:p>
            <w:pPr>
              <w:pStyle w:val="Compact"/>
              <w:spacing w:after="20" w:before="20"/>
            </w:pPr>
            <w:r>
              <w:rPr>
                <w:sz w:val="17"/>
              </w:rPr>
              <w:t xml:space="preserve">Revue des permissions déclarées ; fiches vie privée des stores cohérentes.</w:t>
            </w:r>
          </w:p>
        </w:tc>
      </w:tr>
    </w:tbl>
    <w:bookmarkEnd w:id="25"/>
    <w:bookmarkStart w:id="32" w:name="monétisation-partie-technique"/>
    <w:p>
      <w:pPr>
        <w:pStyle w:val="Heading1"/>
      </w:pPr>
      <w:r>
        <w:t xml:space="preserve">4. Monétisation — partie technique</w:t>
      </w:r>
    </w:p>
    <w:p>
      <w:pPr>
        <w:pStyle w:val="BlockText"/>
        <w:shd w:val="clear" w:fill="FFF4E0"/>
      </w:pPr>
      <w:r>
        <w:t xml:space="preserve">Cette section décrit</w:t>
      </w:r>
      <w:r>
        <w:t xml:space="preserve"> </w:t>
      </w:r>
      <w:r>
        <w:rPr>
          <w:b/>
          <w:bCs/>
        </w:rPr>
        <w:t xml:space="preserve">comment</w:t>
      </w:r>
      <w:r>
        <w:t xml:space="preserve"> </w:t>
      </w:r>
      <w:r>
        <w:t xml:space="preserve">implémenter les sources de revenus. Le</w:t>
      </w:r>
      <w:r>
        <w:t xml:space="preserve"> </w:t>
      </w:r>
      <w:r>
        <w:rPr>
          <w:b/>
          <w:bCs/>
        </w:rPr>
        <w:t xml:space="preserve">cadre légal</w:t>
      </w:r>
      <w:r>
        <w:t xml:space="preserve"> </w:t>
      </w:r>
      <w:r>
        <w:t xml:space="preserve">(prix tout inclus, divulgation, assurance, taxes, remboursements, rétrofacturations, abonnements) est traité dans la section de l’équipe juridique, « Volet légal de la monétisation » (</w:t>
      </w:r>
      <w:r>
        <w:rPr>
          <w:rStyle w:val="VerbatimChar"/>
        </w:rPr>
        <w:t xml:space="preserve">cahier-legal-monetisation.md</w:t>
      </w:r>
      <w:r>
        <w:t xml:space="preserve">), à laquelle ce texte renvoie.</w:t>
      </w:r>
      <w:r>
        <w:t xml:space="preserve"> </w:t>
      </w:r>
      <w:r>
        <w:rPr>
          <w:b/>
          <w:bCs/>
        </w:rPr>
        <w:t xml:space="preserve">Tous les montants et taux (commission, marge, primes, prix d’abonnement) restent à décider par Faycal.</w:t>
      </w:r>
    </w:p>
    <w:bookmarkStart w:id="26" w:name="X18f5ee44917c19250a9a7034d9ef363c929b36c"/>
    <w:p>
      <w:pPr>
        <w:pStyle w:val="Heading2"/>
      </w:pPr>
      <w:r>
        <w:t xml:space="preserve">4.1 Prix tout inclus et détail avant paiement</w:t>
      </w:r>
    </w:p>
    <w:p>
      <w:pPr>
        <w:pStyle w:val="FirstParagraph"/>
      </w:pPr>
      <w:r>
        <w:t xml:space="preserve">Voir volet légal, section 2.</w:t>
      </w:r>
    </w:p>
    <w:p>
      <w:pPr>
        <w:pStyle w:val="Compact"/>
        <w:numPr>
          <w:ilvl w:val="0"/>
          <w:numId w:val="1003"/>
        </w:numPr>
      </w:pPr>
      <w:r>
        <w:t xml:space="preserve">Le</w:t>
      </w:r>
      <w:r>
        <w:t xml:space="preserve"> </w:t>
      </w:r>
      <w:r>
        <w:rPr>
          <w:b/>
          <w:bCs/>
        </w:rPr>
        <w:t xml:space="preserve">serveur calcule</w:t>
      </w:r>
      <w:r>
        <w:t xml:space="preserve"> </w:t>
      </w:r>
      <w:r>
        <w:t xml:space="preserve">le détail du prix et le fige dans la réservation (</w:t>
      </w:r>
      <w:r>
        <w:rPr>
          <w:rStyle w:val="VerbatimChar"/>
        </w:rPr>
        <w:t xml:space="preserve">bookings</w:t>
      </w:r>
      <w:r>
        <w:t xml:space="preserve">) : prix du transport, commission Volis, assurance si choisie, TPS/TVQ, total. L’app ne fait qu’afficher ce détail. Elle ne recalcule rien qui serve à facturer.</w:t>
      </w:r>
    </w:p>
    <w:p>
      <w:pPr>
        <w:pStyle w:val="Compact"/>
        <w:numPr>
          <w:ilvl w:val="0"/>
          <w:numId w:val="1003"/>
        </w:numPr>
      </w:pPr>
      <w:r>
        <w:t xml:space="preserve">Le prix affiché dans les listes et les fiches inclut tous les frais obligatoires. Seules les taxes s’ajoutent, conformément au volet légal.</w:t>
      </w:r>
    </w:p>
    <w:p>
      <w:pPr>
        <w:pStyle w:val="Compact"/>
        <w:numPr>
          <w:ilvl w:val="0"/>
          <w:numId w:val="1003"/>
        </w:numPr>
      </w:pPr>
      <w:r>
        <w:t xml:space="preserve">L’écran de confirmation (équipe UI) affiche le détail reçu du serveur. Le</w:t>
      </w:r>
      <w:r>
        <w:t xml:space="preserve"> </w:t>
      </w:r>
      <w:r>
        <w:rPr>
          <w:rStyle w:val="VerbatimChar"/>
        </w:rPr>
        <w:t xml:space="preserve">PaymentIntent</w:t>
      </w:r>
      <w:r>
        <w:t xml:space="preserve"> </w:t>
      </w:r>
      <w:r>
        <w:t xml:space="preserve">est créé pour</w:t>
      </w:r>
      <w:r>
        <w:t xml:space="preserve"> </w:t>
      </w:r>
      <w:r>
        <w:rPr>
          <w:b/>
          <w:bCs/>
        </w:rPr>
        <w:t xml:space="preserve">exactement</w:t>
      </w:r>
      <w:r>
        <w:t xml:space="preserve"> </w:t>
      </w:r>
      <w:r>
        <w:t xml:space="preserve">le total figé ; toute différence bloque le paiement.</w:t>
      </w:r>
    </w:p>
    <w:p>
      <w:pPr>
        <w:pStyle w:val="Compact"/>
        <w:numPr>
          <w:ilvl w:val="0"/>
          <w:numId w:val="1003"/>
        </w:numPr>
      </w:pPr>
      <w:r>
        <w:t xml:space="preserve">Les montants sont stockés en unités mineures entières avec leur code de devise. Arrondis et règles de calcul des taxes :</w:t>
      </w:r>
      <w:r>
        <w:t xml:space="preserve"> </w:t>
      </w:r>
      <w:r>
        <w:rPr>
          <w:b/>
          <w:bCs/>
        </w:rPr>
        <w:t xml:space="preserve">à confirmer avec le comptable</w:t>
      </w:r>
      <w:r>
        <w:t xml:space="preserve">.</w:t>
      </w:r>
    </w:p>
    <w:p>
      <w:pPr>
        <w:pStyle w:val="Compact"/>
        <w:numPr>
          <w:ilvl w:val="0"/>
          <w:numId w:val="1003"/>
        </w:numPr>
      </w:pPr>
      <w:r>
        <w:rPr>
          <w:b/>
          <w:bCs/>
        </w:rPr>
        <w:t xml:space="preserve">Reçus en français</w:t>
      </w:r>
      <w:r>
        <w:t xml:space="preserve"> </w:t>
      </w:r>
      <w:r>
        <w:t xml:space="preserve">(volet légal 2) générés par le serveur avec les numéros de TPS/TVQ dès l’inscription ; copie du contrat transmise à l’utilisateur (gabarit fourni par l’équipe juridique).</w:t>
      </w:r>
    </w:p>
    <w:bookmarkEnd w:id="26"/>
    <w:bookmarkStart w:id="27" w:name="commission-de-la-plateforme"/>
    <w:p>
      <w:pPr>
        <w:pStyle w:val="Heading2"/>
      </w:pPr>
      <w:r>
        <w:t xml:space="preserve">4.2 Commission de la plateforme</w:t>
      </w:r>
    </w:p>
    <w:p>
      <w:pPr>
        <w:pStyle w:val="FirstParagraph"/>
      </w:pPr>
      <w:r>
        <w:t xml:space="preserve">Voir volet légal, sections 1 et 3.</w:t>
      </w:r>
    </w:p>
    <w:p>
      <w:pPr>
        <w:pStyle w:val="Compact"/>
        <w:numPr>
          <w:ilvl w:val="0"/>
          <w:numId w:val="1004"/>
        </w:numPr>
      </w:pPr>
      <w:r>
        <w:t xml:space="preserve">Avec</w:t>
      </w:r>
      <w:r>
        <w:t xml:space="preserve"> </w:t>
      </w:r>
      <w:r>
        <w:rPr>
          <w:b/>
          <w:bCs/>
        </w:rPr>
        <w:t xml:space="preserve">separate charges and transfers</w:t>
      </w:r>
      <w:r>
        <w:t xml:space="preserve">, il n’y a pas d’</w:t>
      </w:r>
      <w:r>
        <w:rPr>
          <w:rStyle w:val="VerbatimChar"/>
        </w:rPr>
        <w:t xml:space="preserve">application_fee_amount</w:t>
      </w:r>
      <w:r>
        <w:t xml:space="preserve"> </w:t>
      </w:r>
      <w:r>
        <w:t xml:space="preserve">standard sur le transfert. La plateforme</w:t>
      </w:r>
      <w:r>
        <w:t xml:space="preserve"> </w:t>
      </w:r>
      <w:r>
        <w:rPr>
          <w:b/>
          <w:bCs/>
        </w:rPr>
        <w:t xml:space="preserve">transfère au voyageur un montant inférieur au paiement</w:t>
      </w:r>
      <w:r>
        <w:t xml:space="preserve">, et la différence reste sur son solde (doc Stripe « Collect fees when using separate charges and transfers »). La commission Volis = total payé − taxes perçues par Volis − part versée au voyageur − assurance reversée au partenaire. La formule exacte des taxes est</w:t>
      </w:r>
      <w:r>
        <w:t xml:space="preserve"> </w:t>
      </w:r>
      <w:r>
        <w:rPr>
          <w:b/>
          <w:bCs/>
        </w:rPr>
        <w:t xml:space="preserve">à confirmer avec le comptable</w:t>
      </w:r>
      <w:r>
        <w:t xml:space="preserve">.</w:t>
      </w:r>
    </w:p>
    <w:p>
      <w:pPr>
        <w:pStyle w:val="Compact"/>
        <w:numPr>
          <w:ilvl w:val="0"/>
          <w:numId w:val="1004"/>
        </w:numPr>
      </w:pPr>
      <w:r>
        <w:t xml:space="preserve">Stripe propose une fonction de « funds segregation » (aperçu privé) qui permet un</w:t>
      </w:r>
      <w:r>
        <w:t xml:space="preserve"> </w:t>
      </w:r>
      <w:r>
        <w:rPr>
          <w:rStyle w:val="VerbatimChar"/>
        </w:rPr>
        <w:t xml:space="preserve">application_fee_amount</w:t>
      </w:r>
      <w:r>
        <w:t xml:space="preserve"> </w:t>
      </w:r>
      <w:r>
        <w:t xml:space="preserve">sur le transfert. Elle est optionnelle et sur demande auprès de Stripe :</w:t>
      </w:r>
      <w:r>
        <w:t xml:space="preserve"> </w:t>
      </w:r>
      <w:r>
        <w:rPr>
          <w:b/>
          <w:bCs/>
        </w:rPr>
        <w:t xml:space="preserve">à confirmer</w:t>
      </w:r>
      <w:r>
        <w:t xml:space="preserve">.</w:t>
      </w:r>
    </w:p>
    <w:p>
      <w:pPr>
        <w:pStyle w:val="Compact"/>
        <w:numPr>
          <w:ilvl w:val="0"/>
          <w:numId w:val="1004"/>
        </w:numPr>
      </w:pPr>
      <w:r>
        <w:t xml:space="preserve">Les frais de traitement Stripe sont débités du solde de la plateforme. Ils doivent être pris en compte dans le calcul, mais</w:t>
      </w:r>
      <w:r>
        <w:t xml:space="preserve"> </w:t>
      </w:r>
      <w:r>
        <w:rPr>
          <w:b/>
          <w:bCs/>
        </w:rPr>
        <w:t xml:space="preserve">pas</w:t>
      </w:r>
      <w:r>
        <w:t xml:space="preserve"> </w:t>
      </w:r>
      <w:r>
        <w:t xml:space="preserve">affichés comme « frais de Stripe » s’ils contiennent une marge (volet légal 5).</w:t>
      </w:r>
    </w:p>
    <w:p>
      <w:pPr>
        <w:pStyle w:val="Compact"/>
        <w:numPr>
          <w:ilvl w:val="0"/>
          <w:numId w:val="1004"/>
        </w:numPr>
      </w:pPr>
      <w:r>
        <w:t xml:space="preserve">Stripe recommande ce type de paiement seulement si la plateforme assume les soldes négatifs de ses comptes connectés (doc Stripe). Cela a un impact sur la configuration de Connect et sur la gestion des risques.</w:t>
      </w:r>
    </w:p>
    <w:p>
      <w:pPr>
        <w:pStyle w:val="Compact"/>
        <w:numPr>
          <w:ilvl w:val="0"/>
          <w:numId w:val="1004"/>
        </w:numPr>
      </w:pPr>
      <w:r>
        <w:t xml:space="preserve">Le modèle de comptabilité interne (registre</w:t>
      </w:r>
      <w:r>
        <w:t xml:space="preserve"> </w:t>
      </w:r>
      <w:r>
        <w:rPr>
          <w:rStyle w:val="VerbatimChar"/>
        </w:rPr>
        <w:t xml:space="preserve">payments</w:t>
      </w:r>
      <w:r>
        <w:t xml:space="preserve"> </w:t>
      </w:r>
      <w:r>
        <w:t xml:space="preserve">/</w:t>
      </w:r>
      <w:r>
        <w:t xml:space="preserve"> </w:t>
      </w:r>
      <w:r>
        <w:rPr>
          <w:rStyle w:val="VerbatimChar"/>
        </w:rPr>
        <w:t xml:space="preserve">transfers</w:t>
      </w:r>
      <w:r>
        <w:t xml:space="preserve"> </w:t>
      </w:r>
      <w:r>
        <w:t xml:space="preserve">/ commission) permet de rapprocher chaque réservation avec les rapports Stripe.</w:t>
      </w:r>
    </w:p>
    <w:bookmarkEnd w:id="27"/>
    <w:bookmarkStart w:id="28" w:name="frais-de-versement-instantané"/>
    <w:p>
      <w:pPr>
        <w:pStyle w:val="Heading2"/>
      </w:pPr>
      <w:r>
        <w:t xml:space="preserve">4.3 Frais de versement instantané</w:t>
      </w:r>
    </w:p>
    <w:p>
      <w:pPr>
        <w:pStyle w:val="FirstParagraph"/>
      </w:pPr>
      <w:r>
        <w:t xml:space="preserve">Voir volet légal, section 5.</w:t>
      </w:r>
    </w:p>
    <w:p>
      <w:pPr>
        <w:pStyle w:val="Compact"/>
        <w:numPr>
          <w:ilvl w:val="0"/>
          <w:numId w:val="1005"/>
        </w:numPr>
      </w:pPr>
      <w:r>
        <w:t xml:space="preserve">Stripe permet de monétiser les versements instantanés de Connect par des</w:t>
      </w:r>
      <w:r>
        <w:t xml:space="preserve"> </w:t>
      </w:r>
      <w:r>
        <w:rPr>
          <w:b/>
          <w:bCs/>
        </w:rPr>
        <w:t xml:space="preserve">frais d’application</w:t>
      </w:r>
      <w:r>
        <w:t xml:space="preserve"> </w:t>
      </w:r>
      <w:r>
        <w:t xml:space="preserve">(méthode recommandée par Stripe) ou par un débit du compte, configurables avec le</w:t>
      </w:r>
      <w:r>
        <w:t xml:space="preserve"> </w:t>
      </w:r>
      <w:r>
        <w:rPr>
          <w:b/>
          <w:bCs/>
        </w:rPr>
        <w:t xml:space="preserve">Platform Pricing Tool</w:t>
      </w:r>
      <w:r>
        <w:t xml:space="preserve">. Stripe facture aussi des frais à la plateforme pour chaque versement instantané (voir la grille tarifaire de Stripe Connect). Applicabilité exacte à la configuration de Volis :</w:t>
      </w:r>
      <w:r>
        <w:t xml:space="preserve"> </w:t>
      </w:r>
      <w:r>
        <w:rPr>
          <w:b/>
          <w:bCs/>
        </w:rPr>
        <w:t xml:space="preserve">à confirmer avec Stripe</w:t>
      </w:r>
      <w:r>
        <w:t xml:space="preserve">.</w:t>
      </w:r>
    </w:p>
    <w:p>
      <w:pPr>
        <w:pStyle w:val="Compact"/>
        <w:numPr>
          <w:ilvl w:val="0"/>
          <w:numId w:val="1005"/>
        </w:numPr>
      </w:pPr>
      <w:r>
        <w:t xml:space="preserve">L’écran de versement montre les frais</w:t>
      </w:r>
      <w:r>
        <w:t xml:space="preserve"> </w:t>
      </w:r>
      <w:r>
        <w:rPr>
          <w:b/>
          <w:bCs/>
        </w:rPr>
        <w:t xml:space="preserve">avant</w:t>
      </w:r>
      <w:r>
        <w:t xml:space="preserve"> </w:t>
      </w:r>
      <w:r>
        <w:t xml:space="preserve">que le voyageur choisisse. Le</w:t>
      </w:r>
      <w:r>
        <w:t xml:space="preserve"> </w:t>
      </w:r>
      <w:r>
        <w:rPr>
          <w:b/>
          <w:bCs/>
        </w:rPr>
        <w:t xml:space="preserve">virement standard sans frais Volis reste toujours offert</w:t>
      </w:r>
      <w:r>
        <w:t xml:space="preserve">. Si une marge s’ajoute aux frais de Stripe, elle est libellée comme frais Volis.</w:t>
      </w:r>
    </w:p>
    <w:p>
      <w:pPr>
        <w:pStyle w:val="Compact"/>
        <w:numPr>
          <w:ilvl w:val="0"/>
          <w:numId w:val="1005"/>
        </w:numPr>
      </w:pPr>
      <w:r>
        <w:t xml:space="preserve">Admissibilité : seulement si le compte connecté a une carte de débit admissible. Le statut est lu chez Stripe (</w:t>
      </w:r>
      <w:r>
        <w:rPr>
          <w:rStyle w:val="VerbatimChar"/>
        </w:rPr>
        <w:t xml:space="preserve">account.updated</w:t>
      </w:r>
      <w:r>
        <w:t xml:space="preserve">) et non déduit par l’app.</w:t>
      </w:r>
    </w:p>
    <w:p>
      <w:pPr>
        <w:pStyle w:val="Compact"/>
        <w:numPr>
          <w:ilvl w:val="0"/>
          <w:numId w:val="1005"/>
        </w:numPr>
      </w:pPr>
      <w:r>
        <w:t xml:space="preserve">Statuts « en cours → déposé » alimentés par</w:t>
      </w:r>
      <w:r>
        <w:t xml:space="preserve"> </w:t>
      </w:r>
      <w:r>
        <w:rPr>
          <w:rStyle w:val="VerbatimChar"/>
        </w:rPr>
        <w:t xml:space="preserve">payout.*</w:t>
      </w:r>
      <w:r>
        <w:t xml:space="preserve"> </w:t>
      </w:r>
      <w:r>
        <w:t xml:space="preserve">(point de terminaison Connect).</w:t>
      </w:r>
    </w:p>
    <w:bookmarkEnd w:id="28"/>
    <w:bookmarkStart w:id="29" w:name="assurance-optionnelle-via-un-partenaire"/>
    <w:p>
      <w:pPr>
        <w:pStyle w:val="Heading2"/>
      </w:pPr>
      <w:r>
        <w:t xml:space="preserve">4.4 Assurance optionnelle via un partenaire</w:t>
      </w:r>
    </w:p>
    <w:p>
      <w:pPr>
        <w:pStyle w:val="FirstParagraph"/>
      </w:pPr>
      <w:r>
        <w:t xml:space="preserve">Voir volet légal, section 4. Le partenaire, son API et le mode de distribution (option A « recommandation » ou option B « distribution sans représentant ») sont</w:t>
      </w:r>
      <w:r>
        <w:t xml:space="preserve"> </w:t>
      </w:r>
      <w:r>
        <w:rPr>
          <w:b/>
          <w:bCs/>
        </w:rPr>
        <w:t xml:space="preserve">à confirmer</w:t>
      </w:r>
      <w:r>
        <w:t xml:space="preserve">.</w:t>
      </w:r>
    </w:p>
    <w:p>
      <w:pPr>
        <w:pStyle w:val="Compact"/>
        <w:numPr>
          <w:ilvl w:val="0"/>
          <w:numId w:val="1006"/>
        </w:numPr>
      </w:pPr>
      <w:r>
        <w:rPr>
          <w:b/>
          <w:bCs/>
        </w:rPr>
        <w:t xml:space="preserve">Option A</w:t>
      </w:r>
      <w:r>
        <w:t xml:space="preserve"> </w:t>
      </w:r>
      <w:r>
        <w:t xml:space="preserve">: lien ou redirection vers l’assureur, qui vend et encaisse lui-même. Côté technique : lien de recommandation suivi, puis retour éventuel d’un statut de police par API ou webhook du partenaire (</w:t>
      </w:r>
      <w:r>
        <w:rPr>
          <w:b/>
          <w:bCs/>
        </w:rPr>
        <w:t xml:space="preserve">à confirmer</w:t>
      </w:r>
      <w:r>
        <w:t xml:space="preserve">). Aucun encaissement de prime par Volis.</w:t>
      </w:r>
    </w:p>
    <w:p>
      <w:pPr>
        <w:pStyle w:val="Compact"/>
        <w:numPr>
          <w:ilvl w:val="0"/>
          <w:numId w:val="1006"/>
        </w:numPr>
      </w:pPr>
      <w:r>
        <w:rPr>
          <w:b/>
          <w:bCs/>
        </w:rPr>
        <w:t xml:space="preserve">Option B</w:t>
      </w:r>
      <w:r>
        <w:t xml:space="preserve"> </w:t>
      </w:r>
      <w:r>
        <w:t xml:space="preserve">: intégration API avec l’assureur (devis, émission, annulation). Le traitement de la prime (encaissée par Volis puis reversée, ou par l’assureur) est</w:t>
      </w:r>
      <w:r>
        <w:t xml:space="preserve"> </w:t>
      </w:r>
      <w:r>
        <w:rPr>
          <w:b/>
          <w:bCs/>
        </w:rPr>
        <w:t xml:space="preserve">à confirmer avec l’avocat et l’assureur</w:t>
      </w:r>
      <w:r>
        <w:t xml:space="preserve"> </w:t>
      </w:r>
      <w:r>
        <w:t xml:space="preserve">avant toute conception du flux de paiement.</w:t>
      </w:r>
    </w:p>
    <w:p>
      <w:pPr>
        <w:pStyle w:val="Compact"/>
        <w:numPr>
          <w:ilvl w:val="0"/>
          <w:numId w:val="1006"/>
        </w:numPr>
      </w:pPr>
      <w:r>
        <w:t xml:space="preserve">Exigences d’interface reprises du volet légal : case</w:t>
      </w:r>
      <w:r>
        <w:t xml:space="preserve"> </w:t>
      </w:r>
      <w:r>
        <w:rPr>
          <w:b/>
          <w:bCs/>
        </w:rPr>
        <w:t xml:space="preserve">non cochée d’avance</w:t>
      </w:r>
      <w:r>
        <w:t xml:space="preserve">, prix montré à part, limites, exclusions et plafond affichés près de la valeur déclarée ; jamais obligatoire.</w:t>
      </w:r>
    </w:p>
    <w:p>
      <w:pPr>
        <w:pStyle w:val="Compact"/>
        <w:numPr>
          <w:ilvl w:val="0"/>
          <w:numId w:val="1006"/>
        </w:numPr>
      </w:pPr>
      <w:r>
        <w:t xml:space="preserve">Données transmises à l’assureur : minimales, couvertes par l’ÉFVP et le consentement (Loi 25).</w:t>
      </w:r>
    </w:p>
    <w:bookmarkEnd w:id="29"/>
    <w:bookmarkStart w:id="30" w:name="mises-en-avant-ou-abonnement-plus-tard"/>
    <w:p>
      <w:pPr>
        <w:pStyle w:val="Heading2"/>
      </w:pPr>
      <w:r>
        <w:t xml:space="preserve">4.5 Mises en avant ou abonnement (plus tard)</w:t>
      </w:r>
    </w:p>
    <w:p>
      <w:pPr>
        <w:pStyle w:val="FirstParagraph"/>
      </w:pPr>
      <w:r>
        <w:t xml:space="preserve">Voir volet légal, section 6 (contrats à exécution successive).</w:t>
      </w:r>
    </w:p>
    <w:p>
      <w:pPr>
        <w:pStyle w:val="Compact"/>
        <w:numPr>
          <w:ilvl w:val="0"/>
          <w:numId w:val="1007"/>
        </w:numPr>
      </w:pPr>
      <w:r>
        <w:rPr>
          <w:b/>
          <w:bCs/>
        </w:rPr>
        <w:t xml:space="preserve">Mise en avant d’une annonce</w:t>
      </w:r>
      <w:r>
        <w:t xml:space="preserve"> </w:t>
      </w:r>
      <w:r>
        <w:t xml:space="preserve">: achat ponctuel par un</w:t>
      </w:r>
      <w:r>
        <w:t xml:space="preserve"> </w:t>
      </w:r>
      <w:r>
        <w:rPr>
          <w:rStyle w:val="VerbatimChar"/>
        </w:rPr>
        <w:t xml:space="preserve">PaymentIntent</w:t>
      </w:r>
      <w:r>
        <w:t xml:space="preserve"> </w:t>
      </w:r>
      <w:r>
        <w:t xml:space="preserve">de la plateforme (sans transfert) ; durée et prix</w:t>
      </w:r>
      <w:r>
        <w:t xml:space="preserve"> </w:t>
      </w:r>
      <w:r>
        <w:rPr>
          <w:b/>
          <w:bCs/>
        </w:rPr>
        <w:t xml:space="preserve">à décider</w:t>
      </w:r>
      <w:r>
        <w:t xml:space="preserve">.</w:t>
      </w:r>
    </w:p>
    <w:p>
      <w:pPr>
        <w:pStyle w:val="Compact"/>
        <w:numPr>
          <w:ilvl w:val="0"/>
          <w:numId w:val="1007"/>
        </w:numPr>
      </w:pPr>
      <w:r>
        <w:rPr>
          <w:b/>
          <w:bCs/>
        </w:rPr>
        <w:t xml:space="preserve">Abonnement</w:t>
      </w:r>
      <w:r>
        <w:t xml:space="preserve"> </w:t>
      </w:r>
      <w:r>
        <w:t xml:space="preserve">:</w:t>
      </w:r>
      <w:r>
        <w:t xml:space="preserve"> </w:t>
      </w:r>
      <w:r>
        <w:rPr>
          <w:b/>
          <w:bCs/>
        </w:rPr>
        <w:t xml:space="preserve">Stripe Billing</w:t>
      </w:r>
      <w:r>
        <w:t xml:space="preserve"> </w:t>
      </w:r>
      <w:r>
        <w:t xml:space="preserve">(produits, prix, abonnements, portail client) ; webhooks</w:t>
      </w:r>
      <w:r>
        <w:t xml:space="preserve"> </w:t>
      </w:r>
      <w:r>
        <w:rPr>
          <w:rStyle w:val="VerbatimChar"/>
        </w:rPr>
        <w:t xml:space="preserve">customer.subscription.*</w:t>
      </w:r>
      <w:r>
        <w:t xml:space="preserve"> </w:t>
      </w:r>
      <w:r>
        <w:t xml:space="preserve">et</w:t>
      </w:r>
      <w:r>
        <w:t xml:space="preserve"> </w:t>
      </w:r>
      <w:r>
        <w:rPr>
          <w:rStyle w:val="VerbatimChar"/>
        </w:rPr>
        <w:t xml:space="preserve">invoice.*</w:t>
      </w:r>
      <w:r>
        <w:t xml:space="preserve">. Le serveur contrôle les droits (jamais une simple valeur « premium » dans l’app, voir guide 2.2.3).</w:t>
      </w:r>
    </w:p>
    <w:p>
      <w:pPr>
        <w:pStyle w:val="Compact"/>
        <w:numPr>
          <w:ilvl w:val="0"/>
          <w:numId w:val="1007"/>
        </w:numPr>
      </w:pPr>
      <w:r>
        <w:t xml:space="preserve">Avis avant renouvellement, résiliation et prix clair : selon le volet légal.</w:t>
      </w:r>
    </w:p>
    <w:p>
      <w:pPr>
        <w:pStyle w:val="Compact"/>
        <w:numPr>
          <w:ilvl w:val="0"/>
          <w:numId w:val="1007"/>
        </w:numPr>
      </w:pPr>
      <w:r>
        <w:t xml:space="preserve">Si un achat se fait dans l’app mobile pour un contenu ou une fonction numérique, les règles des stores sur les achats intégrés peuvent s’appliquer :</w:t>
      </w:r>
      <w:r>
        <w:t xml:space="preserve"> </w:t>
      </w:r>
      <w:r>
        <w:rPr>
          <w:b/>
          <w:bCs/>
        </w:rPr>
        <w:t xml:space="preserve">à confirmer</w:t>
      </w:r>
      <w:r>
        <w:t xml:space="preserve"> </w:t>
      </w:r>
      <w:r>
        <w:t xml:space="preserve">avant de concevoir ces offres.</w:t>
      </w:r>
    </w:p>
    <w:bookmarkEnd w:id="30"/>
    <w:bookmarkStart w:id="31" w:name="remboursements-et-litiges"/>
    <w:p>
      <w:pPr>
        <w:pStyle w:val="Heading2"/>
      </w:pPr>
      <w:r>
        <w:t xml:space="preserve">4.6 Remboursements et litiges</w:t>
      </w:r>
    </w:p>
    <w:p>
      <w:pPr>
        <w:pStyle w:val="FirstParagraph"/>
      </w:pPr>
      <w:r>
        <w:t xml:space="preserve">Voir volet légal, section 6.</w:t>
      </w:r>
    </w:p>
    <w:p>
      <w:pPr>
        <w:pStyle w:val="Compact"/>
        <w:numPr>
          <w:ilvl w:val="0"/>
          <w:numId w:val="1008"/>
        </w:numPr>
      </w:pPr>
      <w:r>
        <w:t xml:space="preserve">Remboursement total ou partiel par</w:t>
      </w:r>
      <w:r>
        <w:t xml:space="preserve"> </w:t>
      </w:r>
      <w:r>
        <w:rPr>
          <w:rStyle w:val="VerbatimChar"/>
        </w:rPr>
        <w:t xml:space="preserve">Refund</w:t>
      </w:r>
      <w:r>
        <w:t xml:space="preserve"> </w:t>
      </w:r>
      <w:r>
        <w:t xml:space="preserve">sur le paiement de la plateforme. S’il a déjà eu lieu, un transfert peut être annulé (reversal) selon les conditions acceptées par le voyageur (</w:t>
      </w:r>
      <w:r>
        <w:rPr>
          <w:b/>
          <w:bCs/>
        </w:rPr>
        <w:t xml:space="preserve">à confirmer avec l’équipe juridique</w:t>
      </w:r>
      <w:r>
        <w:t xml:space="preserve">).</w:t>
      </w:r>
    </w:p>
    <w:p>
      <w:pPr>
        <w:pStyle w:val="Compact"/>
        <w:numPr>
          <w:ilvl w:val="0"/>
          <w:numId w:val="1008"/>
        </w:numPr>
      </w:pPr>
      <w:r>
        <w:t xml:space="preserve">Quels frais sont remboursés : paramétrable côté serveur selon la politique de remboursement finale (volet légal).</w:t>
      </w:r>
    </w:p>
    <w:p>
      <w:pPr>
        <w:pStyle w:val="Compact"/>
        <w:numPr>
          <w:ilvl w:val="0"/>
          <w:numId w:val="1008"/>
        </w:numPr>
      </w:pPr>
      <w:r>
        <w:rPr>
          <w:b/>
          <w:bCs/>
        </w:rPr>
        <w:t xml:space="preserve">Rétrofacturations</w:t>
      </w:r>
      <w:r>
        <w:t xml:space="preserve"> </w:t>
      </w:r>
      <w:r>
        <w:t xml:space="preserve">: à</w:t>
      </w:r>
      <w:r>
        <w:t xml:space="preserve"> </w:t>
      </w:r>
      <w:r>
        <w:rPr>
          <w:rStyle w:val="VerbatimChar"/>
        </w:rPr>
        <w:t xml:space="preserve">charge.dispute.created</w:t>
      </w:r>
      <w:r>
        <w:t xml:space="preserve">, le serveur assemble les preuves (photos de remise, confirmations horodatées, messages pertinents) pour la réponse à Stripe. Perte assumée selon les conditions (volet légal 6).</w:t>
      </w:r>
    </w:p>
    <w:p>
      <w:pPr>
        <w:pStyle w:val="Compact"/>
        <w:numPr>
          <w:ilvl w:val="0"/>
          <w:numId w:val="1008"/>
        </w:numPr>
      </w:pPr>
      <w:r>
        <w:rPr>
          <w:b/>
          <w:bCs/>
        </w:rPr>
        <w:t xml:space="preserve">Encaissement des fonds</w:t>
      </w:r>
      <w:r>
        <w:t xml:space="preserve"> </w:t>
      </w:r>
      <w:r>
        <w:t xml:space="preserve">: le modèle « separate charges and transfers » fait transiter l’argent par le solde Stripe de Volis. Statut au regard de la Loi sur les activités associées aux paiements de détail :</w:t>
      </w:r>
      <w:r>
        <w:t xml:space="preserve"> </w:t>
      </w:r>
      <w:r>
        <w:rPr>
          <w:b/>
          <w:bCs/>
        </w:rPr>
        <w:t xml:space="preserve">à confirmer par l’avocat</w:t>
      </w:r>
      <w:r>
        <w:t xml:space="preserve"> </w:t>
      </w:r>
      <w:r>
        <w:t xml:space="preserve">(volet légal 6). Ne pas modifier ce flux sans cet avis.</w:t>
      </w:r>
    </w:p>
    <w:bookmarkEnd w:id="31"/>
    <w:bookmarkEnd w:id="32"/>
    <w:bookmarkStart w:id="33" w:name="exigences-non-fonctionnelles"/>
    <w:p>
      <w:pPr>
        <w:pStyle w:val="Heading1"/>
      </w:pPr>
      <w:r>
        <w:t xml:space="preserve">5. Exigences non fonctionnelles</w:t>
      </w:r>
    </w:p>
    <w:p>
      <w:pPr>
        <w:pStyle w:val="FirstParagraph"/>
      </w:pPr>
      <w:r>
        <w:t xml:space="preserve">Les objectifs chiffrés ci-dessous sont</w:t>
      </w:r>
      <w:r>
        <w:t xml:space="preserve"> </w:t>
      </w:r>
      <w:r>
        <w:rPr>
          <w:b/>
          <w:bCs/>
        </w:rPr>
        <w:t xml:space="preserve">à définir</w:t>
      </w:r>
      <w:r>
        <w:t xml:space="preserve"> </w:t>
      </w:r>
      <w:r>
        <w:t xml:space="preserve">avec Faycal avant le MVP. Ce document fixe les indicateurs à mesurer, pas leurs seuils.</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814"/>
        <w:gridCol w:w="5919"/>
        <w:gridCol w:w="2186"/>
      </w:tblGrid>
      <w:tr>
        <w:trPr>
          <w:tblHeader w:val="on"/>
          <w:tblHeader w:val="true"/>
        </w:trPr>
        <w:tc>
          <w:tcPr>
            <w:tcW w:type="dxa" w:w="1815"/>
            <w:shd w:val="clear" w:color="auto" w:fill="1F3A5F"/>
          </w:tcPr>
          <w:p>
            <w:pPr>
              <w:pStyle w:val="Compact"/>
              <w:spacing w:after="20" w:before="20"/>
            </w:pPr>
            <w:r>
              <w:rPr>
                <w:b/>
                <w:color w:val="FFFFFF"/>
                <w:sz w:val="17"/>
              </w:rPr>
              <w:t xml:space="preserve">Domaine</w:t>
            </w:r>
          </w:p>
        </w:tc>
        <w:tc>
          <w:tcPr>
            <w:tcW w:type="dxa" w:w="5920"/>
            <w:shd w:val="clear" w:color="auto" w:fill="1F3A5F"/>
          </w:tcPr>
          <w:p>
            <w:pPr>
              <w:pStyle w:val="Compact"/>
              <w:spacing w:after="20" w:before="20"/>
            </w:pPr>
            <w:r>
              <w:rPr>
                <w:b/>
                <w:color w:val="FFFFFF"/>
                <w:sz w:val="17"/>
              </w:rPr>
              <w:t xml:space="preserve">Exigence</w:t>
            </w:r>
          </w:p>
        </w:tc>
        <w:tc>
          <w:tcPr>
            <w:tcW w:type="dxa" w:w="2187"/>
            <w:shd w:val="clear" w:color="auto" w:fill="1F3A5F"/>
          </w:tcPr>
          <w:p>
            <w:pPr>
              <w:pStyle w:val="Compact"/>
              <w:spacing w:after="20" w:before="20"/>
            </w:pPr>
            <w:r>
              <w:rPr>
                <w:b/>
                <w:color w:val="FFFFFF"/>
                <w:sz w:val="17"/>
              </w:rPr>
              <w:t xml:space="preserve">Mesure</w:t>
            </w:r>
          </w:p>
        </w:tc>
      </w:tr>
      <w:tr>
        <w:tc>
          <w:tcPr>
            <w:tcW w:type="dxa" w:w="1815"/>
          </w:tcPr>
          <w:p>
            <w:pPr>
              <w:pStyle w:val="Compact"/>
              <w:spacing w:after="20" w:before="20"/>
            </w:pPr>
            <w:r>
              <w:rPr>
                <w:sz w:val="17"/>
              </w:rPr>
              <w:t xml:space="preserve">Performance</w:t>
            </w:r>
          </w:p>
        </w:tc>
        <w:tc>
          <w:tcPr>
            <w:tcW w:type="dxa" w:w="5920"/>
          </w:tcPr>
          <w:p>
            <w:pPr>
              <w:pStyle w:val="Compact"/>
              <w:spacing w:after="20" w:before="20"/>
            </w:pPr>
            <w:r>
              <w:rPr>
                <w:sz w:val="17"/>
              </w:rPr>
              <w:t xml:space="preserve">Démarrage, temps d’affichage des listes de trajets et temps de réponse des API mesurés en continu ; pagination de toutes les listes ; images redimensionnées côté serveur.</w:t>
            </w:r>
          </w:p>
        </w:tc>
        <w:tc>
          <w:tcPr>
            <w:tcW w:type="dxa" w:w="2187"/>
          </w:tcPr>
          <w:p>
            <w:pPr>
              <w:pStyle w:val="Compact"/>
              <w:spacing w:after="20" w:before="20"/>
            </w:pPr>
            <w:r>
              <w:rPr>
                <w:sz w:val="17"/>
              </w:rPr>
              <w:t xml:space="preserve">Sentry Performance ; seuils</w:t>
            </w:r>
            <w:r>
              <w:rPr>
                <w:sz w:val="17"/>
              </w:rPr>
              <w:t xml:space="preserve"> </w:t>
            </w:r>
            <w:r>
              <w:rPr>
                <w:b/>
                <w:bCs/>
                <w:sz w:val="17"/>
              </w:rPr>
              <w:t xml:space="preserve">à définir</w:t>
            </w:r>
            <w:r>
              <w:rPr>
                <w:sz w:val="17"/>
              </w:rPr>
              <w:t xml:space="preserve">.</w:t>
            </w:r>
          </w:p>
        </w:tc>
      </w:tr>
      <w:tr>
        <w:tc>
          <w:tcPr>
            <w:tcW w:type="dxa" w:w="1815"/>
            <w:shd w:val="clear" w:color="auto" w:fill="EAF2F5"/>
          </w:tcPr>
          <w:p>
            <w:pPr>
              <w:pStyle w:val="Compact"/>
              <w:spacing w:after="20" w:before="20"/>
            </w:pPr>
            <w:r>
              <w:rPr>
                <w:sz w:val="17"/>
              </w:rPr>
              <w:t xml:space="preserve">Disponibilité</w:t>
            </w:r>
          </w:p>
        </w:tc>
        <w:tc>
          <w:tcPr>
            <w:tcW w:type="dxa" w:w="5920"/>
            <w:shd w:val="clear" w:color="auto" w:fill="EAF2F5"/>
          </w:tcPr>
          <w:p>
            <w:pPr>
              <w:pStyle w:val="Compact"/>
              <w:spacing w:after="20" w:before="20"/>
            </w:pPr>
            <w:r>
              <w:rPr>
                <w:sz w:val="17"/>
              </w:rPr>
              <w:t xml:space="preserve">Objectif de disponibilité</w:t>
            </w:r>
            <w:r>
              <w:rPr>
                <w:sz w:val="17"/>
              </w:rPr>
              <w:t xml:space="preserve"> </w:t>
            </w:r>
            <w:r>
              <w:rPr>
                <w:b/>
                <w:bCs/>
                <w:sz w:val="17"/>
              </w:rPr>
              <w:t xml:space="preserve">à définir</w:t>
            </w:r>
            <w:r>
              <w:rPr>
                <w:sz w:val="17"/>
              </w:rPr>
              <w:t xml:space="preserve"> </w:t>
            </w:r>
            <w:r>
              <w:rPr>
                <w:sz w:val="17"/>
              </w:rPr>
              <w:t xml:space="preserve">; dégradation contrôlée si Stripe ou le push est indisponible (les webhooks sont rejoués par Stripe, idempotence SEC-08).</w:t>
            </w:r>
          </w:p>
        </w:tc>
        <w:tc>
          <w:tcPr>
            <w:tcW w:type="dxa" w:w="2187"/>
            <w:shd w:val="clear" w:color="auto" w:fill="EAF2F5"/>
          </w:tcPr>
          <w:p>
            <w:pPr>
              <w:pStyle w:val="Compact"/>
              <w:spacing w:after="20" w:before="20"/>
            </w:pPr>
            <w:r>
              <w:rPr>
                <w:sz w:val="17"/>
              </w:rPr>
              <w:t xml:space="preserve">Surveillance de disponibilité ; alertes.</w:t>
            </w:r>
          </w:p>
        </w:tc>
      </w:tr>
      <w:tr>
        <w:tc>
          <w:tcPr>
            <w:tcW w:type="dxa" w:w="1815"/>
          </w:tcPr>
          <w:p>
            <w:pPr>
              <w:pStyle w:val="Compact"/>
              <w:spacing w:after="20" w:before="20"/>
            </w:pPr>
            <w:r>
              <w:rPr>
                <w:sz w:val="17"/>
              </w:rPr>
              <w:t xml:space="preserve">Accessibilité</w:t>
            </w:r>
          </w:p>
        </w:tc>
        <w:tc>
          <w:tcPr>
            <w:tcW w:type="dxa" w:w="5920"/>
          </w:tcPr>
          <w:p>
            <w:pPr>
              <w:pStyle w:val="Compact"/>
              <w:spacing w:after="20" w:before="20"/>
            </w:pPr>
            <w:r>
              <w:rPr>
                <w:b/>
                <w:bCs/>
                <w:sz w:val="17"/>
              </w:rPr>
              <w:t xml:space="preserve">WCAG 2.2 niveau AA</w:t>
            </w:r>
            <w:r>
              <w:rPr>
                <w:sz w:val="17"/>
              </w:rPr>
              <w:t xml:space="preserve"> </w:t>
            </w:r>
            <w:r>
              <w:rPr>
                <w:sz w:val="17"/>
              </w:rPr>
              <w:t xml:space="preserve">pour l’app et le web : contrastes, tailles des cibles, libellés des lecteurs d’écran (VoiceOver, TalkBack), navigation au clavier sur le web, respect de la taille de texte du système, mise en page RTL correcte en arabe.</w:t>
            </w:r>
          </w:p>
        </w:tc>
        <w:tc>
          <w:tcPr>
            <w:tcW w:type="dxa" w:w="2187"/>
          </w:tcPr>
          <w:p>
            <w:pPr>
              <w:pStyle w:val="Compact"/>
              <w:spacing w:after="20" w:before="20"/>
            </w:pPr>
            <w:r>
              <w:rPr>
                <w:sz w:val="17"/>
              </w:rPr>
              <w:t xml:space="preserve">Audit d’accessibilité avant le lancement ; tests automatisés sur le web (</w:t>
            </w:r>
            <w:r>
              <w:rPr>
                <w:b/>
                <w:bCs/>
                <w:sz w:val="17"/>
              </w:rPr>
              <w:t xml:space="preserve">outil à confirmer</w:t>
            </w:r>
            <w:r>
              <w:rPr>
                <w:sz w:val="17"/>
              </w:rPr>
              <w:t xml:space="preserve">).</w:t>
            </w:r>
          </w:p>
        </w:tc>
      </w:tr>
      <w:tr>
        <w:tc>
          <w:tcPr>
            <w:tcW w:type="dxa" w:w="1815"/>
            <w:shd w:val="clear" w:color="auto" w:fill="EAF2F5"/>
          </w:tcPr>
          <w:p>
            <w:pPr>
              <w:pStyle w:val="Compact"/>
              <w:spacing w:after="20" w:before="20"/>
            </w:pPr>
            <w:r>
              <w:rPr>
                <w:sz w:val="17"/>
              </w:rPr>
              <w:t xml:space="preserve">Hors-ligne partiel</w:t>
            </w:r>
          </w:p>
        </w:tc>
        <w:tc>
          <w:tcPr>
            <w:tcW w:type="dxa" w:w="5920"/>
            <w:shd w:val="clear" w:color="auto" w:fill="EAF2F5"/>
          </w:tcPr>
          <w:p>
            <w:pPr>
              <w:pStyle w:val="Compact"/>
              <w:spacing w:after="20" w:before="20"/>
            </w:pPr>
            <w:r>
              <w:rPr>
                <w:sz w:val="17"/>
              </w:rPr>
              <w:t xml:space="preserve">Lecture des réservations, de l’historique et des messages déjà chargés hors connexion ; prise de photos de remise mise en file d’attente et envoyée au retour du réseau ;</w:t>
            </w:r>
            <w:r>
              <w:rPr>
                <w:sz w:val="17"/>
              </w:rPr>
              <w:t xml:space="preserve"> </w:t>
            </w:r>
            <w:r>
              <w:rPr>
                <w:b/>
                <w:bCs/>
                <w:sz w:val="17"/>
              </w:rPr>
              <w:t xml:space="preserve">aucune transition de paiement ni de statut validée hors ligne</w:t>
            </w:r>
            <w:r>
              <w:rPr>
                <w:sz w:val="17"/>
              </w:rPr>
              <w:t xml:space="preserve"> </w:t>
            </w:r>
            <w:r>
              <w:rPr>
                <w:sz w:val="17"/>
              </w:rPr>
              <w:t xml:space="preserve">(le serveur reste l’arbitre). Cache local sans données sensibles, purgé à la déconnexion.</w:t>
            </w:r>
          </w:p>
        </w:tc>
        <w:tc>
          <w:tcPr>
            <w:tcW w:type="dxa" w:w="2187"/>
            <w:shd w:val="clear" w:color="auto" w:fill="EAF2F5"/>
          </w:tcPr>
          <w:p>
            <w:pPr>
              <w:pStyle w:val="Compact"/>
              <w:spacing w:after="20" w:before="20"/>
            </w:pPr>
            <w:r>
              <w:rPr>
                <w:sz w:val="17"/>
              </w:rPr>
              <w:t xml:space="preserve">Tests E2E en mode avion.</w:t>
            </w:r>
          </w:p>
        </w:tc>
      </w:tr>
      <w:tr>
        <w:tc>
          <w:tcPr>
            <w:tcW w:type="dxa" w:w="1815"/>
          </w:tcPr>
          <w:p>
            <w:pPr>
              <w:pStyle w:val="Compact"/>
              <w:spacing w:after="20" w:before="20"/>
            </w:pPr>
            <w:r>
              <w:rPr>
                <w:sz w:val="17"/>
              </w:rPr>
              <w:t xml:space="preserve">Compatibilité</w:t>
            </w:r>
          </w:p>
        </w:tc>
        <w:tc>
          <w:tcPr>
            <w:tcW w:type="dxa" w:w="5920"/>
          </w:tcPr>
          <w:p>
            <w:pPr>
              <w:pStyle w:val="Compact"/>
              <w:spacing w:after="20" w:before="20"/>
            </w:pPr>
            <w:r>
              <w:rPr>
                <w:sz w:val="17"/>
              </w:rPr>
              <w:t xml:space="preserve">Versions minimales d’iOS et d’Android :</w:t>
            </w:r>
            <w:r>
              <w:rPr>
                <w:sz w:val="17"/>
              </w:rPr>
              <w:t xml:space="preserve"> </w:t>
            </w:r>
            <w:r>
              <w:rPr>
                <w:b/>
                <w:bCs/>
                <w:sz w:val="17"/>
              </w:rPr>
              <w:t xml:space="preserve">à confirmer</w:t>
            </w:r>
            <w:r>
              <w:rPr>
                <w:sz w:val="17"/>
              </w:rPr>
              <w:t xml:space="preserve"> </w:t>
            </w:r>
            <w:r>
              <w:rPr>
                <w:sz w:val="17"/>
              </w:rPr>
              <w:t xml:space="preserve">selon la version du SDK Expo retenue. Navigateurs web : versions récentes des principaux navigateurs (</w:t>
            </w:r>
            <w:r>
              <w:rPr>
                <w:b/>
                <w:bCs/>
                <w:sz w:val="17"/>
              </w:rPr>
              <w:t xml:space="preserve">liste à confirmer</w:t>
            </w:r>
            <w:r>
              <w:rPr>
                <w:sz w:val="17"/>
              </w:rPr>
              <w:t xml:space="preserve">).</w:t>
            </w:r>
          </w:p>
        </w:tc>
        <w:tc>
          <w:tcPr>
            <w:tcW w:type="dxa" w:w="2187"/>
          </w:tcPr>
          <w:p>
            <w:pPr>
              <w:pStyle w:val="Compact"/>
              <w:spacing w:after="20" w:before="20"/>
            </w:pPr>
            <w:r>
              <w:rPr>
                <w:sz w:val="17"/>
              </w:rPr>
              <w:t xml:space="preserve">Matrice d’appareils de test.</w:t>
            </w:r>
          </w:p>
        </w:tc>
      </w:tr>
      <w:tr>
        <w:tc>
          <w:tcPr>
            <w:tcW w:type="dxa" w:w="1815"/>
            <w:shd w:val="clear" w:color="auto" w:fill="EAF2F5"/>
          </w:tcPr>
          <w:p>
            <w:pPr>
              <w:pStyle w:val="Compact"/>
              <w:spacing w:after="20" w:before="20"/>
            </w:pPr>
            <w:r>
              <w:rPr>
                <w:sz w:val="17"/>
              </w:rPr>
              <w:t xml:space="preserve">Conformité stores 2026</w:t>
            </w:r>
          </w:p>
        </w:tc>
        <w:tc>
          <w:tcPr>
            <w:tcW w:type="dxa" w:w="5920"/>
            <w:shd w:val="clear" w:color="auto" w:fill="EAF2F5"/>
          </w:tcPr>
          <w:p>
            <w:pPr>
              <w:pStyle w:val="Compact"/>
              <w:spacing w:after="20" w:before="20"/>
            </w:pPr>
            <w:r>
              <w:rPr>
                <w:b/>
                <w:bCs/>
                <w:sz w:val="17"/>
              </w:rPr>
              <w:t xml:space="preserve">Google Play : cibler l’API 36 (Android 16)</w:t>
            </w:r>
            <w:r>
              <w:rPr>
                <w:sz w:val="17"/>
              </w:rPr>
              <w:t xml:space="preserve"> </w:t>
            </w:r>
            <w:r>
              <w:rPr>
                <w:sz w:val="17"/>
              </w:rPr>
              <w:t xml:space="preserve">pour toute nouvelle app ou mise à jour depuis le 31 août 2026.</w:t>
            </w:r>
            <w:r>
              <w:rPr>
                <w:sz w:val="17"/>
              </w:rPr>
              <w:t xml:space="preserve"> </w:t>
            </w:r>
            <w:r>
              <w:rPr>
                <w:b/>
                <w:bCs/>
                <w:sz w:val="17"/>
              </w:rPr>
              <w:t xml:space="preserve">Apple : builds avec Xcode 26 et le SDK iOS 26</w:t>
            </w:r>
            <w:r>
              <w:rPr>
                <w:sz w:val="17"/>
              </w:rPr>
              <w:t xml:space="preserve"> </w:t>
            </w:r>
            <w:r>
              <w:rPr>
                <w:sz w:val="17"/>
              </w:rPr>
              <w:t xml:space="preserve">depuis le 28 avril 2026. Compatibilité de la version du SDK Expo retenue avec ces exigences :</w:t>
            </w:r>
            <w:r>
              <w:rPr>
                <w:sz w:val="17"/>
              </w:rPr>
              <w:t xml:space="preserve"> </w:t>
            </w:r>
            <w:r>
              <w:rPr>
                <w:b/>
                <w:bCs/>
                <w:sz w:val="17"/>
              </w:rPr>
              <w:t xml:space="preserve">à confirmer</w:t>
            </w:r>
            <w:r>
              <w:rPr>
                <w:sz w:val="17"/>
              </w:rPr>
              <w:t xml:space="preserve">. Fiches Sécurité des données (Google) et étiquettes de confidentialité + privacy manifest (Apple) exactes.</w:t>
            </w:r>
          </w:p>
        </w:tc>
        <w:tc>
          <w:tcPr>
            <w:tcW w:type="dxa" w:w="2187"/>
            <w:shd w:val="clear" w:color="auto" w:fill="EAF2F5"/>
          </w:tcPr>
          <w:p>
            <w:pPr>
              <w:pStyle w:val="Compact"/>
              <w:spacing w:after="20" w:before="20"/>
            </w:pPr>
            <w:r>
              <w:rPr>
                <w:sz w:val="17"/>
              </w:rPr>
              <w:t xml:space="preserve">Vérification à chaque release (pages officielles « Target API level requirements » et « Upcoming Requirements »).</w:t>
            </w:r>
          </w:p>
        </w:tc>
      </w:tr>
      <w:tr>
        <w:tc>
          <w:tcPr>
            <w:tcW w:type="dxa" w:w="1815"/>
          </w:tcPr>
          <w:p>
            <w:pPr>
              <w:pStyle w:val="Compact"/>
              <w:spacing w:after="20" w:before="20"/>
            </w:pPr>
            <w:r>
              <w:rPr>
                <w:sz w:val="17"/>
              </w:rPr>
              <w:t xml:space="preserve">Internationalisation</w:t>
            </w:r>
          </w:p>
        </w:tc>
        <w:tc>
          <w:tcPr>
            <w:tcW w:type="dxa" w:w="5920"/>
          </w:tcPr>
          <w:p>
            <w:pPr>
              <w:pStyle w:val="Compact"/>
              <w:spacing w:after="20" w:before="20"/>
            </w:pPr>
            <w:r>
              <w:rPr>
                <w:sz w:val="17"/>
              </w:rPr>
              <w:t xml:space="preserve">fr, en, ar (RTL) ; formats de date, nombre et devise selon la langue ; textes légaux en français disponibles en priorité.</w:t>
            </w:r>
          </w:p>
        </w:tc>
        <w:tc>
          <w:tcPr>
            <w:tcW w:type="dxa" w:w="2187"/>
          </w:tcPr>
          <w:p>
            <w:pPr>
              <w:pStyle w:val="Compact"/>
              <w:spacing w:after="20" w:before="20"/>
            </w:pPr>
            <w:r>
              <w:rPr>
                <w:sz w:val="17"/>
              </w:rPr>
              <w:t xml:space="preserve">Revue linguistique ; tests visuels RTL.</w:t>
            </w:r>
          </w:p>
        </w:tc>
      </w:tr>
      <w:tr>
        <w:tc>
          <w:tcPr>
            <w:tcW w:type="dxa" w:w="1815"/>
            <w:shd w:val="clear" w:color="auto" w:fill="EAF2F5"/>
          </w:tcPr>
          <w:p>
            <w:pPr>
              <w:pStyle w:val="Compact"/>
              <w:spacing w:after="20" w:before="20"/>
            </w:pPr>
            <w:r>
              <w:rPr>
                <w:sz w:val="17"/>
              </w:rPr>
              <w:t xml:space="preserve">Maintenabilité</w:t>
            </w:r>
          </w:p>
        </w:tc>
        <w:tc>
          <w:tcPr>
            <w:tcW w:type="dxa" w:w="5920"/>
            <w:shd w:val="clear" w:color="auto" w:fill="EAF2F5"/>
          </w:tcPr>
          <w:p>
            <w:pPr>
              <w:pStyle w:val="Compact"/>
              <w:spacing w:after="20" w:before="20"/>
            </w:pPr>
            <w:r>
              <w:rPr>
                <w:sz w:val="17"/>
              </w:rPr>
              <w:t xml:space="preserve">TypeScript strict ; lint et formatage ; tests unitaires (domaine, ViewModels), tests RLS, tests E2E des parcours critiques (inscription, vérification, réservation, paiement, remise, litige).</w:t>
            </w:r>
          </w:p>
        </w:tc>
        <w:tc>
          <w:tcPr>
            <w:tcW w:type="dxa" w:w="2187"/>
            <w:shd w:val="clear" w:color="auto" w:fill="EAF2F5"/>
          </w:tcPr>
          <w:p>
            <w:pPr>
              <w:pStyle w:val="Compact"/>
              <w:spacing w:after="20" w:before="20"/>
            </w:pPr>
            <w:r>
              <w:rPr>
                <w:sz w:val="17"/>
              </w:rPr>
              <w:t xml:space="preserve">Couverture des parcours critiques en CI.</w:t>
            </w:r>
          </w:p>
        </w:tc>
      </w:tr>
    </w:tbl>
    <w:bookmarkEnd w:id="33"/>
    <w:bookmarkStart w:id="37" w:name="environnements-jalons-et-risques"/>
    <w:p>
      <w:pPr>
        <w:pStyle w:val="Heading1"/>
      </w:pPr>
      <w:r>
        <w:t xml:space="preserve">6. Environnements, jalons et risques</w:t>
      </w:r>
    </w:p>
    <w:bookmarkStart w:id="34" w:name="environnements"/>
    <w:p>
      <w:pPr>
        <w:pStyle w:val="Heading2"/>
      </w:pPr>
      <w:r>
        <w:t xml:space="preserve">6.1 Environnements</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142"/>
        <w:gridCol w:w="2224"/>
        <w:gridCol w:w="2389"/>
        <w:gridCol w:w="2527"/>
        <w:gridCol w:w="1638"/>
      </w:tblGrid>
      <w:tr>
        <w:trPr>
          <w:tblHeader w:val="on"/>
          <w:tblHeader w:val="true"/>
        </w:trPr>
        <w:tc>
          <w:tcPr>
            <w:tcW w:type="dxa" w:w="1142"/>
            <w:shd w:val="clear" w:color="auto" w:fill="1F3A5F"/>
          </w:tcPr>
          <w:p>
            <w:pPr>
              <w:pStyle w:val="Compact"/>
              <w:spacing w:after="20" w:before="20"/>
            </w:pPr>
            <w:r>
              <w:rPr>
                <w:b/>
                <w:color w:val="FFFFFF"/>
                <w:sz w:val="17"/>
              </w:rPr>
              <w:t xml:space="preserve">Environnement</w:t>
            </w:r>
          </w:p>
        </w:tc>
        <w:tc>
          <w:tcPr>
            <w:tcW w:type="dxa" w:w="2224"/>
            <w:shd w:val="clear" w:color="auto" w:fill="1F3A5F"/>
          </w:tcPr>
          <w:p>
            <w:pPr>
              <w:pStyle w:val="Compact"/>
              <w:spacing w:after="20" w:before="20"/>
            </w:pPr>
            <w:r>
              <w:rPr>
                <w:b/>
                <w:color w:val="FFFFFF"/>
                <w:sz w:val="17"/>
              </w:rPr>
              <w:t xml:space="preserve">Backend</w:t>
            </w:r>
          </w:p>
        </w:tc>
        <w:tc>
          <w:tcPr>
            <w:tcW w:type="dxa" w:w="2389"/>
            <w:shd w:val="clear" w:color="auto" w:fill="1F3A5F"/>
          </w:tcPr>
          <w:p>
            <w:pPr>
              <w:pStyle w:val="Compact"/>
              <w:spacing w:after="20" w:before="20"/>
            </w:pPr>
            <w:r>
              <w:rPr>
                <w:b/>
                <w:color w:val="FFFFFF"/>
                <w:sz w:val="17"/>
              </w:rPr>
              <w:t xml:space="preserve">Stripe</w:t>
            </w:r>
          </w:p>
        </w:tc>
        <w:tc>
          <w:tcPr>
            <w:tcW w:type="dxa" w:w="2527"/>
            <w:shd w:val="clear" w:color="auto" w:fill="1F3A5F"/>
          </w:tcPr>
          <w:p>
            <w:pPr>
              <w:pStyle w:val="Compact"/>
              <w:spacing w:after="20" w:before="20"/>
            </w:pPr>
            <w:r>
              <w:rPr>
                <w:b/>
                <w:color w:val="FFFFFF"/>
                <w:sz w:val="17"/>
              </w:rPr>
              <w:t xml:space="preserve">App</w:t>
            </w:r>
          </w:p>
        </w:tc>
        <w:tc>
          <w:tcPr>
            <w:tcW w:type="dxa" w:w="1638"/>
            <w:shd w:val="clear" w:color="auto" w:fill="1F3A5F"/>
          </w:tcPr>
          <w:p>
            <w:pPr>
              <w:pStyle w:val="Compact"/>
              <w:spacing w:after="20" w:before="20"/>
            </w:pPr>
            <w:r>
              <w:rPr>
                <w:b/>
                <w:color w:val="FFFFFF"/>
                <w:sz w:val="17"/>
              </w:rPr>
              <w:t xml:space="preserve">Données</w:t>
            </w:r>
          </w:p>
        </w:tc>
      </w:tr>
      <w:tr>
        <w:tc>
          <w:tcPr>
            <w:tcW w:type="dxa" w:w="1142"/>
          </w:tcPr>
          <w:p>
            <w:pPr>
              <w:pStyle w:val="Compact"/>
              <w:spacing w:after="20" w:before="20"/>
            </w:pPr>
            <w:r>
              <w:rPr>
                <w:b/>
                <w:bCs/>
                <w:sz w:val="17"/>
              </w:rPr>
              <w:t xml:space="preserve">dev</w:t>
            </w:r>
          </w:p>
        </w:tc>
        <w:tc>
          <w:tcPr>
            <w:tcW w:type="dxa" w:w="2224"/>
          </w:tcPr>
          <w:p>
            <w:pPr>
              <w:pStyle w:val="Compact"/>
              <w:spacing w:after="20" w:before="20"/>
            </w:pPr>
            <w:r>
              <w:rPr>
                <w:sz w:val="17"/>
              </w:rPr>
              <w:t xml:space="preserve">Supabase local (CLI) ou projet de dev</w:t>
            </w:r>
          </w:p>
        </w:tc>
        <w:tc>
          <w:tcPr>
            <w:tcW w:type="dxa" w:w="2389"/>
          </w:tcPr>
          <w:p>
            <w:pPr>
              <w:pStyle w:val="Compact"/>
              <w:spacing w:after="20" w:before="20"/>
            </w:pPr>
            <w:r>
              <w:rPr>
                <w:sz w:val="17"/>
              </w:rPr>
              <w:t xml:space="preserve">Mode test, Stripe CLI pour les webhooks</w:t>
            </w:r>
          </w:p>
        </w:tc>
        <w:tc>
          <w:tcPr>
            <w:tcW w:type="dxa" w:w="2527"/>
          </w:tcPr>
          <w:p>
            <w:pPr>
              <w:pStyle w:val="Compact"/>
              <w:spacing w:after="20" w:before="20"/>
            </w:pPr>
            <w:r>
              <w:rPr>
                <w:sz w:val="17"/>
              </w:rPr>
              <w:t xml:space="preserve">Build de développement (Expo)</w:t>
            </w:r>
          </w:p>
        </w:tc>
        <w:tc>
          <w:tcPr>
            <w:tcW w:type="dxa" w:w="1638"/>
          </w:tcPr>
          <w:p>
            <w:pPr>
              <w:pStyle w:val="Compact"/>
              <w:spacing w:after="20" w:before="20"/>
            </w:pPr>
            <w:r>
              <w:rPr>
                <w:sz w:val="17"/>
              </w:rPr>
              <w:t xml:space="preserve">Fictives</w:t>
            </w:r>
          </w:p>
        </w:tc>
      </w:tr>
      <w:tr>
        <w:tc>
          <w:tcPr>
            <w:tcW w:type="dxa" w:w="1142"/>
            <w:shd w:val="clear" w:color="auto" w:fill="EAF2F5"/>
          </w:tcPr>
          <w:p>
            <w:pPr>
              <w:pStyle w:val="Compact"/>
              <w:spacing w:after="20" w:before="20"/>
            </w:pPr>
            <w:r>
              <w:rPr>
                <w:b/>
                <w:bCs/>
                <w:sz w:val="17"/>
              </w:rPr>
              <w:t xml:space="preserve">staging</w:t>
            </w:r>
          </w:p>
        </w:tc>
        <w:tc>
          <w:tcPr>
            <w:tcW w:type="dxa" w:w="2224"/>
            <w:shd w:val="clear" w:color="auto" w:fill="EAF2F5"/>
          </w:tcPr>
          <w:p>
            <w:pPr>
              <w:pStyle w:val="Compact"/>
              <w:spacing w:after="20" w:before="20"/>
            </w:pPr>
            <w:r>
              <w:rPr>
                <w:sz w:val="17"/>
              </w:rPr>
              <w:t xml:space="preserve">Projet Supabase séparé, mêmes migrations</w:t>
            </w:r>
          </w:p>
        </w:tc>
        <w:tc>
          <w:tcPr>
            <w:tcW w:type="dxa" w:w="2389"/>
            <w:shd w:val="clear" w:color="auto" w:fill="EAF2F5"/>
          </w:tcPr>
          <w:p>
            <w:pPr>
              <w:pStyle w:val="Compact"/>
              <w:spacing w:after="20" w:before="20"/>
            </w:pPr>
            <w:r>
              <w:rPr>
                <w:sz w:val="17"/>
              </w:rPr>
              <w:t xml:space="preserve">Mode test (ou bac à sable), webhooks réels de test</w:t>
            </w:r>
          </w:p>
        </w:tc>
        <w:tc>
          <w:tcPr>
            <w:tcW w:type="dxa" w:w="2527"/>
            <w:shd w:val="clear" w:color="auto" w:fill="EAF2F5"/>
          </w:tcPr>
          <w:p>
            <w:pPr>
              <w:pStyle w:val="Compact"/>
              <w:spacing w:after="20" w:before="20"/>
            </w:pPr>
            <w:r>
              <w:rPr>
                <w:sz w:val="17"/>
              </w:rPr>
              <w:t xml:space="preserve">Profil EAS « preview » ; TestFlight et piste de test interne Google Play</w:t>
            </w:r>
          </w:p>
        </w:tc>
        <w:tc>
          <w:tcPr>
            <w:tcW w:type="dxa" w:w="1638"/>
            <w:shd w:val="clear" w:color="auto" w:fill="EAF2F5"/>
          </w:tcPr>
          <w:p>
            <w:pPr>
              <w:pStyle w:val="Compact"/>
              <w:spacing w:after="20" w:before="20"/>
            </w:pPr>
            <w:r>
              <w:rPr>
                <w:sz w:val="17"/>
              </w:rPr>
              <w:t xml:space="preserve">Fictives ; aucune donnée réelle</w:t>
            </w:r>
          </w:p>
        </w:tc>
      </w:tr>
      <w:tr>
        <w:tc>
          <w:tcPr>
            <w:tcW w:type="dxa" w:w="1142"/>
          </w:tcPr>
          <w:p>
            <w:pPr>
              <w:pStyle w:val="Compact"/>
              <w:spacing w:after="20" w:before="20"/>
            </w:pPr>
            <w:r>
              <w:rPr>
                <w:b/>
                <w:bCs/>
                <w:sz w:val="17"/>
              </w:rPr>
              <w:t xml:space="preserve">prod</w:t>
            </w:r>
          </w:p>
        </w:tc>
        <w:tc>
          <w:tcPr>
            <w:tcW w:type="dxa" w:w="2224"/>
          </w:tcPr>
          <w:p>
            <w:pPr>
              <w:pStyle w:val="Compact"/>
              <w:spacing w:after="20" w:before="20"/>
            </w:pPr>
            <w:r>
              <w:rPr>
                <w:sz w:val="17"/>
              </w:rPr>
              <w:t xml:space="preserve">Projet Supabase de production, accès restreint</w:t>
            </w:r>
          </w:p>
        </w:tc>
        <w:tc>
          <w:tcPr>
            <w:tcW w:type="dxa" w:w="2389"/>
          </w:tcPr>
          <w:p>
            <w:pPr>
              <w:pStyle w:val="Compact"/>
              <w:spacing w:after="20" w:before="20"/>
            </w:pPr>
            <w:r>
              <w:rPr>
                <w:b/>
                <w:bCs/>
                <w:sz w:val="17"/>
              </w:rPr>
              <w:t xml:space="preserve">Mode production</w:t>
            </w:r>
            <w:r>
              <w:rPr>
                <w:sz w:val="17"/>
              </w:rPr>
              <w:t xml:space="preserve"> </w:t>
            </w:r>
            <w:r>
              <w:rPr>
                <w:sz w:val="17"/>
              </w:rPr>
              <w:t xml:space="preserve">(live), clés et secrets distincts</w:t>
            </w:r>
          </w:p>
        </w:tc>
        <w:tc>
          <w:tcPr>
            <w:tcW w:type="dxa" w:w="2527"/>
          </w:tcPr>
          <w:p>
            <w:pPr>
              <w:pStyle w:val="Compact"/>
              <w:spacing w:after="20" w:before="20"/>
            </w:pPr>
            <w:r>
              <w:rPr>
                <w:sz w:val="17"/>
              </w:rPr>
              <w:t xml:space="preserve">Profil EAS « production » ; App Store et Google Play</w:t>
            </w:r>
          </w:p>
        </w:tc>
        <w:tc>
          <w:tcPr>
            <w:tcW w:type="dxa" w:w="1638"/>
          </w:tcPr>
          <w:p>
            <w:pPr>
              <w:pStyle w:val="Compact"/>
              <w:spacing w:after="20" w:before="20"/>
            </w:pPr>
            <w:r>
              <w:rPr>
                <w:sz w:val="17"/>
              </w:rPr>
              <w:t xml:space="preserve">Réelles ; ÉFVP et sauvegardes en place</w:t>
            </w:r>
          </w:p>
        </w:tc>
      </w:tr>
    </w:tbl>
    <w:p>
      <w:pPr>
        <w:pStyle w:val="BodyText"/>
      </w:pPr>
      <w:r>
        <w:t xml:space="preserve">Règles : secrets distincts par environnement dans les secrets de la CI et d’EAS ; migrations SQL appliquées dans l’ordre dev → staging → prod ; aucune copie de données de prod vers les autres environnements.</w:t>
      </w:r>
    </w:p>
    <w:bookmarkEnd w:id="34"/>
    <w:bookmarkStart w:id="35" w:name="plan-de-livraison-en-jalons"/>
    <w:p>
      <w:pPr>
        <w:pStyle w:val="Heading2"/>
      </w:pPr>
      <w:r>
        <w:t xml:space="preserve">6.2 Plan de livraison en jalons</w:t>
      </w:r>
    </w:p>
    <w:p>
      <w:pPr>
        <w:pStyle w:val="FirstParagraph"/>
      </w:pPr>
      <w:r>
        <w:t xml:space="preserve">Les dates sont</w:t>
      </w:r>
      <w:r>
        <w:t xml:space="preserve"> </w:t>
      </w:r>
      <w:r>
        <w:rPr>
          <w:b/>
          <w:bCs/>
        </w:rPr>
        <w:t xml:space="preserve">à définir</w:t>
      </w:r>
      <w:r>
        <w:t xml:space="preserve">. L’ordre tient compte des préalables légaux de la fiche de recherche (notamment la déclaration de la banque biométrique à la CAI au moins 60 jours avant la mise en service).</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1820"/>
        <w:gridCol w:w="5479"/>
        <w:gridCol w:w="2621"/>
      </w:tblGrid>
      <w:tr>
        <w:trPr>
          <w:tblHeader w:val="on"/>
          <w:tblHeader w:val="true"/>
        </w:trPr>
        <w:tc>
          <w:tcPr>
            <w:tcW w:type="dxa" w:w="1820"/>
            <w:shd w:val="clear" w:color="auto" w:fill="1F3A5F"/>
          </w:tcPr>
          <w:p>
            <w:pPr>
              <w:pStyle w:val="Compact"/>
              <w:spacing w:after="20" w:before="20"/>
            </w:pPr>
            <w:r>
              <w:rPr>
                <w:b/>
                <w:color w:val="FFFFFF"/>
                <w:sz w:val="17"/>
              </w:rPr>
              <w:t xml:space="preserve">Jalon</w:t>
            </w:r>
          </w:p>
        </w:tc>
        <w:tc>
          <w:tcPr>
            <w:tcW w:type="dxa" w:w="5480"/>
            <w:shd w:val="clear" w:color="auto" w:fill="1F3A5F"/>
          </w:tcPr>
          <w:p>
            <w:pPr>
              <w:pStyle w:val="Compact"/>
              <w:spacing w:after="20" w:before="20"/>
            </w:pPr>
            <w:r>
              <w:rPr>
                <w:b/>
                <w:color w:val="FFFFFF"/>
                <w:sz w:val="17"/>
              </w:rPr>
              <w:t xml:space="preserve">Contenu</w:t>
            </w:r>
          </w:p>
        </w:tc>
        <w:tc>
          <w:tcPr>
            <w:tcW w:type="dxa" w:w="2622"/>
            <w:shd w:val="clear" w:color="auto" w:fill="1F3A5F"/>
          </w:tcPr>
          <w:p>
            <w:pPr>
              <w:pStyle w:val="Compact"/>
              <w:spacing w:after="20" w:before="20"/>
            </w:pPr>
            <w:r>
              <w:rPr>
                <w:b/>
                <w:color w:val="FFFFFF"/>
                <w:sz w:val="17"/>
              </w:rPr>
              <w:t xml:space="preserve">Préalables</w:t>
            </w:r>
          </w:p>
        </w:tc>
      </w:tr>
      <w:tr>
        <w:tc>
          <w:tcPr>
            <w:tcW w:type="dxa" w:w="1820"/>
          </w:tcPr>
          <w:p>
            <w:pPr>
              <w:pStyle w:val="Compact"/>
              <w:spacing w:after="20" w:before="20"/>
            </w:pPr>
            <w:r>
              <w:rPr>
                <w:b/>
                <w:bCs/>
                <w:sz w:val="17"/>
              </w:rPr>
              <w:t xml:space="preserve">J0 — Cadrage</w:t>
            </w:r>
          </w:p>
        </w:tc>
        <w:tc>
          <w:tcPr>
            <w:tcW w:type="dxa" w:w="5480"/>
          </w:tcPr>
          <w:p>
            <w:pPr>
              <w:pStyle w:val="Compact"/>
              <w:spacing w:after="20" w:before="20"/>
            </w:pPr>
            <w:r>
              <w:rPr>
                <w:sz w:val="17"/>
              </w:rPr>
              <w:t xml:space="preserve">Modèle de menaces STRIDE ; inventaire des données ; début de l’ÉFVP ; choix définitifs (cartes, analytics, i18n) ; compte Stripe et Connect configurés en test ; squelette Expo + Supabase + CI.</w:t>
            </w:r>
          </w:p>
        </w:tc>
        <w:tc>
          <w:tcPr>
            <w:tcW w:type="dxa" w:w="2622"/>
          </w:tcPr>
          <w:p>
            <w:pPr>
              <w:pStyle w:val="Compact"/>
              <w:spacing w:after="20" w:before="20"/>
            </w:pPr>
            <w:r>
              <w:rPr>
                <w:sz w:val="17"/>
              </w:rPr>
              <w:t xml:space="preserve">Avis initial de l’avocat ; calendrier de la déclaration à la CAI.</w:t>
            </w:r>
          </w:p>
        </w:tc>
      </w:tr>
      <w:tr>
        <w:tc>
          <w:tcPr>
            <w:tcW w:type="dxa" w:w="1820"/>
            <w:shd w:val="clear" w:color="auto" w:fill="EAF2F5"/>
          </w:tcPr>
          <w:p>
            <w:pPr>
              <w:pStyle w:val="Compact"/>
              <w:spacing w:after="20" w:before="20"/>
            </w:pPr>
            <w:r>
              <w:rPr>
                <w:b/>
                <w:bCs/>
                <w:sz w:val="17"/>
              </w:rPr>
              <w:t xml:space="preserve">J1 — MVP Canada</w:t>
            </w:r>
          </w:p>
        </w:tc>
        <w:tc>
          <w:tcPr>
            <w:tcW w:type="dxa" w:w="5480"/>
            <w:shd w:val="clear" w:color="auto" w:fill="EAF2F5"/>
          </w:tcPr>
          <w:p>
            <w:pPr>
              <w:pStyle w:val="Compact"/>
              <w:spacing w:after="20" w:before="20"/>
            </w:pPr>
            <w:r>
              <w:rPr>
                <w:sz w:val="17"/>
              </w:rPr>
              <w:t xml:space="preserve">Inscription/connexion (PKCE), profil, Stripe Identity, annonces de trajet et demandes d’envoi, réservation, paiement retenu (separate charges and transfers), preuves de remise, livraison, libération des fonds, versements standard, messagerie simple, avis, signalements, litige de base, suppression du compte et export, fr/en, notifications push.</w:t>
            </w:r>
          </w:p>
        </w:tc>
        <w:tc>
          <w:tcPr>
            <w:tcW w:type="dxa" w:w="2622"/>
            <w:shd w:val="clear" w:color="auto" w:fill="EAF2F5"/>
          </w:tcPr>
          <w:p>
            <w:pPr>
              <w:pStyle w:val="Compact"/>
              <w:spacing w:after="20" w:before="20"/>
            </w:pPr>
            <w:r>
              <w:rPr>
                <w:sz w:val="17"/>
              </w:rPr>
              <w:t xml:space="preserve">ÉFVP terminée ; politiques publiées ; Stripe en production ; pentest fait ; comptes stores ; déclaration à la CAI faite dans les délais.</w:t>
            </w:r>
          </w:p>
        </w:tc>
      </w:tr>
      <w:tr>
        <w:tc>
          <w:tcPr>
            <w:tcW w:type="dxa" w:w="1820"/>
          </w:tcPr>
          <w:p>
            <w:pPr>
              <w:pStyle w:val="Compact"/>
              <w:spacing w:after="20" w:before="20"/>
            </w:pPr>
            <w:r>
              <w:rPr>
                <w:b/>
                <w:bCs/>
                <w:sz w:val="17"/>
              </w:rPr>
              <w:t xml:space="preserve">J2 — Version 1.1</w:t>
            </w:r>
          </w:p>
        </w:tc>
        <w:tc>
          <w:tcPr>
            <w:tcW w:type="dxa" w:w="5480"/>
          </w:tcPr>
          <w:p>
            <w:pPr>
              <w:pStyle w:val="Compact"/>
              <w:spacing w:after="20" w:before="20"/>
            </w:pPr>
            <w:r>
              <w:rPr>
                <w:sz w:val="17"/>
              </w:rPr>
              <w:t xml:space="preserve">Versement instantané avec frais affichés ; assurance optionnelle (selon l’option A ou B validée) ; modération automatique ; amélioration du hors-ligne.</w:t>
            </w:r>
          </w:p>
        </w:tc>
        <w:tc>
          <w:tcPr>
            <w:tcW w:type="dxa" w:w="2622"/>
          </w:tcPr>
          <w:p>
            <w:pPr>
              <w:pStyle w:val="Compact"/>
              <w:spacing w:after="20" w:before="20"/>
            </w:pPr>
            <w:r>
              <w:rPr>
                <w:sz w:val="17"/>
              </w:rPr>
              <w:t xml:space="preserve">Contrat avec l’assureur ; avis juridique sur la distribution.</w:t>
            </w:r>
          </w:p>
        </w:tc>
      </w:tr>
      <w:tr>
        <w:tc>
          <w:tcPr>
            <w:tcW w:type="dxa" w:w="1820"/>
            <w:shd w:val="clear" w:color="auto" w:fill="EAF2F5"/>
          </w:tcPr>
          <w:p>
            <w:pPr>
              <w:pStyle w:val="Compact"/>
              <w:spacing w:after="20" w:before="20"/>
            </w:pPr>
            <w:r>
              <w:rPr>
                <w:b/>
                <w:bCs/>
                <w:sz w:val="17"/>
              </w:rPr>
              <w:t xml:space="preserve">J3 — Version 1.2</w:t>
            </w:r>
          </w:p>
        </w:tc>
        <w:tc>
          <w:tcPr>
            <w:tcW w:type="dxa" w:w="5480"/>
            <w:shd w:val="clear" w:color="auto" w:fill="EAF2F5"/>
          </w:tcPr>
          <w:p>
            <w:pPr>
              <w:pStyle w:val="Compact"/>
              <w:spacing w:after="20" w:before="20"/>
            </w:pPr>
            <w:r>
              <w:rPr>
                <w:sz w:val="17"/>
              </w:rPr>
              <w:t xml:space="preserve">Arabe (RTL) ; devises locales ; mises en avant ou abonnement (Stripe Billing) si retenus.</w:t>
            </w:r>
          </w:p>
        </w:tc>
        <w:tc>
          <w:tcPr>
            <w:tcW w:type="dxa" w:w="2622"/>
            <w:shd w:val="clear" w:color="auto" w:fill="EAF2F5"/>
          </w:tcPr>
          <w:p>
            <w:pPr>
              <w:pStyle w:val="Compact"/>
              <w:spacing w:after="20" w:before="20"/>
            </w:pPr>
            <w:r>
              <w:rPr>
                <w:sz w:val="17"/>
              </w:rPr>
              <w:t xml:space="preserve">Volet légal sur les contrats à exécution successive.</w:t>
            </w:r>
          </w:p>
        </w:tc>
      </w:tr>
      <w:tr>
        <w:tc>
          <w:tcPr>
            <w:tcW w:type="dxa" w:w="1820"/>
          </w:tcPr>
          <w:p>
            <w:pPr>
              <w:pStyle w:val="Compact"/>
              <w:spacing w:after="20" w:before="20"/>
            </w:pPr>
            <w:r>
              <w:rPr>
                <w:b/>
                <w:bCs/>
                <w:sz w:val="17"/>
              </w:rPr>
              <w:t xml:space="preserve">J4 — International</w:t>
            </w:r>
          </w:p>
        </w:tc>
        <w:tc>
          <w:tcPr>
            <w:tcW w:type="dxa" w:w="5480"/>
          </w:tcPr>
          <w:p>
            <w:pPr>
              <w:pStyle w:val="Compact"/>
              <w:spacing w:after="20" w:before="20"/>
            </w:pPr>
            <w:r>
              <w:rPr>
                <w:sz w:val="17"/>
              </w:rPr>
              <w:t xml:space="preserve">Ouverture pays par pays selon la disponibilité de Stripe Connect et Stripe Identity ; exigences locales (RGPD, DSA, DAC7 en Europe) ; pays sous sanctions exclus.</w:t>
            </w:r>
          </w:p>
        </w:tc>
        <w:tc>
          <w:tcPr>
            <w:tcW w:type="dxa" w:w="2622"/>
          </w:tcPr>
          <w:p>
            <w:pPr>
              <w:pStyle w:val="Compact"/>
              <w:spacing w:after="20" w:before="20"/>
            </w:pPr>
            <w:r>
              <w:rPr>
                <w:sz w:val="17"/>
              </w:rPr>
              <w:t xml:space="preserve">Avocat local par pays.</w:t>
            </w:r>
          </w:p>
        </w:tc>
      </w:tr>
      <w:tr>
        <w:tc>
          <w:tcPr>
            <w:tcW w:type="dxa" w:w="1820"/>
            <w:shd w:val="clear" w:color="auto" w:fill="EAF2F5"/>
          </w:tcPr>
          <w:p>
            <w:pPr>
              <w:pStyle w:val="Compact"/>
              <w:spacing w:after="20" w:before="20"/>
            </w:pPr>
            <w:r>
              <w:rPr>
                <w:b/>
                <w:bCs/>
                <w:sz w:val="17"/>
              </w:rPr>
              <w:t xml:space="preserve">Plus tard</w:t>
            </w:r>
          </w:p>
        </w:tc>
        <w:tc>
          <w:tcPr>
            <w:tcW w:type="dxa" w:w="5480"/>
            <w:shd w:val="clear" w:color="auto" w:fill="EAF2F5"/>
          </w:tcPr>
          <w:p>
            <w:pPr>
              <w:pStyle w:val="Compact"/>
              <w:spacing w:after="20" w:before="20"/>
            </w:pPr>
            <w:r>
              <w:rPr>
                <w:sz w:val="17"/>
              </w:rPr>
              <w:t xml:space="preserve">Interac (VoPay / Zum Rails) seulement après avis d’avocat (CANAFE, AMF, Banque du Canada).</w:t>
            </w:r>
          </w:p>
        </w:tc>
        <w:tc>
          <w:tcPr>
            <w:tcW w:type="dxa" w:w="2622"/>
            <w:shd w:val="clear" w:color="auto" w:fill="EAF2F5"/>
          </w:tcPr>
          <w:p>
            <w:pPr>
              <w:pStyle w:val="Compact"/>
              <w:spacing w:after="20" w:before="20"/>
            </w:pPr>
            <w:r>
              <w:rPr>
                <w:sz w:val="17"/>
              </w:rPr>
              <w:t xml:space="preserve">Avis juridique.</w:t>
            </w:r>
          </w:p>
        </w:tc>
      </w:tr>
    </w:tbl>
    <w:bookmarkEnd w:id="35"/>
    <w:bookmarkStart w:id="36" w:name="X667bf8a7f2c5da54bad725123b9f40719bf63b2"/>
    <w:p>
      <w:pPr>
        <w:pStyle w:val="Heading2"/>
      </w:pPr>
      <w:r>
        <w:t xml:space="preserve">6.3 Estimation qualitative des risques techniques</w:t>
      </w:r>
    </w:p>
    <w:tbl>
      <w:tblPr>
        <w:tblStyle w:val="Table"/>
        <w:tblLayout w:type="fixed"/>
        <w:tblLook w:firstRow="1" w:lastRow="0" w:firstColumn="0" w:lastColumn="0" w:noHBand="0" w:noVBand="0" w:val="0020"/>
        <w:tblLayout w:type="fixed"/>
        <w:tblW w:w="9921" w:type="dxa"/>
        <w:tblBorders>
          <w:top w:val="single" w:sz="4" w:color="B8C7D0"/>
          <w:left w:val="single" w:sz="4" w:color="B8C7D0"/>
          <w:bottom w:val="single" w:sz="4" w:color="B8C7D0"/>
          <w:right w:val="single" w:sz="4" w:color="B8C7D0"/>
          <w:insideH w:val="single" w:sz="4" w:color="B8C7D0"/>
          <w:insideV w:val="single" w:sz="4" w:color="B8C7D0"/>
        </w:tblBorders>
      </w:tblPr>
      <w:tblGrid>
        <w:gridCol w:w="3343"/>
        <w:gridCol w:w="1335"/>
        <w:gridCol w:w="1335"/>
        <w:gridCol w:w="3906"/>
      </w:tblGrid>
      <w:tr>
        <w:trPr>
          <w:tblHeader w:val="on"/>
          <w:tblHeader w:val="true"/>
        </w:trPr>
        <w:tc>
          <w:tcPr>
            <w:tcW w:type="dxa" w:w="3344"/>
            <w:shd w:val="clear" w:color="auto" w:fill="1F3A5F"/>
          </w:tcPr>
          <w:p>
            <w:pPr>
              <w:pStyle w:val="Compact"/>
              <w:spacing w:after="20" w:before="20"/>
            </w:pPr>
            <w:r>
              <w:rPr>
                <w:b/>
                <w:color w:val="FFFFFF"/>
                <w:sz w:val="17"/>
              </w:rPr>
              <w:t xml:space="preserve">Risque</w:t>
            </w:r>
          </w:p>
        </w:tc>
        <w:tc>
          <w:tcPr>
            <w:tcW w:type="dxa" w:w="1335"/>
            <w:shd w:val="clear" w:color="auto" w:fill="1F3A5F"/>
          </w:tcPr>
          <w:p>
            <w:pPr>
              <w:pStyle w:val="Compact"/>
              <w:spacing w:after="20" w:before="20"/>
            </w:pPr>
            <w:r>
              <w:rPr>
                <w:b/>
                <w:color w:val="FFFFFF"/>
                <w:sz w:val="17"/>
              </w:rPr>
              <w:t xml:space="preserve">Probabilité</w:t>
            </w:r>
          </w:p>
        </w:tc>
        <w:tc>
          <w:tcPr>
            <w:tcW w:type="dxa" w:w="1335"/>
            <w:shd w:val="clear" w:color="auto" w:fill="1F3A5F"/>
          </w:tcPr>
          <w:p>
            <w:pPr>
              <w:pStyle w:val="Compact"/>
              <w:spacing w:after="20" w:before="20"/>
            </w:pPr>
            <w:r>
              <w:rPr>
                <w:b/>
                <w:color w:val="FFFFFF"/>
                <w:sz w:val="17"/>
              </w:rPr>
              <w:t xml:space="preserve">Impact</w:t>
            </w:r>
          </w:p>
        </w:tc>
        <w:tc>
          <w:tcPr>
            <w:tcW w:type="dxa" w:w="3907"/>
            <w:shd w:val="clear" w:color="auto" w:fill="1F3A5F"/>
          </w:tcPr>
          <w:p>
            <w:pPr>
              <w:pStyle w:val="Compact"/>
              <w:spacing w:after="20" w:before="20"/>
            </w:pPr>
            <w:r>
              <w:rPr>
                <w:b/>
                <w:color w:val="FFFFFF"/>
                <w:sz w:val="17"/>
              </w:rPr>
              <w:t xml:space="preserve">Atténuation</w:t>
            </w:r>
          </w:p>
        </w:tc>
      </w:tr>
      <w:tr>
        <w:tc>
          <w:tcPr>
            <w:tcW w:type="dxa" w:w="3344"/>
          </w:tcPr>
          <w:p>
            <w:pPr>
              <w:pStyle w:val="Compact"/>
              <w:spacing w:after="20" w:before="20"/>
            </w:pPr>
            <w:r>
              <w:rPr>
                <w:sz w:val="17"/>
              </w:rPr>
              <w:t xml:space="preserve">Erreur dans la logique de libération des fonds (double transfert, transfert sans livraison)</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Élevé</w:t>
            </w:r>
          </w:p>
        </w:tc>
        <w:tc>
          <w:tcPr>
            <w:tcW w:type="dxa" w:w="3907"/>
          </w:tcPr>
          <w:p>
            <w:pPr>
              <w:pStyle w:val="Compact"/>
              <w:spacing w:after="20" w:before="20"/>
            </w:pPr>
            <w:r>
              <w:rPr>
                <w:sz w:val="17"/>
              </w:rPr>
              <w:t xml:space="preserve">Machine d’états côté serveur, idempotence, tests automatisés, rapprochement avec Stripe, revue de code obligatoire.</w:t>
            </w:r>
          </w:p>
        </w:tc>
      </w:tr>
      <w:tr>
        <w:tc>
          <w:tcPr>
            <w:tcW w:type="dxa" w:w="3344"/>
            <w:shd w:val="clear" w:color="auto" w:fill="EAF2F5"/>
          </w:tcPr>
          <w:p>
            <w:pPr>
              <w:pStyle w:val="Compact"/>
              <w:spacing w:after="20" w:before="20"/>
            </w:pPr>
            <w:r>
              <w:rPr>
                <w:sz w:val="17"/>
              </w:rPr>
              <w:t xml:space="preserve">Faille d’autorisation (RLS absente ou trop permissive)</w:t>
            </w:r>
          </w:p>
        </w:tc>
        <w:tc>
          <w:tcPr>
            <w:tcW w:type="dxa" w:w="1335"/>
            <w:shd w:val="clear" w:color="auto" w:fill="EAF2F5"/>
          </w:tcPr>
          <w:p>
            <w:pPr>
              <w:pStyle w:val="Compact"/>
              <w:spacing w:after="20" w:before="20"/>
            </w:pPr>
            <w:r>
              <w:rPr>
                <w:sz w:val="17"/>
              </w:rPr>
              <w:t xml:space="preserve">Moyenne</w:t>
            </w:r>
          </w:p>
        </w:tc>
        <w:tc>
          <w:tcPr>
            <w:tcW w:type="dxa" w:w="1335"/>
            <w:shd w:val="clear" w:color="auto" w:fill="EAF2F5"/>
          </w:tcPr>
          <w:p>
            <w:pPr>
              <w:pStyle w:val="Compact"/>
              <w:spacing w:after="20" w:before="20"/>
            </w:pPr>
            <w:r>
              <w:rPr>
                <w:sz w:val="17"/>
              </w:rPr>
              <w:t xml:space="preserve">Élevé</w:t>
            </w:r>
          </w:p>
        </w:tc>
        <w:tc>
          <w:tcPr>
            <w:tcW w:type="dxa" w:w="3907"/>
            <w:shd w:val="clear" w:color="auto" w:fill="EAF2F5"/>
          </w:tcPr>
          <w:p>
            <w:pPr>
              <w:pStyle w:val="Compact"/>
              <w:spacing w:after="20" w:before="20"/>
            </w:pPr>
            <w:r>
              <w:rPr>
                <w:sz w:val="17"/>
              </w:rPr>
              <w:t xml:space="preserve">Tests RLS en CI, aucune table sans politique, pentest.</w:t>
            </w:r>
          </w:p>
        </w:tc>
      </w:tr>
      <w:tr>
        <w:tc>
          <w:tcPr>
            <w:tcW w:type="dxa" w:w="3344"/>
          </w:tcPr>
          <w:p>
            <w:pPr>
              <w:pStyle w:val="Compact"/>
              <w:spacing w:after="20" w:before="20"/>
            </w:pPr>
            <w:r>
              <w:rPr>
                <w:sz w:val="17"/>
              </w:rPr>
              <w:t xml:space="preserve">Fraude (faux comptes, cartes volées, colis interdits)</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Élevé</w:t>
            </w:r>
          </w:p>
        </w:tc>
        <w:tc>
          <w:tcPr>
            <w:tcW w:type="dxa" w:w="3907"/>
          </w:tcPr>
          <w:p>
            <w:pPr>
              <w:pStyle w:val="Compact"/>
              <w:spacing w:after="20" w:before="20"/>
            </w:pPr>
            <w:r>
              <w:rPr>
                <w:sz w:val="17"/>
              </w:rPr>
              <w:t xml:space="preserve">Stripe Identity avant la première transaction, Radar, signalements, suspension des transferts, attestation du contenu.</w:t>
            </w:r>
          </w:p>
        </w:tc>
      </w:tr>
      <w:tr>
        <w:tc>
          <w:tcPr>
            <w:tcW w:type="dxa" w:w="3344"/>
            <w:shd w:val="clear" w:color="auto" w:fill="EAF2F5"/>
          </w:tcPr>
          <w:p>
            <w:pPr>
              <w:pStyle w:val="Compact"/>
              <w:spacing w:after="20" w:before="20"/>
            </w:pPr>
            <w:r>
              <w:rPr>
                <w:sz w:val="17"/>
              </w:rPr>
              <w:t xml:space="preserve">Rétrofacturations après le transfert au voyageur</w:t>
            </w:r>
          </w:p>
        </w:tc>
        <w:tc>
          <w:tcPr>
            <w:tcW w:type="dxa" w:w="1335"/>
            <w:shd w:val="clear" w:color="auto" w:fill="EAF2F5"/>
          </w:tcPr>
          <w:p>
            <w:pPr>
              <w:pStyle w:val="Compact"/>
              <w:spacing w:after="20" w:before="20"/>
            </w:pPr>
            <w:r>
              <w:rPr>
                <w:sz w:val="17"/>
              </w:rPr>
              <w:t xml:space="preserve">Moyenne</w:t>
            </w:r>
          </w:p>
        </w:tc>
        <w:tc>
          <w:tcPr>
            <w:tcW w:type="dxa" w:w="1335"/>
            <w:shd w:val="clear" w:color="auto" w:fill="EAF2F5"/>
          </w:tcPr>
          <w:p>
            <w:pPr>
              <w:pStyle w:val="Compact"/>
              <w:spacing w:after="20" w:before="20"/>
            </w:pPr>
            <w:r>
              <w:rPr>
                <w:sz w:val="17"/>
              </w:rPr>
              <w:t xml:space="preserve">Moyen à élevé</w:t>
            </w:r>
          </w:p>
        </w:tc>
        <w:tc>
          <w:tcPr>
            <w:tcW w:type="dxa" w:w="3907"/>
            <w:shd w:val="clear" w:color="auto" w:fill="EAF2F5"/>
          </w:tcPr>
          <w:p>
            <w:pPr>
              <w:pStyle w:val="Compact"/>
              <w:spacing w:after="20" w:before="20"/>
            </w:pPr>
            <w:r>
              <w:rPr>
                <w:sz w:val="17"/>
              </w:rPr>
              <w:t xml:space="preserve">Délai avant libération (à décider), preuves de remise, reversal selon les conditions.</w:t>
            </w:r>
          </w:p>
        </w:tc>
      </w:tr>
      <w:tr>
        <w:tc>
          <w:tcPr>
            <w:tcW w:type="dxa" w:w="3344"/>
          </w:tcPr>
          <w:p>
            <w:pPr>
              <w:pStyle w:val="Compact"/>
              <w:spacing w:after="20" w:before="20"/>
            </w:pPr>
            <w:r>
              <w:rPr>
                <w:sz w:val="17"/>
              </w:rPr>
              <w:t xml:space="preserve">Limites de Stripe (durée de détention des fonds, pays pris en charge, versements transfrontaliers)</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Moyen</w:t>
            </w:r>
          </w:p>
        </w:tc>
        <w:tc>
          <w:tcPr>
            <w:tcW w:type="dxa" w:w="3907"/>
          </w:tcPr>
          <w:p>
            <w:pPr>
              <w:pStyle w:val="Compact"/>
              <w:spacing w:after="20" w:before="20"/>
            </w:pPr>
            <w:r>
              <w:rPr>
                <w:sz w:val="17"/>
              </w:rPr>
              <w:t xml:space="preserve">Validation avec Stripe avant J1 et avant chaque nouveau pays (</w:t>
            </w:r>
            <w:r>
              <w:rPr>
                <w:b/>
                <w:bCs/>
                <w:sz w:val="17"/>
              </w:rPr>
              <w:t xml:space="preserve">à confirmer</w:t>
            </w:r>
            <w:r>
              <w:rPr>
                <w:sz w:val="17"/>
              </w:rPr>
              <w:t xml:space="preserve">).</w:t>
            </w:r>
          </w:p>
        </w:tc>
      </w:tr>
      <w:tr>
        <w:tc>
          <w:tcPr>
            <w:tcW w:type="dxa" w:w="3344"/>
            <w:shd w:val="clear" w:color="auto" w:fill="EAF2F5"/>
          </w:tcPr>
          <w:p>
            <w:pPr>
              <w:pStyle w:val="Compact"/>
              <w:spacing w:after="20" w:before="20"/>
            </w:pPr>
            <w:r>
              <w:rPr>
                <w:sz w:val="17"/>
              </w:rPr>
              <w:t xml:space="preserve">Changements d’exigences des stores (API cible, SDK, confidentialité)</w:t>
            </w:r>
          </w:p>
        </w:tc>
        <w:tc>
          <w:tcPr>
            <w:tcW w:type="dxa" w:w="1335"/>
            <w:shd w:val="clear" w:color="auto" w:fill="EAF2F5"/>
          </w:tcPr>
          <w:p>
            <w:pPr>
              <w:pStyle w:val="Compact"/>
              <w:spacing w:after="20" w:before="20"/>
            </w:pPr>
            <w:r>
              <w:rPr>
                <w:sz w:val="17"/>
              </w:rPr>
              <w:t xml:space="preserve">Élevée (annuelle)</w:t>
            </w:r>
          </w:p>
        </w:tc>
        <w:tc>
          <w:tcPr>
            <w:tcW w:type="dxa" w:w="1335"/>
            <w:shd w:val="clear" w:color="auto" w:fill="EAF2F5"/>
          </w:tcPr>
          <w:p>
            <w:pPr>
              <w:pStyle w:val="Compact"/>
              <w:spacing w:after="20" w:before="20"/>
            </w:pPr>
            <w:r>
              <w:rPr>
                <w:sz w:val="17"/>
              </w:rPr>
              <w:t xml:space="preserve">Moyen</w:t>
            </w:r>
          </w:p>
        </w:tc>
        <w:tc>
          <w:tcPr>
            <w:tcW w:type="dxa" w:w="3907"/>
            <w:shd w:val="clear" w:color="auto" w:fill="EAF2F5"/>
          </w:tcPr>
          <w:p>
            <w:pPr>
              <w:pStyle w:val="Compact"/>
              <w:spacing w:after="20" w:before="20"/>
            </w:pPr>
            <w:r>
              <w:rPr>
                <w:sz w:val="17"/>
              </w:rPr>
              <w:t xml:space="preserve">Veille, mise à jour régulière du SDK Expo, vérification à chaque release.</w:t>
            </w:r>
          </w:p>
        </w:tc>
      </w:tr>
      <w:tr>
        <w:tc>
          <w:tcPr>
            <w:tcW w:type="dxa" w:w="3344"/>
          </w:tcPr>
          <w:p>
            <w:pPr>
              <w:pStyle w:val="Compact"/>
              <w:spacing w:after="20" w:before="20"/>
            </w:pPr>
            <w:r>
              <w:rPr>
                <w:sz w:val="17"/>
              </w:rPr>
              <w:t xml:space="preserve">Dépendance à Supabase (fournisseur unique)</w:t>
            </w:r>
          </w:p>
        </w:tc>
        <w:tc>
          <w:tcPr>
            <w:tcW w:type="dxa" w:w="1335"/>
          </w:tcPr>
          <w:p>
            <w:pPr>
              <w:pStyle w:val="Compact"/>
              <w:spacing w:after="20" w:before="20"/>
            </w:pPr>
            <w:r>
              <w:rPr>
                <w:sz w:val="17"/>
              </w:rPr>
              <w:t xml:space="preserve">Faible à moyenne</w:t>
            </w:r>
          </w:p>
        </w:tc>
        <w:tc>
          <w:tcPr>
            <w:tcW w:type="dxa" w:w="1335"/>
          </w:tcPr>
          <w:p>
            <w:pPr>
              <w:pStyle w:val="Compact"/>
              <w:spacing w:after="20" w:before="20"/>
            </w:pPr>
            <w:r>
              <w:rPr>
                <w:sz w:val="17"/>
              </w:rPr>
              <w:t xml:space="preserve">Moyen</w:t>
            </w:r>
          </w:p>
        </w:tc>
        <w:tc>
          <w:tcPr>
            <w:tcW w:type="dxa" w:w="3907"/>
          </w:tcPr>
          <w:p>
            <w:pPr>
              <w:pStyle w:val="Compact"/>
              <w:spacing w:after="20" w:before="20"/>
            </w:pPr>
            <w:r>
              <w:rPr>
                <w:sz w:val="17"/>
              </w:rPr>
              <w:t xml:space="preserve">PostgreSQL standard, logique métier en TypeScript, migrations versionnées, sauvegardes exportables.</w:t>
            </w:r>
          </w:p>
        </w:tc>
      </w:tr>
      <w:tr>
        <w:tc>
          <w:tcPr>
            <w:tcW w:type="dxa" w:w="3344"/>
            <w:shd w:val="clear" w:color="auto" w:fill="EAF2F5"/>
          </w:tcPr>
          <w:p>
            <w:pPr>
              <w:pStyle w:val="Compact"/>
              <w:spacing w:after="20" w:before="20"/>
            </w:pPr>
            <w:r>
              <w:rPr>
                <w:sz w:val="17"/>
              </w:rPr>
              <w:t xml:space="preserve">Fuite de données personnelles (journaux, photos, messages)</w:t>
            </w:r>
          </w:p>
        </w:tc>
        <w:tc>
          <w:tcPr>
            <w:tcW w:type="dxa" w:w="1335"/>
            <w:shd w:val="clear" w:color="auto" w:fill="EAF2F5"/>
          </w:tcPr>
          <w:p>
            <w:pPr>
              <w:pStyle w:val="Compact"/>
              <w:spacing w:after="20" w:before="20"/>
            </w:pPr>
            <w:r>
              <w:rPr>
                <w:sz w:val="17"/>
              </w:rPr>
              <w:t xml:space="preserve">Faible à moyenne</w:t>
            </w:r>
          </w:p>
        </w:tc>
        <w:tc>
          <w:tcPr>
            <w:tcW w:type="dxa" w:w="1335"/>
            <w:shd w:val="clear" w:color="auto" w:fill="EAF2F5"/>
          </w:tcPr>
          <w:p>
            <w:pPr>
              <w:pStyle w:val="Compact"/>
              <w:spacing w:after="20" w:before="20"/>
            </w:pPr>
            <w:r>
              <w:rPr>
                <w:sz w:val="17"/>
              </w:rPr>
              <w:t xml:space="preserve">Élevé</w:t>
            </w:r>
          </w:p>
        </w:tc>
        <w:tc>
          <w:tcPr>
            <w:tcW w:type="dxa" w:w="3907"/>
            <w:shd w:val="clear" w:color="auto" w:fill="EAF2F5"/>
          </w:tcPr>
          <w:p>
            <w:pPr>
              <w:pStyle w:val="Compact"/>
              <w:spacing w:after="20" w:before="20"/>
            </w:pPr>
            <w:r>
              <w:rPr>
                <w:sz w:val="17"/>
              </w:rPr>
              <w:t xml:space="preserve">SEC-13, SEC-17, chiffrement, registre et plan d’incident.</w:t>
            </w:r>
          </w:p>
        </w:tc>
      </w:tr>
      <w:tr>
        <w:tc>
          <w:tcPr>
            <w:tcW w:type="dxa" w:w="3344"/>
          </w:tcPr>
          <w:p>
            <w:pPr>
              <w:pStyle w:val="Compact"/>
              <w:spacing w:after="20" w:before="20"/>
            </w:pPr>
            <w:r>
              <w:rPr>
                <w:sz w:val="17"/>
              </w:rPr>
              <w:t xml:space="preserve">Complexité de l’interface RTL et du multilingue</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Faible à moyen</w:t>
            </w:r>
          </w:p>
        </w:tc>
        <w:tc>
          <w:tcPr>
            <w:tcW w:type="dxa" w:w="3907"/>
          </w:tcPr>
          <w:p>
            <w:pPr>
              <w:pStyle w:val="Compact"/>
              <w:spacing w:after="20" w:before="20"/>
            </w:pPr>
            <w:r>
              <w:rPr>
                <w:sz w:val="17"/>
              </w:rPr>
              <w:t xml:space="preserve">RTL prévu dès le design system ; tests visuels.</w:t>
            </w:r>
          </w:p>
        </w:tc>
      </w:tr>
      <w:tr>
        <w:tc>
          <w:tcPr>
            <w:tcW w:type="dxa" w:w="3344"/>
            <w:shd w:val="clear" w:color="auto" w:fill="EAF2F5"/>
          </w:tcPr>
          <w:p>
            <w:pPr>
              <w:pStyle w:val="Compact"/>
              <w:spacing w:after="20" w:before="20"/>
            </w:pPr>
            <w:r>
              <w:rPr>
                <w:sz w:val="17"/>
              </w:rPr>
              <w:t xml:space="preserve">Différences de comportement entre mobile et web (Expo Router, Stripe, cartes)</w:t>
            </w:r>
          </w:p>
        </w:tc>
        <w:tc>
          <w:tcPr>
            <w:tcW w:type="dxa" w:w="1335"/>
            <w:shd w:val="clear" w:color="auto" w:fill="EAF2F5"/>
          </w:tcPr>
          <w:p>
            <w:pPr>
              <w:pStyle w:val="Compact"/>
              <w:spacing w:after="20" w:before="20"/>
            </w:pPr>
            <w:r>
              <w:rPr>
                <w:sz w:val="17"/>
              </w:rPr>
              <w:t xml:space="preserve">Moyenne</w:t>
            </w:r>
          </w:p>
        </w:tc>
        <w:tc>
          <w:tcPr>
            <w:tcW w:type="dxa" w:w="1335"/>
            <w:shd w:val="clear" w:color="auto" w:fill="EAF2F5"/>
          </w:tcPr>
          <w:p>
            <w:pPr>
              <w:pStyle w:val="Compact"/>
              <w:spacing w:after="20" w:before="20"/>
            </w:pPr>
            <w:r>
              <w:rPr>
                <w:sz w:val="17"/>
              </w:rPr>
              <w:t xml:space="preserve">Moyen</w:t>
            </w:r>
          </w:p>
        </w:tc>
        <w:tc>
          <w:tcPr>
            <w:tcW w:type="dxa" w:w="3907"/>
            <w:shd w:val="clear" w:color="auto" w:fill="EAF2F5"/>
          </w:tcPr>
          <w:p>
            <w:pPr>
              <w:pStyle w:val="Compact"/>
              <w:spacing w:after="20" w:before="20"/>
            </w:pPr>
            <w:r>
              <w:rPr>
                <w:sz w:val="17"/>
              </w:rPr>
              <w:t xml:space="preserve">Composants spécifiques par plateforme isolés dans la couche data/UI ; tests E2E web et mobile.</w:t>
            </w:r>
          </w:p>
        </w:tc>
      </w:tr>
      <w:tr>
        <w:tc>
          <w:tcPr>
            <w:tcW w:type="dxa" w:w="3344"/>
          </w:tcPr>
          <w:p>
            <w:pPr>
              <w:pStyle w:val="Compact"/>
              <w:spacing w:after="20" w:before="20"/>
            </w:pPr>
            <w:r>
              <w:rPr>
                <w:sz w:val="17"/>
              </w:rPr>
              <w:t xml:space="preserve">Retard dû aux préalables légaux (ÉFVP, CAI 60 jours, avis juridiques)</w:t>
            </w:r>
          </w:p>
        </w:tc>
        <w:tc>
          <w:tcPr>
            <w:tcW w:type="dxa" w:w="1335"/>
          </w:tcPr>
          <w:p>
            <w:pPr>
              <w:pStyle w:val="Compact"/>
              <w:spacing w:after="20" w:before="20"/>
            </w:pPr>
            <w:r>
              <w:rPr>
                <w:sz w:val="17"/>
              </w:rPr>
              <w:t xml:space="preserve">Moyenne</w:t>
            </w:r>
          </w:p>
        </w:tc>
        <w:tc>
          <w:tcPr>
            <w:tcW w:type="dxa" w:w="1335"/>
          </w:tcPr>
          <w:p>
            <w:pPr>
              <w:pStyle w:val="Compact"/>
              <w:spacing w:after="20" w:before="20"/>
            </w:pPr>
            <w:r>
              <w:rPr>
                <w:sz w:val="17"/>
              </w:rPr>
              <w:t xml:space="preserve">Moyen</w:t>
            </w:r>
          </w:p>
        </w:tc>
        <w:tc>
          <w:tcPr>
            <w:tcW w:type="dxa" w:w="3907"/>
          </w:tcPr>
          <w:p>
            <w:pPr>
              <w:pStyle w:val="Compact"/>
              <w:spacing w:after="20" w:before="20"/>
            </w:pPr>
            <w:r>
              <w:rPr>
                <w:sz w:val="17"/>
              </w:rPr>
              <w:t xml:space="preserve">Démarrage des démarches à J0, en parallèle du développement.</w:t>
            </w:r>
          </w:p>
        </w:tc>
      </w:tr>
    </w:tbl>
    <w:bookmarkEnd w:id="36"/>
    <w:bookmarkEnd w:id="37"/>
    <w:bookmarkStart w:id="38" w:name="annexe-références-officielles"/>
    <w:p>
      <w:pPr>
        <w:pStyle w:val="Heading1"/>
      </w:pPr>
      <w:r>
        <w:t xml:space="preserve">Annexe — Références officielles</w:t>
      </w:r>
    </w:p>
    <w:p>
      <w:pPr>
        <w:pStyle w:val="Compact"/>
        <w:numPr>
          <w:ilvl w:val="0"/>
          <w:numId w:val="1009"/>
        </w:numPr>
      </w:pPr>
      <w:r>
        <w:t xml:space="preserve">Expo Router : https://docs.expo.dev/router/introduction/</w:t>
      </w:r>
    </w:p>
    <w:p>
      <w:pPr>
        <w:pStyle w:val="Compact"/>
        <w:numPr>
          <w:ilvl w:val="0"/>
          <w:numId w:val="1009"/>
        </w:numPr>
      </w:pPr>
      <w:r>
        <w:t xml:space="preserve">Expo Notifications : https://docs.expo.dev/versions/latest/sdk/notifications/</w:t>
      </w:r>
    </w:p>
    <w:p>
      <w:pPr>
        <w:pStyle w:val="Compact"/>
        <w:numPr>
          <w:ilvl w:val="0"/>
          <w:numId w:val="1009"/>
        </w:numPr>
      </w:pPr>
      <w:r>
        <w:t xml:space="preserve">Expo SecureStore : https://docs.expo.dev/versions/latest/sdk/securestore/</w:t>
      </w:r>
    </w:p>
    <w:p>
      <w:pPr>
        <w:pStyle w:val="Compact"/>
        <w:numPr>
          <w:ilvl w:val="0"/>
          <w:numId w:val="1009"/>
        </w:numPr>
      </w:pPr>
      <w:r>
        <w:t xml:space="preserve">EAS Build : https://docs.expo.dev/build/introduction/ · EAS Submit : https://docs.expo.dev/submit/introduction/</w:t>
      </w:r>
    </w:p>
    <w:p>
      <w:pPr>
        <w:pStyle w:val="Compact"/>
        <w:numPr>
          <w:ilvl w:val="0"/>
          <w:numId w:val="1009"/>
        </w:numPr>
      </w:pPr>
      <w:r>
        <w:t xml:space="preserve">Stripe Connect, types de paiements : https://docs.stripe.com/connect/charges</w:t>
      </w:r>
    </w:p>
    <w:p>
      <w:pPr>
        <w:pStyle w:val="Compact"/>
        <w:numPr>
          <w:ilvl w:val="0"/>
          <w:numId w:val="1009"/>
        </w:numPr>
      </w:pPr>
      <w:r>
        <w:t xml:space="preserve">Separate charges and transfers : https://docs.stripe.com/connect/separate-charges-and-transfers</w:t>
      </w:r>
    </w:p>
    <w:p>
      <w:pPr>
        <w:pStyle w:val="Compact"/>
        <w:numPr>
          <w:ilvl w:val="0"/>
          <w:numId w:val="1009"/>
        </w:numPr>
      </w:pPr>
      <w:r>
        <w:t xml:space="preserve">Frais de plateforme (application fees) : https://docs.stripe.com/connect/marketplace/tasks/app-fees</w:t>
      </w:r>
    </w:p>
    <w:p>
      <w:pPr>
        <w:pStyle w:val="Compact"/>
        <w:numPr>
          <w:ilvl w:val="0"/>
          <w:numId w:val="1009"/>
        </w:numPr>
      </w:pPr>
      <w:r>
        <w:t xml:space="preserve">Durée des autorisations de carte : https://docs.stripe.com/payments/place-a-hold-on-a-payment-method</w:t>
      </w:r>
    </w:p>
    <w:p>
      <w:pPr>
        <w:pStyle w:val="Compact"/>
        <w:numPr>
          <w:ilvl w:val="0"/>
          <w:numId w:val="1009"/>
        </w:numPr>
      </w:pPr>
      <w:r>
        <w:t xml:space="preserve">Versements instantanés Connect : https://docs.stripe.com/connect/instant-payouts</w:t>
      </w:r>
    </w:p>
    <w:p>
      <w:pPr>
        <w:pStyle w:val="Compact"/>
        <w:numPr>
          <w:ilvl w:val="0"/>
          <w:numId w:val="1009"/>
        </w:numPr>
      </w:pPr>
      <w:r>
        <w:t xml:space="preserve">Platform Pricing Tool : https://docs.stripe.com/connect/platform-pricing-tools</w:t>
      </w:r>
    </w:p>
    <w:p>
      <w:pPr>
        <w:pStyle w:val="Compact"/>
        <w:numPr>
          <w:ilvl w:val="0"/>
          <w:numId w:val="1009"/>
        </w:numPr>
      </w:pPr>
      <w:r>
        <w:t xml:space="preserve">Stripe Identity, résultats de vérification : https://docs.stripe.com/identity/handle-verification-outcomes</w:t>
      </w:r>
    </w:p>
    <w:p>
      <w:pPr>
        <w:pStyle w:val="Compact"/>
        <w:numPr>
          <w:ilvl w:val="0"/>
          <w:numId w:val="1009"/>
        </w:numPr>
      </w:pPr>
      <w:r>
        <w:t xml:space="preserve">Stripe Identity, sessions et effacement : https://docs.stripe.com/identity/verification-sessions</w:t>
      </w:r>
    </w:p>
    <w:p>
      <w:pPr>
        <w:pStyle w:val="Compact"/>
        <w:numPr>
          <w:ilvl w:val="0"/>
          <w:numId w:val="1009"/>
        </w:numPr>
      </w:pPr>
      <w:r>
        <w:t xml:space="preserve">Webhooks Stripe : https://docs.stripe.com/webhooks</w:t>
      </w:r>
    </w:p>
    <w:p>
      <w:pPr>
        <w:pStyle w:val="Compact"/>
        <w:numPr>
          <w:ilvl w:val="0"/>
          <w:numId w:val="1009"/>
        </w:numPr>
      </w:pPr>
      <w:r>
        <w:t xml:space="preserve">Types d’événements Stripe : https://docs.stripe.com/api/events/types</w:t>
      </w:r>
    </w:p>
    <w:p>
      <w:pPr>
        <w:pStyle w:val="Compact"/>
        <w:numPr>
          <w:ilvl w:val="0"/>
          <w:numId w:val="1009"/>
        </w:numPr>
      </w:pPr>
      <w:r>
        <w:t xml:space="preserve">Stripe Billing : https://docs.stripe.com/billing</w:t>
      </w:r>
    </w:p>
    <w:p>
      <w:pPr>
        <w:pStyle w:val="Compact"/>
        <w:numPr>
          <w:ilvl w:val="0"/>
          <w:numId w:val="1009"/>
        </w:numPr>
      </w:pPr>
      <w:r>
        <w:t xml:space="preserve">Supabase Auth : https://supabase.com/docs/guides/auth · RLS : https://supabase.com/docs/guides/database/postgres/row-level-security</w:t>
      </w:r>
    </w:p>
    <w:p>
      <w:pPr>
        <w:pStyle w:val="Compact"/>
        <w:numPr>
          <w:ilvl w:val="0"/>
          <w:numId w:val="1009"/>
        </w:numPr>
      </w:pPr>
      <w:r>
        <w:t xml:space="preserve">OWASP MASVS : https://mas.owasp.org/MASVS/ · MASTG : https://mas.owasp.org/MASTG/</w:t>
      </w:r>
    </w:p>
    <w:p>
      <w:pPr>
        <w:pStyle w:val="Compact"/>
        <w:numPr>
          <w:ilvl w:val="0"/>
          <w:numId w:val="1009"/>
        </w:numPr>
      </w:pPr>
      <w:r>
        <w:t xml:space="preserve">OWASP API Security Top 10 (2023) : https://owasp.org/API-Security/</w:t>
      </w:r>
    </w:p>
    <w:p>
      <w:pPr>
        <w:pStyle w:val="Compact"/>
        <w:numPr>
          <w:ilvl w:val="0"/>
          <w:numId w:val="1009"/>
        </w:numPr>
      </w:pPr>
      <w:r>
        <w:t xml:space="preserve">WCAG 2.2 : https://www.w3.org/TR/WCAG22/</w:t>
      </w:r>
    </w:p>
    <w:p>
      <w:pPr>
        <w:pStyle w:val="Compact"/>
        <w:numPr>
          <w:ilvl w:val="0"/>
          <w:numId w:val="1009"/>
        </w:numPr>
      </w:pPr>
      <w:r>
        <w:t xml:space="preserve">Google Play, niveau d’API cible : https://support.google.com/googleplay/android-developer/answer/11926878</w:t>
      </w:r>
    </w:p>
    <w:p>
      <w:pPr>
        <w:pStyle w:val="Compact"/>
        <w:numPr>
          <w:ilvl w:val="0"/>
          <w:numId w:val="1009"/>
        </w:numPr>
      </w:pPr>
      <w:r>
        <w:t xml:space="preserve">Apple, exigences à venir : https://developer.apple.com/news/upcoming-requirements/</w:t>
      </w:r>
    </w:p>
    <w:bookmarkEnd w:id="38"/>
    <w:sectPr>
      <w:footerReference w:type="default" r:id="rId9"/>
      <w:footnotePr>
        <w:numRestart w:val="eachSect"/>
      </w:footnotePr>
      <w:pgSz w:w="12240" w:h="15840"/>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08080"/>
        <w:sz w:val="16"/>
      </w:rPr>
      <w:t>Volis — Cahier des charges · Volet technique et sécurité · 11 octobre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qFormat/>
    <w:pPr>
      <w:spacing w:after="180" w:before="180"/>
    </w:pPr>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cs="Calibri" w:eastAsia="Calibri"/>
      <w:b/>
      <w:color w:val="1F3A5F"/>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cs="Calibri" w:eastAsia="Calibri"/>
      <w:b w:val="0"/>
      <w:color w:val="2A7F8E"/>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cs="Calibri" w:eastAsia="Calibri"/>
      <w:b/>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cs="Calibri" w:eastAsia="Calibri"/>
      <w:b/>
      <w:color w:val="2A7F8E"/>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cs="Calibri" w:eastAsia="Calibri"/>
      <w:b/>
      <w:color w:val="2A7F8E"/>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Volis — Cahier des charges, section : Volet technique et sécurité</dc:title>
  <dc:creator>Faycal Chefai</dc:creator>
  <dc:language>fr-CA</dc:language>
  <cp:keywords/>
  <dcterms:created xsi:type="dcterms:W3CDTF">2026-10-11T19:55:58Z</dcterms:created>
  <dcterms:modified xsi:type="dcterms:W3CDTF">2026-10-11T19:55:58Z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Préparé pour Faycal Chefai (Trois-Rivières, QC) — 11 octobre 2026</vt:lpwstr>
  </property>
</Properties>
</file>