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Sushi Bar · España ↔ Hispanoamérica, EE. UU. y Brasil</w:t>
      </w:r>
    </w:p>
    <w:p>
      <w:pPr>
        <w:spacing w:before="120"/>
        <w:jc w:val="center"/>
      </w:pPr>
      <w:r>
        <w:rPr>
          <w:rFonts w:ascii="Calibri" w:hAnsi="Calibri"/>
          <w:b/>
          <w:color w:val="1A1A1A"/>
          <w:sz w:val="24"/>
        </w:rPr>
        <w:t>Incluida con tu Plan de Negocio: Sushi Bar</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Sushi Bar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cubata, combinado</w:t>
            </w:r>
          </w:p>
        </w:tc>
        <w:tc>
          <w:tcPr>
            <w:tcW w:type="dxa" w:w="5040"/>
          </w:tcPr>
          <w:p>
            <w:pPr>
              <w:spacing w:before="0" w:after="0" w:line="240" w:lineRule="auto"/>
            </w:pPr>
            <w:r>
              <w:rPr>
                <w:b/>
                <w:color w:val="1A1A1A"/>
                <w:sz w:val="16"/>
              </w:rPr>
              <w:t>trago</w:t>
            </w:r>
            <w:r>
              <w:rPr>
                <w:color w:val="1A1A1A"/>
                <w:sz w:val="16"/>
              </w:rPr>
              <w:t xml:space="preserve"> (CO, VE, EC, PE, BO, AR, UY, PY) · </w:t>
            </w:r>
            <w:r>
              <w:rPr>
                <w:b/>
                <w:color w:val="1A1A1A"/>
                <w:sz w:val="16"/>
              </w:rPr>
              <w:t>bebida preparada, jaibol</w:t>
            </w:r>
            <w:r>
              <w:rPr>
                <w:color w:val="1A1A1A"/>
                <w:sz w:val="16"/>
              </w:rPr>
              <w:t xml:space="preserve"> (MX, GT, HN, SV, NI, CR, PA, US) · </w:t>
            </w:r>
            <w:r>
              <w:rPr>
                <w:b/>
                <w:color w:val="1A1A1A"/>
                <w:sz w:val="16"/>
              </w:rPr>
              <w:t>combinado</w:t>
            </w:r>
            <w:r>
              <w:rPr>
                <w:color w:val="1A1A1A"/>
                <w:sz w:val="16"/>
              </w:rPr>
              <w:t xml:space="preserve"> (CU, DO, PR, CL) · Brasil (pt): </w:t>
            </w:r>
            <w:r>
              <w:rPr>
                <w:b/>
                <w:color w:val="1A1A1A"/>
                <w:sz w:val="16"/>
              </w:rPr>
              <w:t>drink / destilado com refrigerante</w:t>
            </w:r>
          </w:p>
        </w:tc>
        <w:tc>
          <w:tcPr>
            <w:tcW w:type="dxa" w:w="2016"/>
          </w:tcPr>
          <w:p>
            <w:pPr>
              <w:spacing w:before="0" w:after="0" w:line="240" w:lineRule="auto"/>
            </w:pPr>
            <w:r>
              <w:rPr>
                <w:color w:val="1A1A1A"/>
                <w:sz w:val="16"/>
              </w:rPr>
              <w:t>«Cubata» no se entiende fuera de ES; pedir por nombre (ron cola, whisky cola).</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tcPr>
          <w:p>
            <w:pPr>
              <w:spacing w:before="0" w:after="0" w:line="240" w:lineRule="auto"/>
            </w:pPr>
            <w:r>
              <w:rPr>
                <w:color w:val="1A1A1A"/>
                <w:sz w:val="16"/>
              </w:rPr>
              <w:t>En PE y BO también se oye «delivery» a secas.</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shd w:val="clear" w:color="auto" w:fill="FAF7F0"/>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shd w:val="clear" w:color="auto" w:fill="FAF7F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shd w:val="clear" w:color="auto" w:fill="FAF7F0"/>
          </w:tcPr>
          <w:p>
            <w:pPr>
              <w:spacing w:before="0" w:after="0" w:line="240" w:lineRule="auto"/>
            </w:pPr>
            <w:r>
              <w:rPr>
                <w:color w:val="1A1A1A"/>
                <w:sz w:val="16"/>
              </w:rPr>
              <w:t>«Menú» en MX es la carta, no el precio fijo. En CO el «corrientazo» es el almuerzo económico.</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shd w:val="clear" w:color="auto" w:fill="FAF7F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shd w:val="clear" w:color="auto" w:fill="FAF7F0"/>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segundo plato</w:t>
            </w:r>
          </w:p>
        </w:tc>
        <w:tc>
          <w:tcPr>
            <w:tcW w:type="dxa" w:w="5040"/>
          </w:tcPr>
          <w:p>
            <w:pPr>
              <w:spacing w:before="0" w:after="0" w:line="240" w:lineRule="auto"/>
            </w:pPr>
            <w:r>
              <w:rPr>
                <w:b/>
                <w:color w:val="1A1A1A"/>
                <w:sz w:val="16"/>
              </w:rPr>
              <w:t>plato fuerte</w:t>
            </w:r>
            <w:r>
              <w:rPr>
                <w:color w:val="1A1A1A"/>
                <w:sz w:val="16"/>
              </w:rPr>
              <w:t xml:space="preserve"> (MX, GT, HN, SV, NI, CR, PA, CU, DO, PR, CO, VE, US) · </w:t>
            </w:r>
            <w:r>
              <w:rPr>
                <w:b/>
                <w:color w:val="1A1A1A"/>
                <w:sz w:val="16"/>
              </w:rPr>
              <w:t>plato principal</w:t>
            </w:r>
            <w:r>
              <w:rPr>
                <w:color w:val="1A1A1A"/>
                <w:sz w:val="16"/>
              </w:rPr>
              <w:t xml:space="preserve"> (AR, UY, PY) · </w:t>
            </w:r>
            <w:r>
              <w:rPr>
                <w:b/>
                <w:color w:val="1A1A1A"/>
                <w:sz w:val="16"/>
              </w:rPr>
              <w:t>plato de fondo</w:t>
            </w:r>
            <w:r>
              <w:rPr>
                <w:color w:val="1A1A1A"/>
                <w:sz w:val="16"/>
              </w:rPr>
              <w:t xml:space="preserve"> (CL) · </w:t>
            </w:r>
            <w:r>
              <w:rPr>
                <w:b/>
                <w:color w:val="1A1A1A"/>
                <w:sz w:val="16"/>
              </w:rPr>
              <w:t>segundo</w:t>
            </w:r>
            <w:r>
              <w:rPr>
                <w:color w:val="1A1A1A"/>
                <w:sz w:val="16"/>
              </w:rPr>
              <w:t xml:space="preserve"> (EC, PE, BO) · Brasil (pt): </w:t>
            </w:r>
            <w:r>
              <w:rPr>
                <w:b/>
                <w:color w:val="1A1A1A"/>
                <w:sz w:val="16"/>
              </w:rPr>
              <w:t>prato principal</w:t>
            </w:r>
          </w:p>
        </w:tc>
        <w:tc>
          <w:tcPr>
            <w:tcW w:type="dxa" w:w="2016"/>
          </w:tcPr>
          <w:p>
            <w:pPr>
              <w:spacing w:before="0" w:after="0" w:line="240" w:lineRule="auto"/>
            </w:pPr>
            <w:r>
              <w:rPr>
                <w:color w:val="1A1A1A"/>
                <w:sz w:val="16"/>
              </w:rPr>
              <w:t>En PE y EC el «segundo» es el plato fuerte tras la sopa.</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shd w:val="clear" w:color="auto" w:fill="FAF7F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shd w:val="clear" w:color="auto" w:fill="FAF7F0"/>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pase</w:t>
            </w:r>
          </w:p>
        </w:tc>
        <w:tc>
          <w:tcPr>
            <w:tcW w:type="dxa" w:w="5040"/>
          </w:tcPr>
          <w:p>
            <w:pPr>
              <w:spacing w:before="0" w:after="0" w:line="240" w:lineRule="auto"/>
            </w:pPr>
            <w:r>
              <w:rPr>
                <w:b/>
                <w:color w:val="1A1A1A"/>
                <w:sz w:val="16"/>
              </w:rPr>
              <w:t>ventanilla / ventana</w:t>
            </w:r>
            <w:r>
              <w:rPr>
                <w:color w:val="1A1A1A"/>
                <w:sz w:val="16"/>
              </w:rPr>
              <w:t xml:space="preserve"> (CL) · </w:t>
            </w:r>
            <w:r>
              <w:rPr>
                <w:b/>
                <w:color w:val="1A1A1A"/>
                <w:sz w:val="16"/>
              </w:rPr>
              <w:t>pass / expo</w:t>
            </w:r>
            <w:r>
              <w:rPr>
                <w:color w:val="1A1A1A"/>
                <w:sz w:val="16"/>
              </w:rPr>
              <w:t xml:space="preserve"> (US) · Igual que en España: MX, GT, HN, SV, NI, CR, PA, CU, DO, PR, CO, VE, EC, PE, BO, AR, UY, PY · Brasil (pt): </w:t>
            </w:r>
            <w:r>
              <w:rPr>
                <w:b/>
                <w:color w:val="1A1A1A"/>
                <w:sz w:val="16"/>
              </w:rPr>
              <w:t>passe</w:t>
            </w:r>
          </w:p>
        </w:tc>
        <w:tc>
          <w:tcPr>
            <w:tcW w:type="dxa" w:w="2016"/>
          </w:tcPr>
          <w:p>
            <w:pPr>
              <w:spacing w:before="0" w:after="0" w:line="240" w:lineRule="auto"/>
            </w:pPr>
            <w:r>
              <w:rPr>
                <w:color w:val="1A1A1A"/>
                <w:sz w:val="16"/>
              </w:rPr>
              <w:t>En brigadas de EE. UU. «expo» es quien canta el pase.</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shd w:val="clear" w:color="auto" w:fill="FAF7F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shd w:val="clear" w:color="auto" w:fill="FAF7F0"/>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shd w:val="clear" w:color="auto" w:fill="FAF7F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shd w:val="clear" w:color="auto" w:fill="FAF7F0"/>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shd w:val="clear" w:color="auto" w:fill="FAF7F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shd w:val="clear" w:color="auto" w:fill="FAF7F0"/>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shd w:val="clear" w:color="auto" w:fill="FAF7F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shd w:val="clear" w:color="auto" w:fill="FAF7F0"/>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SMI</w:t>
            </w:r>
          </w:p>
        </w:tc>
        <w:tc>
          <w:tcPr>
            <w:tcW w:type="dxa" w:w="504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shd w:val="clear" w:color="auto" w:fill="FAF7F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shd w:val="clear" w:color="auto" w:fill="FAF7F0"/>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shd w:val="clear" w:color="auto" w:fill="FAF7F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shd w:val="clear" w:color="auto" w:fill="FAF7F0"/>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tcPr>
          <w:p>
            <w:pPr>
              <w:spacing w:before="0" w:after="0" w:line="240" w:lineRule="auto"/>
            </w:pPr>
            <w:r>
              <w:rPr>
                <w:color w:val="1A1A1A"/>
                <w:sz w:val="16"/>
              </w:rPr>
              <w:t>AR: hostelería = CCT UTHGRA; UY: Consejo de Salarios, grupo 13 (hoteles, restaurantes y bares).</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shd w:val="clear" w:color="auto" w:fill="FAF7F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shd w:val="clear" w:color="auto" w:fill="FAF7F0"/>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aseos</w:t>
            </w:r>
          </w:p>
        </w:tc>
        <w:tc>
          <w:tcPr>
            <w:tcW w:type="dxa" w:w="504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shd w:val="clear" w:color="auto" w:fill="FAF7F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shd w:val="clear" w:color="auto" w:fill="FAF7F0"/>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encimera</w:t>
            </w:r>
          </w:p>
        </w:tc>
        <w:tc>
          <w:tcPr>
            <w:tcW w:type="dxa" w:w="5040"/>
          </w:tcPr>
          <w:p>
            <w:pPr>
              <w:spacing w:before="0" w:after="0" w:line="240" w:lineRule="auto"/>
            </w:pPr>
            <w:r>
              <w:rPr>
                <w:b/>
                <w:color w:val="1A1A1A"/>
                <w:sz w:val="16"/>
              </w:rPr>
              <w:t>mesada</w:t>
            </w:r>
            <w:r>
              <w:rPr>
                <w:color w:val="1A1A1A"/>
                <w:sz w:val="16"/>
              </w:rPr>
              <w:t xml:space="preserve"> (AR, UY, PY) · </w:t>
            </w:r>
            <w:r>
              <w:rPr>
                <w:b/>
                <w:color w:val="1A1A1A"/>
                <w:sz w:val="16"/>
              </w:rPr>
              <w:t>mesón</w:t>
            </w:r>
            <w:r>
              <w:rPr>
                <w:color w:val="1A1A1A"/>
                <w:sz w:val="16"/>
              </w:rPr>
              <w:t xml:space="preserve"> (NI, CR, PA, CO, VE, EC, PE, BO, CL) · </w:t>
            </w:r>
            <w:r>
              <w:rPr>
                <w:b/>
                <w:color w:val="1A1A1A"/>
                <w:sz w:val="16"/>
              </w:rPr>
              <w:t>cubierta, encimera</w:t>
            </w:r>
            <w:r>
              <w:rPr>
                <w:color w:val="1A1A1A"/>
                <w:sz w:val="16"/>
              </w:rPr>
              <w:t xml:space="preserve"> (MX, GT, HN, SV) · </w:t>
            </w:r>
            <w:r>
              <w:rPr>
                <w:b/>
                <w:color w:val="1A1A1A"/>
                <w:sz w:val="16"/>
              </w:rPr>
              <w:t>countertop, mesón de trabajo</w:t>
            </w:r>
            <w:r>
              <w:rPr>
                <w:color w:val="1A1A1A"/>
                <w:sz w:val="16"/>
              </w:rPr>
              <w:t xml:space="preserve"> (US) · </w:t>
            </w:r>
            <w:r>
              <w:rPr>
                <w:b/>
                <w:color w:val="1A1A1A"/>
                <w:sz w:val="16"/>
              </w:rPr>
              <w:t>mesón, encimera</w:t>
            </w:r>
            <w:r>
              <w:rPr>
                <w:color w:val="1A1A1A"/>
                <w:sz w:val="16"/>
              </w:rPr>
              <w:t xml:space="preserve"> (CU, DO, PR) · Brasil (pt): </w:t>
            </w:r>
            <w:r>
              <w:rPr>
                <w:b/>
                <w:color w:val="1A1A1A"/>
                <w:sz w:val="16"/>
              </w:rPr>
              <w:t>bancada, bancada de trabalho</w:t>
            </w:r>
          </w:p>
        </w:tc>
        <w:tc>
          <w:tcPr>
            <w:tcW w:type="dxa" w:w="2016"/>
          </w:tcPr>
          <w:p>
            <w:pPr>
              <w:spacing w:before="0" w:after="0" w:line="240" w:lineRule="auto"/>
            </w:pPr>
            <w:r>
              <w:rPr>
                <w:color w:val="1A1A1A"/>
                <w:sz w:val="16"/>
              </w:rPr>
              <w:t>En MX «mesón» y «encimera» son la cubierta de la cocina; en el Río de la Plata es «mesada» y la pileta, «bacha».</w:t>
            </w:r>
          </w:p>
        </w:tc>
      </w:tr>
      <w:tr>
        <w:trPr>
          <w:cantSplit/>
        </w:trPr>
        <w:tc>
          <w:tcPr>
            <w:tcW w:type="dxa" w:w="2016"/>
            <w:shd w:val="clear" w:color="auto" w:fill="F3EBD8"/>
          </w:tcPr>
          <w:p>
            <w:pPr>
              <w:spacing w:before="0" w:after="0" w:line="240" w:lineRule="auto"/>
            </w:pPr>
            <w:r>
              <w:rPr>
                <w:b/>
                <w:color w:val="1A1A1A"/>
                <w:sz w:val="16"/>
              </w:rPr>
              <w:t>office</w:t>
            </w:r>
          </w:p>
        </w:tc>
        <w:tc>
          <w:tcPr>
            <w:tcW w:type="dxa" w:w="5040"/>
            <w:shd w:val="clear" w:color="auto" w:fill="FAF7F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shd w:val="clear" w:color="auto" w:fill="FAF7F0"/>
          </w:tcPr>
          <w:p>
            <w:pPr>
              <w:spacing w:before="0" w:after="0" w:line="240" w:lineRule="auto"/>
            </w:pPr>
            <w:r>
              <w:rPr>
                <w:color w:val="1A1A1A"/>
                <w:sz w:val="16"/>
              </w:rPr>
              <w:t>Cuidado: en MX y EE. UU. «office» (oficina) es el despacho administrativo, no la zona de apoyo a sala.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Sushi Bar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Sushi Bar</dc:title>
  <dc:subject>Vocabulario, impuestos, sanidad, normas laborales y unidades de 20 países para adaptar tu producto</dc:subject>
  <dc:creator>AI Chef Pro</dc:creator>
  <cp:keywords>equivalencias, hostelería, vocabulario, Hispanoamérica, Plan de Negocio: Sushi Bar</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