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Guía de Sistemas</w:t>
      </w:r>
    </w:p>
    <w:p>
      <w:pPr>
        <w:jc w:val="center"/>
      </w:pPr>
      <w:r>
        <w:rPr>
          <w:i/>
          <w:color w:val="5A5240"/>
          <w:sz w:val="28"/>
        </w:rPr>
        <w:t>Chef Privado vs Personal Chef vs Caterer — Posicionamiento estratégico</w:t>
      </w:r>
    </w:p>
    <w:p>
      <w:pPr>
        <w:jc w:val="center"/>
      </w:pPr>
      <w:r>
        <w:rPr>
          <w:b/>
          <w:color w:val="C4974A"/>
          <w:sz w:val="24"/>
        </w:rPr>
        <w:t>Definiciones, modelos económicos y elección de figura comercial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Por qué importa esta distinción</w:t>
      </w:r>
    </w:p>
    <w:p>
      <w:pPr>
        <w:spacing w:after="120"/>
      </w:pPr>
      <w:r>
        <w:t>Las tres figuras (chef privado, personal chef y caterer) operan en territorio comercial solapado pero responden a propuestas de valor distintas. Confundir las figuras al posicionarse implica competir en mercados equivocados, fijar tickets erróneos y atraer clientes que no valoran el servicio prestado. Esta guía clarifica las diferencias, los modelos económicos y te ayuda a elegir cuál encarnar en cada momento de tu negocio.</w:t>
      </w:r>
    </w:p>
    <w:p>
      <w:r>
        <w:rPr>
          <w:rFonts w:ascii="Cambria" w:hAnsi="Cambria"/>
          <w:b/>
          <w:color w:val="0A0908"/>
          <w:sz w:val="40"/>
        </w:rPr>
        <w:t>2. Chef Privado — definición y modelo</w:t>
      </w:r>
    </w:p>
    <w:p>
      <w:pPr>
        <w:spacing w:after="120"/>
      </w:pPr>
      <w:r>
        <w:t>El chef privado es la figura premium del segmento. Trabaja para clientes individuales o empresas en eventos puntuales, llevando a su equipo de trabajo (cuchillos, equipamiento, vajilla) al domicilio o espacio del cliente. La relación es por evento, no recurrente con un único cliente, y el ticket medio es alto.</w:t>
      </w:r>
    </w:p>
    <w:p>
      <w:r>
        <w:rPr>
          <w:rFonts w:ascii="Cambria" w:hAnsi="Cambria"/>
          <w:b/>
          <w:color w:val="0A0908"/>
          <w:sz w:val="30"/>
        </w:rPr>
        <w:t>2.1 Características del chef privado</w:t>
      </w:r>
    </w:p>
    <w:p>
      <w:pPr>
        <w:pStyle w:val="ListBullet"/>
        <w:spacing w:after="40"/>
      </w:pPr>
      <w:r>
        <w:t>Trabaja para múltiples clientes a lo largo del año (típicamente 100-200 eventos/año en velocidad de crucero).</w:t>
      </w:r>
    </w:p>
    <w:p>
      <w:pPr>
        <w:pStyle w:val="ListBullet"/>
        <w:spacing w:after="40"/>
      </w:pPr>
      <w:r>
        <w:t>Ticket medio: 580-2.200 € por evento.</w:t>
      </w:r>
    </w:p>
    <w:p>
      <w:pPr>
        <w:pStyle w:val="ListBullet"/>
        <w:spacing w:after="40"/>
      </w:pPr>
      <w:r>
        <w:t>Marca personal fuerte como diferencial principal.</w:t>
      </w:r>
    </w:p>
    <w:p>
      <w:pPr>
        <w:pStyle w:val="ListBullet"/>
        <w:spacing w:after="40"/>
      </w:pPr>
      <w:r>
        <w:t>Equipamiento profesional propio (no usa el del cliente).</w:t>
      </w:r>
    </w:p>
    <w:p>
      <w:pPr>
        <w:pStyle w:val="ListBullet"/>
        <w:spacing w:after="40"/>
      </w:pPr>
      <w:r>
        <w:t>Pricing por evento o por pax con recargos transparentes.</w:t>
      </w:r>
    </w:p>
    <w:p>
      <w:pPr>
        <w:pStyle w:val="ListBullet"/>
        <w:spacing w:after="40"/>
      </w:pPr>
      <w:r>
        <w:t>Relación con el cliente es transaccional pero recurrente (cumpleaños anuales, etc.).</w:t>
      </w:r>
    </w:p>
    <w:p>
      <w:r>
        <w:rPr>
          <w:rFonts w:ascii="Cambria" w:hAnsi="Cambria"/>
          <w:b/>
          <w:color w:val="0A0908"/>
          <w:sz w:val="30"/>
        </w:rPr>
        <w:t>2.2 ICP del chef privado</w:t>
      </w:r>
    </w:p>
    <w:p>
      <w:pPr>
        <w:pStyle w:val="ListBullet"/>
        <w:spacing w:after="40"/>
      </w:pPr>
      <w:r>
        <w:t>B2C: hogares de renta media-alta con eventos puntuales (cumple, aniversario, San Valentín).</w:t>
      </w:r>
    </w:p>
    <w:p>
      <w:pPr>
        <w:pStyle w:val="ListBullet"/>
        <w:spacing w:after="40"/>
      </w:pPr>
      <w:r>
        <w:t>B2B: empresas, hoteles boutique, wedding planners, agencias eventos.</w:t>
      </w:r>
    </w:p>
    <w:p>
      <w:pPr>
        <w:pStyle w:val="ListBullet"/>
        <w:spacing w:after="40"/>
      </w:pPr>
      <w:r>
        <w:t>Edad cliente B2C: 32-58 años, urbano premium.</w:t>
      </w:r>
    </w:p>
    <w:p>
      <w:pPr>
        <w:pStyle w:val="ListBullet"/>
        <w:spacing w:after="40"/>
      </w:pPr>
      <w:r>
        <w:t>Compra: típicamente 1-3 eventos/año.</w:t>
      </w:r>
    </w:p>
    <w:p>
      <w:r>
        <w:rPr>
          <w:rFonts w:ascii="Cambria" w:hAnsi="Cambria"/>
          <w:b/>
          <w:color w:val="0A0908"/>
          <w:sz w:val="40"/>
        </w:rPr>
        <w:t>3. Personal Chef — definición y modelo</w:t>
      </w:r>
    </w:p>
    <w:p>
      <w:pPr>
        <w:spacing w:after="120"/>
      </w:pPr>
      <w:r>
        <w:t>El personal chef es la figura recurrente. Tiene un cliente fijo (típicamente una familia high-net-worth, una persona soltera adinerada o un cliente con dieta especial) al que cocina regularmente — habitualmente 2-5 días por semana o un servicio batch semanal. La relación es estable y de exclusividad parcial.</w:t>
      </w:r>
    </w:p>
    <w:p>
      <w:r>
        <w:rPr>
          <w:rFonts w:ascii="Cambria" w:hAnsi="Cambria"/>
          <w:b/>
          <w:color w:val="0A0908"/>
          <w:sz w:val="30"/>
        </w:rPr>
        <w:t>3.1 Características del personal chef</w:t>
      </w:r>
    </w:p>
    <w:p>
      <w:pPr>
        <w:pStyle w:val="ListBullet"/>
        <w:spacing w:after="40"/>
      </w:pPr>
      <w:r>
        <w:t>Trabaja para 1-3 clientes recurrentes simultáneamente.</w:t>
      </w:r>
    </w:p>
    <w:p>
      <w:pPr>
        <w:pStyle w:val="ListBullet"/>
        <w:spacing w:after="40"/>
      </w:pPr>
      <w:r>
        <w:t>Ticket: 1.800-4.500 €/mes por cliente fijo.</w:t>
      </w:r>
    </w:p>
    <w:p>
      <w:pPr>
        <w:pStyle w:val="ListBullet"/>
        <w:spacing w:after="40"/>
      </w:pPr>
      <w:r>
        <w:t>Servicio en cocina del cliente (usa equipamiento del cliente).</w:t>
      </w:r>
    </w:p>
    <w:p>
      <w:pPr>
        <w:pStyle w:val="ListBullet"/>
        <w:spacing w:after="40"/>
      </w:pPr>
      <w:r>
        <w:t>Especialización: dieta keto, vegana, deportiva, médica (alergias múltiples).</w:t>
      </w:r>
    </w:p>
    <w:p>
      <w:pPr>
        <w:pStyle w:val="ListBullet"/>
        <w:spacing w:after="40"/>
      </w:pPr>
      <w:r>
        <w:t>Relación de larga duración: 6 meses a 5+ años con el mismo cliente.</w:t>
      </w:r>
    </w:p>
    <w:p>
      <w:pPr>
        <w:pStyle w:val="ListBullet"/>
        <w:spacing w:after="40"/>
      </w:pPr>
      <w:r>
        <w:t>Ingreso predecible y estable.</w:t>
      </w:r>
    </w:p>
    <w:p>
      <w:r>
        <w:rPr>
          <w:rFonts w:ascii="Cambria" w:hAnsi="Cambria"/>
          <w:b/>
          <w:color w:val="0A0908"/>
          <w:sz w:val="30"/>
        </w:rPr>
        <w:t>3.2 ICP del personal chef</w:t>
      </w:r>
    </w:p>
    <w:p>
      <w:pPr>
        <w:pStyle w:val="ListBullet"/>
        <w:spacing w:after="40"/>
      </w:pPr>
      <w:r>
        <w:t>Familias high-net-worth (renta &gt; 200.000 €/año).</w:t>
      </w:r>
    </w:p>
    <w:p>
      <w:pPr>
        <w:pStyle w:val="ListBullet"/>
        <w:spacing w:after="40"/>
      </w:pPr>
      <w:r>
        <w:t>Profesionales sin tiempo para cocinar (CEOs, médicos, deportistas).</w:t>
      </w:r>
    </w:p>
    <w:p>
      <w:pPr>
        <w:pStyle w:val="ListBullet"/>
        <w:spacing w:after="40"/>
      </w:pPr>
      <w:r>
        <w:t>Personas con dieta especial (keto, sin gluten, alergias múltiples).</w:t>
      </w:r>
    </w:p>
    <w:p>
      <w:pPr>
        <w:pStyle w:val="ListBullet"/>
        <w:spacing w:after="40"/>
      </w:pPr>
      <w:r>
        <w:t>Hogares con personal de servicio (mayordomo, doncella) que coordinan al chef.</w:t>
      </w:r>
    </w:p>
    <w:p>
      <w:r>
        <w:rPr>
          <w:rFonts w:ascii="Cambria" w:hAnsi="Cambria"/>
          <w:b/>
          <w:color w:val="0A0908"/>
          <w:sz w:val="40"/>
        </w:rPr>
        <w:t>4. Caterer — definición y modelo</w:t>
      </w:r>
    </w:p>
    <w:p>
      <w:pPr>
        <w:spacing w:after="120"/>
      </w:pPr>
      <w:r>
        <w:t>El caterer es la figura escalable industrial. Opera con cocina central propia y produce comida para grandes eventos (bodas, congresos, fiestas masivas, comedores empresa). El servicio se industrializa y los márgenes son ajustados pero el volumen compensa.</w:t>
      </w:r>
    </w:p>
    <w:p>
      <w:r>
        <w:rPr>
          <w:rFonts w:ascii="Cambria" w:hAnsi="Cambria"/>
          <w:b/>
          <w:color w:val="0A0908"/>
          <w:sz w:val="30"/>
        </w:rPr>
        <w:t>4.1 Características del caterer</w:t>
      </w:r>
    </w:p>
    <w:p>
      <w:pPr>
        <w:pStyle w:val="ListBullet"/>
        <w:spacing w:after="40"/>
      </w:pPr>
      <w:r>
        <w:t>Trabaja con cocina central + plantilla fija (5-30+ empleados según tamaño).</w:t>
      </w:r>
    </w:p>
    <w:p>
      <w:pPr>
        <w:pStyle w:val="ListBullet"/>
        <w:spacing w:after="40"/>
      </w:pPr>
      <w:r>
        <w:t>Ticket por evento: 8.000-150.000 €.</w:t>
      </w:r>
    </w:p>
    <w:p>
      <w:pPr>
        <w:pStyle w:val="ListBullet"/>
        <w:spacing w:after="40"/>
      </w:pPr>
      <w:r>
        <w:t>Volumen: 50-500 pax por evento típico.</w:t>
      </w:r>
    </w:p>
    <w:p>
      <w:pPr>
        <w:pStyle w:val="ListBullet"/>
        <w:spacing w:after="40"/>
      </w:pPr>
      <w:r>
        <w:t>Inversión inicial: 100.000-500.000 €.</w:t>
      </w:r>
    </w:p>
    <w:p>
      <w:pPr>
        <w:pStyle w:val="ListBullet"/>
        <w:spacing w:after="40"/>
      </w:pPr>
      <w:r>
        <w:t>Modelo escalable industrial con sistemas y procesos.</w:t>
      </w:r>
    </w:p>
    <w:p>
      <w:pPr>
        <w:pStyle w:val="ListBullet"/>
        <w:spacing w:after="40"/>
      </w:pPr>
      <w:r>
        <w:t>Margen neto: 8-15 %.</w:t>
      </w:r>
    </w:p>
    <w:p>
      <w:r>
        <w:rPr>
          <w:rFonts w:ascii="Cambria" w:hAnsi="Cambria"/>
          <w:b/>
          <w:color w:val="0A0908"/>
          <w:sz w:val="30"/>
        </w:rPr>
        <w:t>4.2 ICP del caterer</w:t>
      </w:r>
    </w:p>
    <w:p>
      <w:pPr>
        <w:pStyle w:val="ListBullet"/>
        <w:spacing w:after="40"/>
      </w:pPr>
      <w:r>
        <w:t>Bodas grandes (100-300 pax).</w:t>
      </w:r>
    </w:p>
    <w:p>
      <w:pPr>
        <w:pStyle w:val="ListBullet"/>
        <w:spacing w:after="40"/>
      </w:pPr>
      <w:r>
        <w:t>Congresos y convenciones.</w:t>
      </w:r>
    </w:p>
    <w:p>
      <w:pPr>
        <w:pStyle w:val="ListBullet"/>
        <w:spacing w:after="40"/>
      </w:pPr>
      <w:r>
        <w:t>Empresas con comedor de plantilla.</w:t>
      </w:r>
    </w:p>
    <w:p>
      <w:pPr>
        <w:pStyle w:val="ListBullet"/>
        <w:spacing w:after="40"/>
      </w:pPr>
      <w:r>
        <w:t>Cadenas hoteleras como proveedor outsourceado.</w:t>
      </w:r>
    </w:p>
    <w:p>
      <w:pPr>
        <w:pStyle w:val="ListBullet"/>
        <w:spacing w:after="40"/>
      </w:pPr>
      <w:r>
        <w:t>Eventos públicos (ayuntamientos, ferias, festivales).</w:t>
      </w:r>
    </w:p>
    <w:p>
      <w:r>
        <w:rPr>
          <w:rFonts w:ascii="Cambria" w:hAnsi="Cambria"/>
          <w:b/>
          <w:color w:val="0A0908"/>
          <w:sz w:val="40"/>
        </w:rPr>
        <w:t>5. Tabla comparativa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Variable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Chef Privado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Personal Chef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Caterer</w:t>
            </w:r>
          </w:p>
        </w:tc>
      </w:tr>
      <w:tr>
        <w:tc>
          <w:tcPr>
            <w:tcW w:type="dxa" w:w="2268"/>
          </w:tcPr>
          <w:p>
            <w:r>
              <w:t>Inversión inicial</w:t>
            </w:r>
          </w:p>
        </w:tc>
        <w:tc>
          <w:tcPr>
            <w:tcW w:type="dxa" w:w="2268"/>
          </w:tcPr>
          <w:p>
            <w:r>
              <w:t>5.000-30.000 €</w:t>
            </w:r>
          </w:p>
        </w:tc>
        <w:tc>
          <w:tcPr>
            <w:tcW w:type="dxa" w:w="2268"/>
          </w:tcPr>
          <w:p>
            <w:r>
              <w:t>1.500-8.000 €</w:t>
            </w:r>
          </w:p>
        </w:tc>
        <w:tc>
          <w:tcPr>
            <w:tcW w:type="dxa" w:w="2268"/>
          </w:tcPr>
          <w:p>
            <w:r>
              <w:t>100.000-500.000 €</w:t>
            </w:r>
          </w:p>
        </w:tc>
      </w:tr>
      <w:tr>
        <w:tc>
          <w:tcPr>
            <w:tcW w:type="dxa" w:w="2268"/>
          </w:tcPr>
          <w:p>
            <w:r>
              <w:t>Ticket medio</w:t>
            </w:r>
          </w:p>
        </w:tc>
        <w:tc>
          <w:tcPr>
            <w:tcW w:type="dxa" w:w="2268"/>
          </w:tcPr>
          <w:p>
            <w:r>
              <w:t>580-2.200 €/evento</w:t>
            </w:r>
          </w:p>
        </w:tc>
        <w:tc>
          <w:tcPr>
            <w:tcW w:type="dxa" w:w="2268"/>
          </w:tcPr>
          <w:p>
            <w:r>
              <w:t>1.800-4.500 €/mes</w:t>
            </w:r>
          </w:p>
        </w:tc>
        <w:tc>
          <w:tcPr>
            <w:tcW w:type="dxa" w:w="2268"/>
          </w:tcPr>
          <w:p>
            <w:r>
              <w:t>8.000-150.000 €/evento</w:t>
            </w:r>
          </w:p>
        </w:tc>
      </w:tr>
      <w:tr>
        <w:tc>
          <w:tcPr>
            <w:tcW w:type="dxa" w:w="2268"/>
          </w:tcPr>
          <w:p>
            <w:r>
              <w:t>Volumen anual</w:t>
            </w:r>
          </w:p>
        </w:tc>
        <w:tc>
          <w:tcPr>
            <w:tcW w:type="dxa" w:w="2268"/>
          </w:tcPr>
          <w:p>
            <w:r>
              <w:t>100-200 eventos</w:t>
            </w:r>
          </w:p>
        </w:tc>
        <w:tc>
          <w:tcPr>
            <w:tcW w:type="dxa" w:w="2268"/>
          </w:tcPr>
          <w:p>
            <w:r>
              <w:t>1-3 clientes recurrentes</w:t>
            </w:r>
          </w:p>
        </w:tc>
        <w:tc>
          <w:tcPr>
            <w:tcW w:type="dxa" w:w="2268"/>
          </w:tcPr>
          <w:p>
            <w:r>
              <w:t>50-150 eventos grandes</w:t>
            </w:r>
          </w:p>
        </w:tc>
      </w:tr>
      <w:tr>
        <w:tc>
          <w:tcPr>
            <w:tcW w:type="dxa" w:w="2268"/>
          </w:tcPr>
          <w:p>
            <w:r>
              <w:t>Margen neto</w:t>
            </w:r>
          </w:p>
        </w:tc>
        <w:tc>
          <w:tcPr>
            <w:tcW w:type="dxa" w:w="2268"/>
          </w:tcPr>
          <w:p>
            <w:r>
              <w:t>28-35 %</w:t>
            </w:r>
          </w:p>
        </w:tc>
        <w:tc>
          <w:tcPr>
            <w:tcW w:type="dxa" w:w="2268"/>
          </w:tcPr>
          <w:p>
            <w:r>
              <w:t>35-45 %</w:t>
            </w:r>
          </w:p>
        </w:tc>
        <w:tc>
          <w:tcPr>
            <w:tcW w:type="dxa" w:w="2268"/>
          </w:tcPr>
          <w:p>
            <w:r>
              <w:t>8-15 %</w:t>
            </w:r>
          </w:p>
        </w:tc>
      </w:tr>
      <w:tr>
        <w:tc>
          <w:tcPr>
            <w:tcW w:type="dxa" w:w="2268"/>
          </w:tcPr>
          <w:p>
            <w:r>
              <w:t>Tiempo break-even</w:t>
            </w:r>
          </w:p>
        </w:tc>
        <w:tc>
          <w:tcPr>
            <w:tcW w:type="dxa" w:w="2268"/>
          </w:tcPr>
          <w:p>
            <w:r>
              <w:t>9-15 meses</w:t>
            </w:r>
          </w:p>
        </w:tc>
        <w:tc>
          <w:tcPr>
            <w:tcW w:type="dxa" w:w="2268"/>
          </w:tcPr>
          <w:p>
            <w:r>
              <w:t>1-3 meses</w:t>
            </w:r>
          </w:p>
        </w:tc>
        <w:tc>
          <w:tcPr>
            <w:tcW w:type="dxa" w:w="2268"/>
          </w:tcPr>
          <w:p>
            <w:r>
              <w:t>24-36 meses</w:t>
            </w:r>
          </w:p>
        </w:tc>
      </w:tr>
      <w:tr>
        <w:tc>
          <w:tcPr>
            <w:tcW w:type="dxa" w:w="2268"/>
          </w:tcPr>
          <w:p>
            <w:r>
              <w:t>Plantilla</w:t>
            </w:r>
          </w:p>
        </w:tc>
        <w:tc>
          <w:tcPr>
            <w:tcW w:type="dxa" w:w="2268"/>
          </w:tcPr>
          <w:p>
            <w:r>
              <w:t>1 + freelance</w:t>
            </w:r>
          </w:p>
        </w:tc>
        <w:tc>
          <w:tcPr>
            <w:tcW w:type="dxa" w:w="2268"/>
          </w:tcPr>
          <w:p>
            <w:r>
              <w:t>1 (solopreneur)</w:t>
            </w:r>
          </w:p>
        </w:tc>
        <w:tc>
          <w:tcPr>
            <w:tcW w:type="dxa" w:w="2268"/>
          </w:tcPr>
          <w:p>
            <w:r>
              <w:t>5-30 empleados</w:t>
            </w:r>
          </w:p>
        </w:tc>
      </w:tr>
      <w:tr>
        <w:tc>
          <w:tcPr>
            <w:tcW w:type="dxa" w:w="2268"/>
          </w:tcPr>
          <w:p>
            <w:r>
              <w:t>Local fijo</w:t>
            </w:r>
          </w:p>
        </w:tc>
        <w:tc>
          <w:tcPr>
            <w:tcW w:type="dxa" w:w="2268"/>
          </w:tcPr>
          <w:p>
            <w:r>
              <w:t>No</w:t>
            </w:r>
          </w:p>
        </w:tc>
        <w:tc>
          <w:tcPr>
            <w:tcW w:type="dxa" w:w="2268"/>
          </w:tcPr>
          <w:p>
            <w:r>
              <w:t>No</w:t>
            </w:r>
          </w:p>
        </w:tc>
        <w:tc>
          <w:tcPr>
            <w:tcW w:type="dxa" w:w="2268"/>
          </w:tcPr>
          <w:p>
            <w:r>
              <w:t>Sí (cocina central)</w:t>
            </w:r>
          </w:p>
        </w:tc>
      </w:tr>
      <w:tr>
        <w:tc>
          <w:tcPr>
            <w:tcW w:type="dxa" w:w="2268"/>
          </w:tcPr>
          <w:p>
            <w:r>
              <w:t>Clientes objetivo</w:t>
            </w:r>
          </w:p>
        </w:tc>
        <w:tc>
          <w:tcPr>
            <w:tcW w:type="dxa" w:w="2268"/>
          </w:tcPr>
          <w:p>
            <w:r>
              <w:t>Particulares + B2B</w:t>
            </w:r>
          </w:p>
        </w:tc>
        <w:tc>
          <w:tcPr>
            <w:tcW w:type="dxa" w:w="2268"/>
          </w:tcPr>
          <w:p>
            <w:r>
              <w:t>1-3 fijos premium</w:t>
            </w:r>
          </w:p>
        </w:tc>
        <w:tc>
          <w:tcPr>
            <w:tcW w:type="dxa" w:w="2268"/>
          </w:tcPr>
          <w:p>
            <w:r>
              <w:t>Bodas/congresos/empresas</w:t>
            </w:r>
          </w:p>
        </w:tc>
      </w:tr>
      <w:tr>
        <w:tc>
          <w:tcPr>
            <w:tcW w:type="dxa" w:w="2268"/>
          </w:tcPr>
          <w:p>
            <w:r>
              <w:t>Habilidad clave</w:t>
            </w:r>
          </w:p>
        </w:tc>
        <w:tc>
          <w:tcPr>
            <w:tcW w:type="dxa" w:w="2268"/>
          </w:tcPr>
          <w:p>
            <w:r>
              <w:t>Marca + experiencia</w:t>
            </w:r>
          </w:p>
        </w:tc>
        <w:tc>
          <w:tcPr>
            <w:tcW w:type="dxa" w:w="2268"/>
          </w:tcPr>
          <w:p>
            <w:r>
              <w:t>Discreción + servicio</w:t>
            </w:r>
          </w:p>
        </w:tc>
        <w:tc>
          <w:tcPr>
            <w:tcW w:type="dxa" w:w="2268"/>
          </w:tcPr>
          <w:p>
            <w:r>
              <w:t>Operaciones + escalado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6. ¿Qué figura elegir y cuándo?</w:t>
      </w:r>
    </w:p>
    <w:p>
      <w:r>
        <w:rPr>
          <w:rFonts w:ascii="Cambria" w:hAnsi="Cambria"/>
          <w:b/>
          <w:color w:val="0A0908"/>
          <w:sz w:val="30"/>
        </w:rPr>
        <w:t>6.1 Empieza siempre por chef privado</w:t>
      </w:r>
    </w:p>
    <w:p>
      <w:pPr>
        <w:spacing w:after="120"/>
      </w:pPr>
      <w:r>
        <w:t>Si estás emprendiendo en el sector con un perfil de chef solopreneur, la figura más recomendable para empezar es chef privado. Razones:</w:t>
      </w:r>
    </w:p>
    <w:p>
      <w:pPr>
        <w:pStyle w:val="ListBullet"/>
        <w:spacing w:after="40"/>
      </w:pPr>
      <w:r>
        <w:t>Menor inversión inicial que caterer (10x menos).</w:t>
      </w:r>
    </w:p>
    <w:p>
      <w:pPr>
        <w:pStyle w:val="ListBullet"/>
        <w:spacing w:after="40"/>
      </w:pPr>
      <w:r>
        <w:t>Modelo escalable cuando demuestras encaje producto-mercado.</w:t>
      </w:r>
    </w:p>
    <w:p>
      <w:pPr>
        <w:pStyle w:val="ListBullet"/>
        <w:spacing w:after="40"/>
      </w:pPr>
      <w:r>
        <w:t>Variedad de clientes y experiencias — aprendes rápido del mercado.</w:t>
      </w:r>
    </w:p>
    <w:p>
      <w:pPr>
        <w:pStyle w:val="ListBullet"/>
        <w:spacing w:after="40"/>
      </w:pPr>
      <w:r>
        <w:t>Marca personal se construye orgánicamente con cada evento.</w:t>
      </w:r>
    </w:p>
    <w:p>
      <w:pPr>
        <w:pStyle w:val="ListBullet"/>
        <w:spacing w:after="40"/>
      </w:pPr>
      <w:r>
        <w:t>Pivot opcional: con 12-18 meses de chef privado puedes pivotar a personal chef si encuentras un cliente premium.</w:t>
      </w:r>
    </w:p>
    <w:p>
      <w:r>
        <w:rPr>
          <w:rFonts w:ascii="Cambria" w:hAnsi="Cambria"/>
          <w:b/>
          <w:color w:val="0A0908"/>
          <w:sz w:val="30"/>
        </w:rPr>
        <w:t>6.2 Pivota a personal chef si...</w:t>
      </w:r>
    </w:p>
    <w:p>
      <w:pPr>
        <w:pStyle w:val="ListBullet"/>
        <w:spacing w:after="40"/>
      </w:pPr>
      <w:r>
        <w:t>Encuentras un cliente high-net-worth que demanda tus servicios 2+ veces al mes.</w:t>
      </w:r>
    </w:p>
    <w:p>
      <w:pPr>
        <w:pStyle w:val="ListBullet"/>
        <w:spacing w:after="40"/>
      </w:pPr>
      <w:r>
        <w:t>Te ofrecen un acuerdo anual con cliente fijo a 3.500+ €/mes.</w:t>
      </w:r>
    </w:p>
    <w:p>
      <w:pPr>
        <w:pStyle w:val="ListBullet"/>
        <w:spacing w:after="40"/>
      </w:pPr>
      <w:r>
        <w:t>Quieres reducir gestión comercial y centrarte en cocina.</w:t>
      </w:r>
    </w:p>
    <w:p>
      <w:pPr>
        <w:pStyle w:val="ListBullet"/>
        <w:spacing w:after="40"/>
      </w:pPr>
      <w:r>
        <w:t>Tu vida personal demanda predictibilidad de horarios.</w:t>
      </w:r>
    </w:p>
    <w:p>
      <w:r>
        <w:rPr>
          <w:rFonts w:ascii="Cambria" w:hAnsi="Cambria"/>
          <w:b/>
          <w:color w:val="0A0908"/>
          <w:sz w:val="30"/>
        </w:rPr>
        <w:t>6.3 Pivota a caterer si...</w:t>
      </w:r>
    </w:p>
    <w:p>
      <w:pPr>
        <w:pStyle w:val="ListBullet"/>
        <w:spacing w:after="40"/>
      </w:pPr>
      <w:r>
        <w:t>Tras 2-3 años como chef privado tienes red B2B sólida y agenda completa.</w:t>
      </w:r>
    </w:p>
    <w:p>
      <w:pPr>
        <w:pStyle w:val="ListBullet"/>
        <w:spacing w:after="40"/>
      </w:pPr>
      <w:r>
        <w:t>Detectas demanda recurrente de bodas grandes (&gt;100 pax) que rechazas por capacidad.</w:t>
      </w:r>
    </w:p>
    <w:p>
      <w:pPr>
        <w:pStyle w:val="ListBullet"/>
        <w:spacing w:after="40"/>
      </w:pPr>
      <w:r>
        <w:t>Tienes capital y socio operativo para invertir en cocina central + plantilla.</w:t>
      </w:r>
    </w:p>
    <w:p>
      <w:pPr>
        <w:pStyle w:val="ListBullet"/>
        <w:spacing w:after="40"/>
      </w:pPr>
      <w:r>
        <w:t>Tu marca personal soporta el escalado sin perder identidad.</w:t>
      </w:r>
    </w:p>
    <w:p>
      <w:r>
        <w:rPr>
          <w:rFonts w:ascii="Cambria" w:hAnsi="Cambria"/>
          <w:b/>
          <w:color w:val="0A0908"/>
          <w:sz w:val="40"/>
        </w:rPr>
        <w:t>7. Modelos híbridos válidos</w:t>
      </w:r>
    </w:p>
    <w:p>
      <w:pPr>
        <w:spacing w:after="120"/>
      </w:pPr>
      <w:r>
        <w:t>Las tres figuras no son excluyentes. Modelos híbridos válidos:</w:t>
      </w:r>
    </w:p>
    <w:p>
      <w:pPr>
        <w:pStyle w:val="ListBullet"/>
        <w:spacing w:after="40"/>
      </w:pPr>
      <w:r>
        <w:t>Chef privado con 1-2 personal chef recurrentes en paralelo (mix más común).</w:t>
      </w:r>
    </w:p>
    <w:p>
      <w:pPr>
        <w:pStyle w:val="ListBullet"/>
        <w:spacing w:after="40"/>
      </w:pPr>
      <w:r>
        <w:t>Caterer pequeño que reserva 20 % de su agenda para chef privado VIP a alto ticket.</w:t>
      </w:r>
    </w:p>
    <w:p>
      <w:pPr>
        <w:pStyle w:val="ListBullet"/>
        <w:spacing w:after="40"/>
      </w:pPr>
      <w:r>
        <w:t>Personal chef que hace 1-2 eventos grandes al año en formato chef privado para visibilidad.</w:t>
      </w:r>
    </w:p>
    <w:p>
      <w:pPr>
        <w:pStyle w:val="ListBullet"/>
        <w:spacing w:after="40"/>
      </w:pPr>
      <w:r>
        <w:t>Chef privado que cocina 1 día/semana en restaurante de un colega como personal branding.</w:t>
      </w:r>
    </w:p>
    <w:p>
      <w:r>
        <w:rPr>
          <w:rFonts w:ascii="Cambria" w:hAnsi="Cambria"/>
          <w:b/>
          <w:color w:val="0A0908"/>
          <w:sz w:val="40"/>
        </w:rPr>
        <w:t>8. Riesgo de confundir las figuras</w:t>
      </w:r>
    </w:p>
    <w:p>
      <w:pPr>
        <w:pStyle w:val="ListBullet"/>
        <w:spacing w:after="40"/>
      </w:pPr>
      <w:r>
        <w:t>Posicionarte como caterer cuando eres chef privado: te miden por precio bajo.</w:t>
      </w:r>
    </w:p>
    <w:p>
      <w:pPr>
        <w:pStyle w:val="ListBullet"/>
        <w:spacing w:after="40"/>
      </w:pPr>
      <w:r>
        <w:t>Posicionarte como chef privado cuando eres personal chef: pierdes la exclusividad y la recurrencia.</w:t>
      </w:r>
    </w:p>
    <w:p>
      <w:pPr>
        <w:pStyle w:val="ListBullet"/>
        <w:spacing w:after="40"/>
      </w:pPr>
      <w:r>
        <w:t>Posicionarte como personal chef cuando eres caterer: el cliente no entiende cómo escalas.</w:t>
      </w:r>
    </w:p>
    <w:p>
      <w:pPr>
        <w:pStyle w:val="ListBullet"/>
        <w:spacing w:after="40"/>
      </w:pPr>
      <w:r>
        <w:t>Conclusión: comunica claramente qué figura encarnas en cada momento, especialmente en web y dossier B2B.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