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Plan de Negocio</w:t>
      </w:r>
    </w:p>
    <w:p>
      <w:pPr>
        <w:jc w:val="center"/>
      </w:pPr>
      <w:r>
        <w:rPr>
          <w:i/>
          <w:color w:val="5A5240"/>
          <w:sz w:val="28"/>
        </w:rPr>
        <w:t>Chef Privado / Showcooking a domicilio en España 2026</w:t>
      </w:r>
    </w:p>
    <w:p>
      <w:pPr>
        <w:jc w:val="center"/>
      </w:pPr>
      <w:r>
        <w:rPr>
          <w:b/>
          <w:color w:val="C4974A"/>
          <w:sz w:val="24"/>
        </w:rPr>
        <w:t>Modelo dual B2C íntimo + B2B corporate · Sin local fijo · Premium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1. Resumen ejecutivo</w:t>
      </w:r>
    </w:p>
    <w:p>
      <w:pPr>
        <w:spacing w:after="120"/>
      </w:pPr>
      <w:r>
        <w:t>Este plan describe el lanzamiento y la operativa de una empresa premium de chef privado y showcooking a domicilio en España, con un modelo de negocio sin local fijo y dos canales comerciales paralelos. El canal B2C atiende a clientes particulares (cenas íntimas en pareja, cumpleaños familiares, aniversarios, brunchs privados, cenas ejecutivas con maridajes), mientras que el canal B2B atiende a empresas corporativas (eventos con showcooking, cooking class team-building, cenas de directiva fin de año), hoteles boutique 4-5 estrellas (room-service in-suite y catering puntual), wedding planners (cenas de ensayo, pre-bodas y eventos íntimos complementarios al banquete) y agencias de eventos.</w:t>
      </w:r>
    </w:p>
    <w:p>
      <w:pPr>
        <w:spacing w:after="120"/>
      </w:pPr>
      <w:r>
        <w:t>La inversión inicial recomendada se sitúa entre 9.000 € y 14.000 €, con un escenario mínimo viable de 4.500 € (sin furgoneta propia, alquiler puntual) y un escenario premium de 30.000 € (furgoneta con branded wrap, cuchillería japonesa de gama alta, vajilla y cristalería premium, sesión fotográfica profesional e identidad visual completa). El break-even se alcanza con 9-12 eventos al mes en el año 1. La proyección financiera contempla un crecimiento del 28 % en año 2 y del 20 % en año 3, con un beneficio neto del 28-32 % sobre ingresos a partir del segundo año.</w:t>
      </w:r>
    </w:p>
    <w:p>
      <w:pPr>
        <w:spacing w:after="120"/>
      </w:pPr>
      <w:r>
        <w:t>El producto entregado al cliente final no es la comida en sí — es una experiencia gastronómica exclusiva en su propio domicilio (o en el espacio elegido por la empresa contratante), con showcooking explicativo cuando aplica, plating editorial, narrativa de los ingredientes y un servicio profesional integral que incluye mise en place, servicio en mesa, presentación de cada plato y limpieza posterior. Esta propuesta de valor permite ticket medios de 580 € en B2C (cenas de 6-10 pax) y 1.450 € en B2B (showcooking corporate y cenas ejecutivas), muy por encima del personal chef tradicional sin marca.</w:t>
      </w:r>
    </w:p>
    <w:p>
      <w:r>
        <w:rPr>
          <w:rFonts w:ascii="Cambria" w:hAnsi="Cambria"/>
          <w:b/>
          <w:color w:val="0A0908"/>
          <w:sz w:val="40"/>
        </w:rPr>
        <w:t>2. Concepto y propuesta de valor</w:t>
      </w:r>
    </w:p>
    <w:p>
      <w:r>
        <w:rPr>
          <w:rFonts w:ascii="Cambria" w:hAnsi="Cambria"/>
          <w:b/>
          <w:color w:val="0A0908"/>
          <w:sz w:val="30"/>
        </w:rPr>
        <w:t>2.1 Modelo sin local fijo: ventajas estructurales</w:t>
      </w:r>
    </w:p>
    <w:p>
      <w:pPr>
        <w:spacing w:after="120"/>
      </w:pPr>
      <w:r>
        <w:t>Frente al modelo tradicional de restaurante con local propio, la empresa de chef privado a domicilio ofrece ventajas estructurales decisivas para un chef solopreneur con dominio técnico y orientación al servicio:</w:t>
      </w:r>
    </w:p>
    <w:p>
      <w:pPr>
        <w:pStyle w:val="ListBullet"/>
        <w:spacing w:after="40"/>
      </w:pPr>
      <w:r>
        <w:t>Inversión 5-9 veces menor: 4.500 € - 30.000 € frente a 80.000 € - 150.000 € de un restaurante con local.</w:t>
      </w:r>
    </w:p>
    <w:p>
      <w:pPr>
        <w:pStyle w:val="ListBullet"/>
        <w:spacing w:after="40"/>
      </w:pPr>
      <w:r>
        <w:t>Sin licencia de actividad clasificada: el modelo opera con autorizaciones puntuales por evento.</w:t>
      </w:r>
    </w:p>
    <w:p>
      <w:pPr>
        <w:pStyle w:val="ListBullet"/>
        <w:spacing w:after="40"/>
      </w:pPr>
      <w:r>
        <w:t>Sin plantilla fija: ayudantes freelance bajo demanda en eventos &gt; 14 pax o showcookings complejos.</w:t>
      </w:r>
    </w:p>
    <w:p>
      <w:pPr>
        <w:pStyle w:val="ListBullet"/>
        <w:spacing w:after="40"/>
      </w:pPr>
      <w:r>
        <w:t>Sin alquiler, ni fianza, ni traspaso, ni obras de adaptación a normativa local.</w:t>
      </w:r>
    </w:p>
    <w:p>
      <w:pPr>
        <w:pStyle w:val="ListBullet"/>
        <w:spacing w:after="40"/>
      </w:pPr>
      <w:r>
        <w:t>Operatividad todo el año, sin estacionalidad fuerte (picos en diciembre y verano corporate).</w:t>
      </w:r>
    </w:p>
    <w:p>
      <w:pPr>
        <w:pStyle w:val="ListBullet"/>
        <w:spacing w:after="40"/>
      </w:pPr>
      <w:r>
        <w:t>Captación B2B intensiva con corporate y wedding planners aportará 55-60 % del pipeline al mes 6.</w:t>
      </w:r>
    </w:p>
    <w:p>
      <w:pPr>
        <w:pStyle w:val="ListBullet"/>
        <w:spacing w:after="40"/>
      </w:pPr>
      <w:r>
        <w:t>Facilidad de escalado: replicabilidad geográfica con el mismo know-how y branded experience.</w:t>
      </w:r>
    </w:p>
    <w:p>
      <w:r>
        <w:rPr>
          <w:rFonts w:ascii="Cambria" w:hAnsi="Cambria"/>
          <w:b/>
          <w:color w:val="0A0908"/>
          <w:sz w:val="30"/>
        </w:rPr>
        <w:t>2.2 Diferencial competitivo premium</w:t>
      </w:r>
    </w:p>
    <w:p>
      <w:pPr>
        <w:spacing w:after="120"/>
      </w:pPr>
      <w:r>
        <w:t>El mercado español de chef privado y showcooking a domicilio está fragmentado y dominado por dos perfiles principales: el cocinero individual sin marca que monetiza extras de su trabajo principal, y las plataformas tipo marketplace que comoditizan el servicio. La oportunidad está en posicionarse en el espacio premium con estos diferenciales:</w:t>
      </w:r>
    </w:p>
    <w:p>
      <w:pPr>
        <w:pStyle w:val="ListBullet"/>
        <w:spacing w:after="40"/>
      </w:pPr>
      <w:r>
        <w:t>Cuchillería japonesa profesional (gyuto, petty, sujihiki) y técnicas de plating editorial.</w:t>
      </w:r>
    </w:p>
    <w:p>
      <w:pPr>
        <w:pStyle w:val="ListBullet"/>
        <w:spacing w:after="40"/>
      </w:pPr>
      <w:r>
        <w:t>Cartas de 12 menús temáticos diferenciados, no solo el clásico tasting menu genérico.</w:t>
      </w:r>
    </w:p>
    <w:p>
      <w:pPr>
        <w:pStyle w:val="ListBullet"/>
        <w:spacing w:after="40"/>
      </w:pPr>
      <w:r>
        <w:t>Ingredientes con DO/DOP: AOVE Castillo de Canena, quesos artesanos, microbrotes locales, trufa Soria, caviar Riofrío.</w:t>
      </w:r>
    </w:p>
    <w:p>
      <w:pPr>
        <w:pStyle w:val="ListBullet"/>
        <w:spacing w:after="40"/>
      </w:pPr>
      <w:r>
        <w:t>Showcooking con narrativa explicativa: el cliente vive la cocción frente a sus invitados.</w:t>
      </w:r>
    </w:p>
    <w:p>
      <w:pPr>
        <w:pStyle w:val="ListBullet"/>
        <w:spacing w:after="40"/>
      </w:pPr>
      <w:r>
        <w:t>Modelo dual B2C + B2B con dossiers, contratos y pricing diferenciados.</w:t>
      </w:r>
    </w:p>
    <w:p>
      <w:pPr>
        <w:pStyle w:val="ListBullet"/>
        <w:spacing w:after="40"/>
      </w:pPr>
      <w:r>
        <w:t>Galería de imágenes profesional desde el lanzamiento — clave para posicionamiento premium.</w:t>
      </w:r>
    </w:p>
    <w:p>
      <w:pPr>
        <w:pStyle w:val="ListBullet"/>
        <w:spacing w:after="40"/>
      </w:pPr>
      <w:r>
        <w:t>Trato concierge: briefing detallado de alergias, contrato firmado, anticipo del 40 %, foto recuerdo post-evento.</w:t>
      </w:r>
    </w:p>
    <w:p>
      <w:r>
        <w:rPr>
          <w:rFonts w:ascii="Cambria" w:hAnsi="Cambria"/>
          <w:b/>
          <w:color w:val="0A0908"/>
          <w:sz w:val="30"/>
        </w:rPr>
        <w:t>2.3 Posicionamiento dual B2C íntimo + B2B corporate</w:t>
      </w:r>
    </w:p>
    <w:p>
      <w:pPr>
        <w:spacing w:after="120"/>
      </w:pPr>
      <w:r>
        <w:t>El modelo se construye sobre dos columnas complementarias que se refuerzan mutuamente. El canal B2C (40 % de los ingresos) genera contenido visual, reseñas Google, viralidad en redes sociales y testimonios; el canal B2B (60 % de los ingresos) aporta volumen, ticket medio alto y ratio de repetición elevado. Una experiencia B2C bien fotografiada se convierte en venta B2B; un evento corporate bien ejecutado genera 4-6 eventos privados de los asistentes en los meses siguientes.</w:t>
      </w:r>
    </w:p>
    <w:p>
      <w:r>
        <w:rPr>
          <w:rFonts w:ascii="Cambria" w:hAnsi="Cambria"/>
          <w:b/>
          <w:color w:val="0A0908"/>
          <w:sz w:val="40"/>
        </w:rPr>
        <w:t>3. Análisis de mercado España 2026</w:t>
      </w:r>
    </w:p>
    <w:p>
      <w:r>
        <w:rPr>
          <w:rFonts w:ascii="Cambria" w:hAnsi="Cambria"/>
          <w:b/>
          <w:color w:val="0A0908"/>
          <w:sz w:val="30"/>
        </w:rPr>
        <w:t>3.1 Tamaño y segmentación</w:t>
      </w:r>
    </w:p>
    <w:p>
      <w:pPr>
        <w:spacing w:after="120"/>
      </w:pPr>
      <w:r>
        <w:t>El mercado español de catering y servicios gastronómicos para eventos mueve aproximadamente 3.200 M € anuales, con una cuota estimada del 8-10 % correspondiente al segmento de chef privado a domicilio y showcooking premium (250-320 M €). Las cenas íntimas particulares representan el 35 % del volumen del segmento, los eventos corporate showcooking el 30 %, las cooking classes team-building el 15 %, los servicios in-suite hotel el 12 % y las cenas pre-boda y de ensayo el 8 %.</w:t>
      </w:r>
    </w:p>
    <w:p>
      <w:pPr>
        <w:spacing w:after="120"/>
      </w:pPr>
      <w:r>
        <w:t>A diferencia del catering tradicional, el segmento chef privado opera todo el año sin estacionalidad fuerte. Los picos se concentran en noviembre-diciembre (cenas corporate fin de año, cumpleaños navideños, San Silvestre privado), febrero (San Valentín, pre-bodas), junio-julio (cenas verano corporate, cumpleaños) y septiembre (vuelta a la actividad corporate, team-buildings).</w:t>
      </w:r>
    </w:p>
    <w:p>
      <w:r>
        <w:rPr>
          <w:rFonts w:ascii="Cambria" w:hAnsi="Cambria"/>
          <w:b/>
          <w:color w:val="0A0908"/>
          <w:sz w:val="30"/>
        </w:rPr>
        <w:t>3.2 Demanda creciente: drivers estructurales</w:t>
      </w:r>
    </w:p>
    <w:p>
      <w:pPr>
        <w:pStyle w:val="ListBullet"/>
        <w:spacing w:after="40"/>
      </w:pPr>
      <w:r>
        <w:t>Trabajo híbrido y home-office: clientes invierten más en su domicilio como espacio social.</w:t>
      </w:r>
    </w:p>
    <w:p>
      <w:pPr>
        <w:pStyle w:val="ListBullet"/>
        <w:spacing w:after="40"/>
      </w:pPr>
      <w:r>
        <w:t>Subida del nivel adquisitivo en zonas urbanas premium (Madrid, Barcelona, Valencia, Bilbao, Marbella).</w:t>
      </w:r>
    </w:p>
    <w:p>
      <w:pPr>
        <w:pStyle w:val="ListBullet"/>
        <w:spacing w:after="40"/>
      </w:pPr>
      <w:r>
        <w:t>Cultura del pequeño plan exclusivo frente al gran evento: cenas íntimas vs banquetes masivos.</w:t>
      </w:r>
    </w:p>
    <w:p>
      <w:pPr>
        <w:pStyle w:val="ListBullet"/>
        <w:spacing w:after="40"/>
      </w:pPr>
      <w:r>
        <w:t>Empresas que sustituyen comidas en restaurante por experiencias corporativas con showcooking.</w:t>
      </w:r>
    </w:p>
    <w:p>
      <w:pPr>
        <w:pStyle w:val="ListBullet"/>
        <w:spacing w:after="40"/>
      </w:pPr>
      <w:r>
        <w:t>Tendencia de viajes al domicilio: hoteles boutique que ofrecen chef in-suite como diferencial.</w:t>
      </w:r>
    </w:p>
    <w:p>
      <w:pPr>
        <w:pStyle w:val="ListBullet"/>
        <w:spacing w:after="40"/>
      </w:pPr>
      <w:r>
        <w:t>Influencia de redes sociales: cenas Instagram-worthy con plating editorial son objeto de deseo.</w:t>
      </w:r>
    </w:p>
    <w:p>
      <w:pPr>
        <w:pStyle w:val="ListBullet"/>
        <w:spacing w:after="40"/>
      </w:pPr>
      <w:r>
        <w:t>Programas de wellness corporativo que sustituyen happy hours por cooking classes.</w:t>
      </w:r>
    </w:p>
    <w:p>
      <w:r>
        <w:rPr>
          <w:rFonts w:ascii="Cambria" w:hAnsi="Cambria"/>
          <w:b/>
          <w:color w:val="0A0908"/>
          <w:sz w:val="30"/>
        </w:rPr>
        <w:t>3.3 Competencia y benchmarks</w:t>
      </w:r>
    </w:p>
    <w:p>
      <w:pPr>
        <w:spacing w:after="120"/>
      </w:pPr>
      <w:r>
        <w:t>El mapa competitivo en España se distribuye en cuatro grandes bloques:</w:t>
      </w:r>
    </w:p>
    <w:p>
      <w:pPr>
        <w:pStyle w:val="ListBullet"/>
        <w:spacing w:after="40"/>
      </w:pPr>
      <w:r>
        <w:t>Cocineros individuales sin marca: 65 % del mercado, ticket medio 280-450 €, sin diferencial premium.</w:t>
      </w:r>
    </w:p>
    <w:p>
      <w:pPr>
        <w:pStyle w:val="ListBullet"/>
        <w:spacing w:after="40"/>
      </w:pPr>
      <w:r>
        <w:t>Marketplaces (Take a Chef, Cookunity, Gourmet Madrid): 15 %, comisiones 18-25 %, presión sobre el margen.</w:t>
      </w:r>
    </w:p>
    <w:p>
      <w:pPr>
        <w:pStyle w:val="ListBullet"/>
        <w:spacing w:after="40"/>
      </w:pPr>
      <w:r>
        <w:t>Empresas catering tradicionales con servicio chef privado: 12 %, percepción menos exclusiva.</w:t>
      </w:r>
    </w:p>
    <w:p>
      <w:pPr>
        <w:pStyle w:val="ListBullet"/>
        <w:spacing w:after="40"/>
      </w:pPr>
      <w:r>
        <w:t>Chefs independientes con marca personal (segmento objetivo): 8 %, ticket medio 580-1.850 €, alto margen.</w:t>
      </w:r>
    </w:p>
    <w:p>
      <w:r>
        <w:rPr>
          <w:rFonts w:ascii="Cambria" w:hAnsi="Cambria"/>
          <w:b/>
          <w:color w:val="0A0908"/>
          <w:sz w:val="30"/>
        </w:rPr>
        <w:t>3.4 Cliente ideal B2C</w:t>
      </w:r>
    </w:p>
    <w:p>
      <w:pPr>
        <w:spacing w:after="120"/>
      </w:pPr>
      <w:r>
        <w:t>El cliente B2C objetivo se sitúa en hogares de renta media-alta (40.000-90.000 € brutos anuales) ubicados en zonas urbanas premium o periurbanas, con interés gastronómico activo y disposición a pagar por experiencias diferenciadas. La edad típica oscila entre 32 y 58 años. Los disparadores de compra principales son:</w:t>
      </w:r>
    </w:p>
    <w:p>
      <w:pPr>
        <w:pStyle w:val="ListBullet"/>
        <w:spacing w:after="40"/>
      </w:pPr>
      <w:r>
        <w:t>Cumpleaños redondos (30, 40, 50, 60 años) con familia o amigos íntimos.</w:t>
      </w:r>
    </w:p>
    <w:p>
      <w:pPr>
        <w:pStyle w:val="ListBullet"/>
        <w:spacing w:after="40"/>
      </w:pPr>
      <w:r>
        <w:t>Aniversarios significativos: 10, 25, 50 años de boda.</w:t>
      </w:r>
    </w:p>
    <w:p>
      <w:pPr>
        <w:pStyle w:val="ListBullet"/>
        <w:spacing w:after="40"/>
      </w:pPr>
      <w:r>
        <w:t>San Valentín y aniversarios de pareja con cena romántica exclusiva.</w:t>
      </w:r>
    </w:p>
    <w:p>
      <w:pPr>
        <w:pStyle w:val="ListBullet"/>
        <w:spacing w:after="40"/>
      </w:pPr>
      <w:r>
        <w:t>Cenas de Navidad y Nochevieja sin tener que cocinar ni reservar restaurante.</w:t>
      </w:r>
    </w:p>
    <w:p>
      <w:pPr>
        <w:pStyle w:val="ListBullet"/>
        <w:spacing w:after="40"/>
      </w:pPr>
      <w:r>
        <w:t>Comuniones y bautizos celebrados en el domicilio familiar.</w:t>
      </w:r>
    </w:p>
    <w:p>
      <w:pPr>
        <w:pStyle w:val="ListBullet"/>
        <w:spacing w:after="40"/>
      </w:pPr>
      <w:r>
        <w:t>Sorpresas y regalos de experiencia (gift voucher).</w:t>
      </w:r>
    </w:p>
    <w:p>
      <w:pPr>
        <w:pStyle w:val="ListBullet"/>
        <w:spacing w:after="40"/>
      </w:pPr>
      <w:r>
        <w:t>Pre-bodas y cenas íntimas con familia próxima un día antes del banquete.</w:t>
      </w:r>
    </w:p>
    <w:p>
      <w:r>
        <w:rPr>
          <w:rFonts w:ascii="Cambria" w:hAnsi="Cambria"/>
          <w:b/>
          <w:color w:val="0A0908"/>
          <w:sz w:val="30"/>
        </w:rPr>
        <w:t>3.5 Cliente ideal B2B</w:t>
      </w:r>
    </w:p>
    <w:p>
      <w:pPr>
        <w:spacing w:after="120"/>
      </w:pPr>
      <w:r>
        <w:t>El cliente B2B se concentra en cinco perfiles que aportan ticket alto y repetición: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>
              <w:rPr>
                <w:b/>
                <w:color w:val="0A0908"/>
              </w:rPr>
              <w:t>Perfil B2B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Ticket medio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Frecuencia anual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Estacionalidad</w:t>
            </w:r>
          </w:p>
        </w:tc>
      </w:tr>
      <w:tr>
        <w:tc>
          <w:tcPr>
            <w:tcW w:type="dxa" w:w="3402"/>
          </w:tcPr>
          <w:p>
            <w:r>
              <w:t>Empresa corporate evento empleados</w:t>
            </w:r>
          </w:p>
        </w:tc>
        <w:tc>
          <w:tcPr>
            <w:tcW w:type="dxa" w:w="1701"/>
          </w:tcPr>
          <w:p>
            <w:r>
              <w:t>1.850 €</w:t>
            </w:r>
          </w:p>
        </w:tc>
        <w:tc>
          <w:tcPr>
            <w:tcW w:type="dxa" w:w="1701"/>
          </w:tcPr>
          <w:p>
            <w:r>
              <w:t>2-4 eventos/año</w:t>
            </w:r>
          </w:p>
        </w:tc>
        <w:tc>
          <w:tcPr>
            <w:tcW w:type="dxa" w:w="1701"/>
          </w:tcPr>
          <w:p>
            <w:r>
              <w:t>Mar-jun + sept-dic</w:t>
            </w:r>
          </w:p>
        </w:tc>
      </w:tr>
      <w:tr>
        <w:tc>
          <w:tcPr>
            <w:tcW w:type="dxa" w:w="3402"/>
          </w:tcPr>
          <w:p>
            <w:r>
              <w:t>Hotel boutique 4-5* room-service privado</w:t>
            </w:r>
          </w:p>
        </w:tc>
        <w:tc>
          <w:tcPr>
            <w:tcW w:type="dxa" w:w="1701"/>
          </w:tcPr>
          <w:p>
            <w:r>
              <w:t>1.200 €</w:t>
            </w:r>
          </w:p>
        </w:tc>
        <w:tc>
          <w:tcPr>
            <w:tcW w:type="dxa" w:w="1701"/>
          </w:tcPr>
          <w:p>
            <w:r>
              <w:t>8-15 eventos/año</w:t>
            </w:r>
          </w:p>
        </w:tc>
        <w:tc>
          <w:tcPr>
            <w:tcW w:type="dxa" w:w="1701"/>
          </w:tcPr>
          <w:p>
            <w:r>
              <w:t>Todo el año</w:t>
            </w:r>
          </w:p>
        </w:tc>
      </w:tr>
      <w:tr>
        <w:tc>
          <w:tcPr>
            <w:tcW w:type="dxa" w:w="3402"/>
          </w:tcPr>
          <w:p>
            <w:r>
              <w:t>Wedding planner cena ensayo + pre-boda</w:t>
            </w:r>
          </w:p>
        </w:tc>
        <w:tc>
          <w:tcPr>
            <w:tcW w:type="dxa" w:w="1701"/>
          </w:tcPr>
          <w:p>
            <w:r>
              <w:t>1.450 €</w:t>
            </w:r>
          </w:p>
        </w:tc>
        <w:tc>
          <w:tcPr>
            <w:tcW w:type="dxa" w:w="1701"/>
          </w:tcPr>
          <w:p>
            <w:r>
              <w:t>1-2 eventos por boda</w:t>
            </w:r>
          </w:p>
        </w:tc>
        <w:tc>
          <w:tcPr>
            <w:tcW w:type="dxa" w:w="1701"/>
          </w:tcPr>
          <w:p>
            <w:r>
              <w:t>Mayo-octubre</w:t>
            </w:r>
          </w:p>
        </w:tc>
      </w:tr>
      <w:tr>
        <w:tc>
          <w:tcPr>
            <w:tcW w:type="dxa" w:w="3402"/>
          </w:tcPr>
          <w:p>
            <w:r>
              <w:t>Agencia eventos team-building cooking class</w:t>
            </w:r>
          </w:p>
        </w:tc>
        <w:tc>
          <w:tcPr>
            <w:tcW w:type="dxa" w:w="1701"/>
          </w:tcPr>
          <w:p>
            <w:r>
              <w:t>1.650 €</w:t>
            </w:r>
          </w:p>
        </w:tc>
        <w:tc>
          <w:tcPr>
            <w:tcW w:type="dxa" w:w="1701"/>
          </w:tcPr>
          <w:p>
            <w:r>
              <w:t>3-6 eventos/año</w:t>
            </w:r>
          </w:p>
        </w:tc>
        <w:tc>
          <w:tcPr>
            <w:tcW w:type="dxa" w:w="1701"/>
          </w:tcPr>
          <w:p>
            <w:r>
              <w:t>Mar-jun + sept-nov</w:t>
            </w:r>
          </w:p>
        </w:tc>
      </w:tr>
      <w:tr>
        <w:tc>
          <w:tcPr>
            <w:tcW w:type="dxa" w:w="3402"/>
          </w:tcPr>
          <w:p>
            <w:r>
              <w:t>Empresa cena directiva fin de año</w:t>
            </w:r>
          </w:p>
        </w:tc>
        <w:tc>
          <w:tcPr>
            <w:tcW w:type="dxa" w:w="1701"/>
          </w:tcPr>
          <w:p>
            <w:r>
              <w:t>2.200 €</w:t>
            </w:r>
          </w:p>
        </w:tc>
        <w:tc>
          <w:tcPr>
            <w:tcW w:type="dxa" w:w="1701"/>
          </w:tcPr>
          <w:p>
            <w:r>
              <w:t>1-2 eventos/año</w:t>
            </w:r>
          </w:p>
        </w:tc>
        <w:tc>
          <w:tcPr>
            <w:tcW w:type="dxa" w:w="1701"/>
          </w:tcPr>
          <w:p>
            <w:r>
              <w:t>Noviembre-diciembre</w:t>
            </w:r>
          </w:p>
        </w:tc>
      </w:tr>
    </w:tbl>
    <w:p>
      <w:r>
        <w:rPr>
          <w:rFonts w:ascii="Cambria" w:hAnsi="Cambria"/>
          <w:b/>
          <w:color w:val="0A0908"/>
          <w:sz w:val="40"/>
        </w:rPr>
        <w:t>4. Modelo de negocio</w:t>
      </w:r>
    </w:p>
    <w:p>
      <w:r>
        <w:rPr>
          <w:rFonts w:ascii="Cambria" w:hAnsi="Cambria"/>
          <w:b/>
          <w:color w:val="0A0908"/>
          <w:sz w:val="30"/>
        </w:rPr>
        <w:t>4.1 Estructura de ingresos</w:t>
      </w:r>
    </w:p>
    <w:p>
      <w:pPr>
        <w:spacing w:after="120"/>
      </w:pPr>
      <w:r>
        <w:t>El modelo se construye sobre dos canales con economía diferenciada. El B2C tiene ticket medio más bajo pero ratios de margen mayor, mientras que el B2B tiene ticket alto y volumen pero compite con presupuesto fijo del cliente.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35"/>
          </w:tcPr>
          <w:p>
            <w:r>
              <w:rPr>
                <w:b/>
                <w:color w:val="0A0908"/>
              </w:rPr>
              <w:t>Canal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% Ingresos año 1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Ticket medio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Margen bruto</w:t>
            </w:r>
          </w:p>
        </w:tc>
        <w:tc>
          <w:tcPr>
            <w:tcW w:type="dxa" w:w="1134"/>
          </w:tcPr>
          <w:p>
            <w:r>
              <w:rPr>
                <w:b/>
                <w:color w:val="0A0908"/>
              </w:rPr>
              <w:t>CAC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LTV</w:t>
            </w:r>
          </w:p>
        </w:tc>
      </w:tr>
      <w:tr>
        <w:tc>
          <w:tcPr>
            <w:tcW w:type="dxa" w:w="2835"/>
          </w:tcPr>
          <w:p>
            <w:r>
              <w:t>B2C cenas íntimas</w:t>
            </w:r>
          </w:p>
        </w:tc>
        <w:tc>
          <w:tcPr>
            <w:tcW w:type="dxa" w:w="1701"/>
          </w:tcPr>
          <w:p>
            <w:r>
              <w:t>40 %</w:t>
            </w:r>
          </w:p>
        </w:tc>
        <w:tc>
          <w:tcPr>
            <w:tcW w:type="dxa" w:w="1701"/>
          </w:tcPr>
          <w:p>
            <w:r>
              <w:t>580 €</w:t>
            </w:r>
          </w:p>
        </w:tc>
        <w:tc>
          <w:tcPr>
            <w:tcW w:type="dxa" w:w="1701"/>
          </w:tcPr>
          <w:p>
            <w:r>
              <w:t>60 %</w:t>
            </w:r>
          </w:p>
        </w:tc>
        <w:tc>
          <w:tcPr>
            <w:tcW w:type="dxa" w:w="1134"/>
          </w:tcPr>
          <w:p>
            <w:r>
              <w:t>65 €</w:t>
            </w:r>
          </w:p>
        </w:tc>
        <w:tc>
          <w:tcPr>
            <w:tcW w:type="dxa" w:w="1701"/>
          </w:tcPr>
          <w:p>
            <w:r>
              <w:t>1.450 €</w:t>
            </w:r>
          </w:p>
        </w:tc>
      </w:tr>
      <w:tr>
        <w:tc>
          <w:tcPr>
            <w:tcW w:type="dxa" w:w="2835"/>
          </w:tcPr>
          <w:p>
            <w:r>
              <w:t>B2B corporate showcooking</w:t>
            </w:r>
          </w:p>
        </w:tc>
        <w:tc>
          <w:tcPr>
            <w:tcW w:type="dxa" w:w="1701"/>
          </w:tcPr>
          <w:p>
            <w:r>
              <w:t>60 %</w:t>
            </w:r>
          </w:p>
        </w:tc>
        <w:tc>
          <w:tcPr>
            <w:tcW w:type="dxa" w:w="1701"/>
          </w:tcPr>
          <w:p>
            <w:r>
              <w:t>1.450 €</w:t>
            </w:r>
          </w:p>
        </w:tc>
        <w:tc>
          <w:tcPr>
            <w:tcW w:type="dxa" w:w="1701"/>
          </w:tcPr>
          <w:p>
            <w:r>
              <w:t>55 %</w:t>
            </w:r>
          </w:p>
        </w:tc>
        <w:tc>
          <w:tcPr>
            <w:tcW w:type="dxa" w:w="1134"/>
          </w:tcPr>
          <w:p>
            <w:r>
              <w:t>180 €</w:t>
            </w:r>
          </w:p>
        </w:tc>
        <w:tc>
          <w:tcPr>
            <w:tcW w:type="dxa" w:w="1701"/>
          </w:tcPr>
          <w:p>
            <w:r>
              <w:t>9.500 €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4.2 Estructura de costes</w:t>
      </w:r>
    </w:p>
    <w:p>
      <w:pPr>
        <w:pStyle w:val="ListBullet"/>
        <w:spacing w:after="40"/>
      </w:pPr>
      <w:r>
        <w:t>Food cost: 26 % en año 1, optimizable a 22-24 % con acuerdos directos a proveedores premium.</w:t>
      </w:r>
    </w:p>
    <w:p>
      <w:pPr>
        <w:pStyle w:val="ListBullet"/>
        <w:spacing w:after="40"/>
      </w:pPr>
      <w:r>
        <w:t>Logística (transporte, neveras, combustible): 4 % constante.</w:t>
      </w:r>
    </w:p>
    <w:p>
      <w:pPr>
        <w:pStyle w:val="ListBullet"/>
        <w:spacing w:after="40"/>
      </w:pPr>
      <w:r>
        <w:t>Ayudantes freelance: 8 % medio (solo en eventos &gt; 14 pax o showcookings B2B).</w:t>
      </w:r>
    </w:p>
    <w:p>
      <w:pPr>
        <w:pStyle w:val="ListBullet"/>
        <w:spacing w:after="40"/>
      </w:pPr>
      <w:r>
        <w:t>Costes fijos anuales: 7.800 € (cuota autónomo, seguros, marketing, furgoneta).</w:t>
      </w:r>
    </w:p>
    <w:p>
      <w:pPr>
        <w:pStyle w:val="ListBullet"/>
        <w:spacing w:after="40"/>
      </w:pPr>
      <w:r>
        <w:t>Amortización equipamiento: 1.800-2.400 € año, recuperable en 18-24 meses.</w:t>
      </w:r>
    </w:p>
    <w:p>
      <w:r>
        <w:rPr>
          <w:rFonts w:ascii="Cambria" w:hAnsi="Cambria"/>
          <w:b/>
          <w:color w:val="0A0908"/>
          <w:sz w:val="30"/>
        </w:rPr>
        <w:t>4.3 Pricing y políticas comerciales</w:t>
      </w:r>
    </w:p>
    <w:p>
      <w:pPr>
        <w:pStyle w:val="ListBullet"/>
        <w:spacing w:after="40"/>
      </w:pPr>
      <w:r>
        <w:t>Anticipo del 40 % al firmar contrato. Sin anticipo no se bloquea fecha en agenda.</w:t>
      </w:r>
    </w:p>
    <w:p>
      <w:pPr>
        <w:pStyle w:val="ListBullet"/>
        <w:spacing w:after="40"/>
      </w:pPr>
      <w:r>
        <w:t>Cláusula de cancelación: &gt; 14 días devolución íntegra del anticipo, &lt; 14 días retención del 50 %, &lt; 48 h retención del 100 %.</w:t>
      </w:r>
    </w:p>
    <w:p>
      <w:pPr>
        <w:pStyle w:val="ListBullet"/>
        <w:spacing w:after="40"/>
      </w:pPr>
      <w:r>
        <w:t>Pricing transparente publicado en web por rango de pax y tipo de experiencia.</w:t>
      </w:r>
    </w:p>
    <w:p>
      <w:pPr>
        <w:pStyle w:val="ListBullet"/>
        <w:spacing w:after="40"/>
      </w:pPr>
      <w:r>
        <w:t>Recargos transparentes: distancia &gt; 30 km (0,85 €/km ida y vuelta), pairing vinos (+18 €/pax).</w:t>
      </w:r>
    </w:p>
    <w:p>
      <w:pPr>
        <w:pStyle w:val="ListBullet"/>
        <w:spacing w:after="40"/>
      </w:pPr>
      <w:r>
        <w:t>Descuentos B2B con acuerdo marco anual (5-10 % en cliente recurrente con compromiso de 4+ eventos).</w:t>
      </w:r>
    </w:p>
    <w:p>
      <w:r>
        <w:rPr>
          <w:rFonts w:ascii="Cambria" w:hAnsi="Cambria"/>
          <w:b/>
          <w:color w:val="0A0908"/>
          <w:sz w:val="40"/>
        </w:rPr>
        <w:t>5. Plan operativo</w:t>
      </w:r>
    </w:p>
    <w:p>
      <w:r>
        <w:rPr>
          <w:rFonts w:ascii="Cambria" w:hAnsi="Cambria"/>
          <w:b/>
          <w:color w:val="0A0908"/>
          <w:sz w:val="30"/>
        </w:rPr>
        <w:t>5.1 Operativa día a día</w:t>
      </w:r>
    </w:p>
    <w:p>
      <w:pPr>
        <w:spacing w:after="120"/>
      </w:pPr>
      <w:r>
        <w:t>Un evento típico de chef privado se desarrolla en 6 fases bien definidas que el chef debe internalizar como protocolo profesional. La diferencia entre un servicio amateur y uno premium está más en el cumplimiento riguroso de estas fases que en la receta en sí.</w:t>
      </w:r>
    </w:p>
    <w:p>
      <w:pPr>
        <w:pStyle w:val="ListNumber"/>
        <w:spacing w:after="40"/>
      </w:pPr>
      <w:r>
        <w:t>Briefing de cliente (D-14 a D-7): formulario online con número pax, alergias, preferencias, restricciones culturales/religiosas, presupuesto orientativo, espacio, equipamiento disponible en cocina del cliente.</w:t>
      </w:r>
    </w:p>
    <w:p>
      <w:pPr>
        <w:pStyle w:val="ListNumber"/>
        <w:spacing w:after="40"/>
      </w:pPr>
      <w:r>
        <w:t>Visita técnica si &gt; 12 pax o cocina compleja (D-7 a D-3): verificación de acceso, electricidad, gas, espacio frigorífico, mesa y vajilla disponibles, agua corriente.</w:t>
      </w:r>
    </w:p>
    <w:p>
      <w:pPr>
        <w:pStyle w:val="ListNumber"/>
        <w:spacing w:after="40"/>
      </w:pPr>
      <w:r>
        <w:t>Preparación D-1: compras frescas, mise en place avanzado (caldos, fondos, marinados, sous-vide overnight), carga del kit operativo en furgoneta.</w:t>
      </w:r>
    </w:p>
    <w:p>
      <w:pPr>
        <w:pStyle w:val="ListNumber"/>
        <w:spacing w:after="40"/>
      </w:pPr>
      <w:r>
        <w:t>Servicio en domicilio (D): llegada con 60-90 min de antelación, montaje cocina, servicio escalonado, showcooking si aplica, control de temperaturas y APPCC.</w:t>
      </w:r>
    </w:p>
    <w:p>
      <w:pPr>
        <w:pStyle w:val="ListNumber"/>
        <w:spacing w:after="40"/>
      </w:pPr>
      <w:r>
        <w:t>Recogida y limpieza (D): foto previa del estado del lugar, limpieza completa, retirada de residuos, foto posterior con cliente.</w:t>
      </w:r>
    </w:p>
    <w:p>
      <w:pPr>
        <w:pStyle w:val="ListNumber"/>
        <w:spacing w:after="40"/>
      </w:pPr>
      <w:r>
        <w:t>Post-evento (D+1 a D+7): factura emitida en 48 h, mensaje WhatsApp con foto recuerdo, solicitud de reseña Google, registro en CRM y análisis de costes reales vs presupuestados.</w:t>
      </w:r>
    </w:p>
    <w:p>
      <w:r>
        <w:rPr>
          <w:rFonts w:ascii="Cambria" w:hAnsi="Cambria"/>
          <w:b/>
          <w:color w:val="0A0908"/>
          <w:sz w:val="30"/>
        </w:rPr>
        <w:t>5.2 Equipamiento mínimo viable y profesional</w:t>
      </w:r>
    </w:p>
    <w:p>
      <w:pPr>
        <w:spacing w:after="120"/>
      </w:pPr>
      <w:r>
        <w:t>El equipamiento se divide en seis bloques. El detalle exhaustivo está en el catálogo de equipamiento adjunto al kit, con marcas y modelos validados:</w:t>
      </w:r>
    </w:p>
    <w:p>
      <w:pPr>
        <w:pStyle w:val="ListBullet"/>
        <w:spacing w:after="40"/>
      </w:pPr>
      <w:r>
        <w:t>Cuchillería japonesa profesional (gyuto, petty, sujihiki + chaira y piedras afiladoras).</w:t>
      </w:r>
    </w:p>
    <w:p>
      <w:pPr>
        <w:pStyle w:val="ListBullet"/>
        <w:spacing w:after="40"/>
      </w:pPr>
      <w:r>
        <w:t>Equipamiento técnico de cocción (inducción portátil, sous-vide circulator, soplete, máquina vacío).</w:t>
      </w:r>
    </w:p>
    <w:p>
      <w:pPr>
        <w:pStyle w:val="ListBullet"/>
        <w:spacing w:after="40"/>
      </w:pPr>
      <w:r>
        <w:t>Vajilla blanca premium, cubertería inox, cristalería evento, tableware (decanters, jarra agua, mantelería).</w:t>
      </w:r>
    </w:p>
    <w:p>
      <w:pPr>
        <w:pStyle w:val="ListBullet"/>
        <w:spacing w:after="40"/>
      </w:pPr>
      <w:r>
        <w:t>Mise en place portable (neveras profesionales, cajas modulares, termómetros, báscula precisión).</w:t>
      </w:r>
    </w:p>
    <w:p>
      <w:pPr>
        <w:pStyle w:val="ListBullet"/>
        <w:spacing w:after="40"/>
      </w:pPr>
      <w:r>
        <w:t>Uniformidad chef profesional (chaqueta marca, delantal piel, cofia, calzado antideslizante).</w:t>
      </w:r>
    </w:p>
    <w:p>
      <w:pPr>
        <w:pStyle w:val="ListBullet"/>
        <w:spacing w:after="40"/>
      </w:pPr>
      <w:r>
        <w:t>Furgoneta comercial pequeña (Renault Kangoo, Peugeot Partner) con branded wrap opcional.</w:t>
      </w:r>
    </w:p>
    <w:p>
      <w:r>
        <w:rPr>
          <w:rFonts w:ascii="Cambria" w:hAnsi="Cambria"/>
          <w:b/>
          <w:color w:val="0A0908"/>
          <w:sz w:val="30"/>
        </w:rPr>
        <w:t>5.3 Gestión de proveedores premium</w:t>
      </w:r>
    </w:p>
    <w:p>
      <w:pPr>
        <w:spacing w:after="120"/>
      </w:pPr>
      <w:r>
        <w:t>La calidad del producto entregado depende directamente de la red de proveedores. El kit incluye una plantilla con 96 proveedores reales validados España 2026 distribuidos en 12 bloques: cuchillería japonesa, equipamiento técnico, vajilla premium, carniceros premium, pescado y marisco premium, AOVE DO + especias, quesos artesanos, vinos y champagnes, microbrotes y flores comestibles, uniformidad chef, marketing y branding personal, furgoneta y servicios. La estrategia recomendada es trabajar con 2-3 proveedores principales por bloque y mantener un proveedor de respaldo activo.</w:t>
      </w:r>
    </w:p>
    <w:p>
      <w:r>
        <w:rPr>
          <w:rFonts w:ascii="Cambria" w:hAnsi="Cambria"/>
          <w:b/>
          <w:color w:val="0A0908"/>
          <w:sz w:val="40"/>
        </w:rPr>
        <w:t>6. Plan de marketing y captación</w:t>
      </w:r>
    </w:p>
    <w:p>
      <w:r>
        <w:rPr>
          <w:rFonts w:ascii="Cambria" w:hAnsi="Cambria"/>
          <w:b/>
          <w:color w:val="0A0908"/>
          <w:sz w:val="30"/>
        </w:rPr>
        <w:t>6.1 Estrategia digital</w:t>
      </w:r>
    </w:p>
    <w:p>
      <w:pPr>
        <w:spacing w:after="120"/>
      </w:pPr>
      <w:r>
        <w:t>El chef privado premium se construye con marca personal fuerte. La estrategia digital se estructura en cinco palancas que se refuerzan mutuamente:</w:t>
      </w:r>
    </w:p>
    <w:p>
      <w:pPr>
        <w:pStyle w:val="ListBullet"/>
        <w:spacing w:after="40"/>
      </w:pPr>
      <w:r>
        <w:t>SEO local optimizado: Google Business Profile, schema markup (LocalBusiness + Chef), reseñas activas.</w:t>
      </w:r>
    </w:p>
    <w:p>
      <w:pPr>
        <w:pStyle w:val="ListBullet"/>
        <w:spacing w:after="40"/>
      </w:pPr>
      <w:r>
        <w:t>Pinterest profesional con boards de cenas íntimas, bodas y eventos — tráfico orgánico cualificado.</w:t>
      </w:r>
    </w:p>
    <w:p>
      <w:pPr>
        <w:pStyle w:val="ListBullet"/>
        <w:spacing w:after="40"/>
      </w:pPr>
      <w:r>
        <w:t>Instagram con Reels semanales de plating, mise en place y showcooking — viralidad sectorial.</w:t>
      </w:r>
    </w:p>
    <w:p>
      <w:pPr>
        <w:pStyle w:val="ListBullet"/>
        <w:spacing w:after="40"/>
      </w:pPr>
      <w:r>
        <w:t>LinkedIn empresa para B2B, especialmente para corporate y wedding planners.</w:t>
      </w:r>
    </w:p>
    <w:p>
      <w:pPr>
        <w:pStyle w:val="ListBullet"/>
        <w:spacing w:after="40"/>
      </w:pPr>
      <w:r>
        <w:t>TikTok detrás de las escenas — captación generación 25-35 años, especialmente B2C.</w:t>
      </w:r>
    </w:p>
    <w:p>
      <w:r>
        <w:rPr>
          <w:rFonts w:ascii="Cambria" w:hAnsi="Cambria"/>
          <w:b/>
          <w:color w:val="0A0908"/>
          <w:sz w:val="30"/>
        </w:rPr>
        <w:t>6.2 Captación B2B activa</w:t>
      </w:r>
    </w:p>
    <w:p>
      <w:pPr>
        <w:pStyle w:val="ListBullet"/>
        <w:spacing w:after="40"/>
      </w:pPr>
      <w:r>
        <w:t>Email outreach personalizado a wedding planners (10/semana primeros 3 meses).</w:t>
      </w:r>
    </w:p>
    <w:p>
      <w:pPr>
        <w:pStyle w:val="ListBullet"/>
        <w:spacing w:after="40"/>
      </w:pPr>
      <w:r>
        <w:t>Visita presencial a planners top 10 con showcooking de prueba y portfolio impreso.</w:t>
      </w:r>
    </w:p>
    <w:p>
      <w:pPr>
        <w:pStyle w:val="ListBullet"/>
        <w:spacing w:after="40"/>
      </w:pPr>
      <w:r>
        <w:t>Dossier B2B PDF de 12 páginas con experiencias temáticas, pricing y casos de estudio.</w:t>
      </w:r>
    </w:p>
    <w:p>
      <w:pPr>
        <w:pStyle w:val="ListBullet"/>
        <w:spacing w:after="40"/>
      </w:pPr>
      <w:r>
        <w:t>LinkedIn outreach a directores de RRHH y Marketing de empresas corporate locales.</w:t>
      </w:r>
    </w:p>
    <w:p>
      <w:pPr>
        <w:pStyle w:val="ListBullet"/>
        <w:spacing w:after="40"/>
      </w:pPr>
      <w:r>
        <w:t>Alta en directorios B2B: Hosply.pro, CateringClick, GuiaCatering.</w:t>
      </w:r>
    </w:p>
    <w:p>
      <w:pPr>
        <w:pStyle w:val="ListBullet"/>
        <w:spacing w:after="40"/>
      </w:pPr>
      <w:r>
        <w:t>Programa de partnership con hoteles boutique 4-5* (room-service in-suite y catering puntual).</w:t>
      </w:r>
    </w:p>
    <w:p>
      <w:r>
        <w:rPr>
          <w:rFonts w:ascii="Cambria" w:hAnsi="Cambria"/>
          <w:b/>
          <w:color w:val="0A0908"/>
          <w:sz w:val="30"/>
        </w:rPr>
        <w:t>6.3 Captación B2C orgánica</w:t>
      </w:r>
    </w:p>
    <w:p>
      <w:pPr>
        <w:pStyle w:val="ListBullet"/>
        <w:spacing w:after="40"/>
      </w:pPr>
      <w:r>
        <w:t>Pinterest Ads con boards de cenas íntimas — tráfico cualificado low-cost.</w:t>
      </w:r>
    </w:p>
    <w:p>
      <w:pPr>
        <w:pStyle w:val="ListBullet"/>
        <w:spacing w:after="40"/>
      </w:pPr>
      <w:r>
        <w:t>Google Ads campaña local 'chef privado a domicilio + ciudad' — presupuesto 250-450 €/mes.</w:t>
      </w:r>
    </w:p>
    <w:p>
      <w:pPr>
        <w:pStyle w:val="ListBullet"/>
        <w:spacing w:after="40"/>
      </w:pPr>
      <w:r>
        <w:t>Programa de referidos: 5 % en segunda contratación o regalo gourmet.</w:t>
      </w:r>
    </w:p>
    <w:p>
      <w:pPr>
        <w:pStyle w:val="ListBullet"/>
        <w:spacing w:after="40"/>
      </w:pPr>
      <w:r>
        <w:t>Newsletter mensual con experiencias temáticas — driver de cumpleaños y aniversarios.</w:t>
      </w:r>
    </w:p>
    <w:p>
      <w:pPr>
        <w:pStyle w:val="ListBullet"/>
        <w:spacing w:after="40"/>
      </w:pPr>
      <w:r>
        <w:t>Showroom cooking class abierto 1-2/año — captación masiva e influencers locales.</w:t>
      </w:r>
    </w:p>
    <w:p>
      <w:r>
        <w:rPr>
          <w:rFonts w:ascii="Cambria" w:hAnsi="Cambria"/>
          <w:b/>
          <w:color w:val="0A0908"/>
          <w:sz w:val="40"/>
        </w:rPr>
        <w:t>7. Plan financiero (resumen)</w:t>
      </w:r>
    </w:p>
    <w:p>
      <w:r>
        <w:rPr>
          <w:rFonts w:ascii="Cambria" w:hAnsi="Cambria"/>
          <w:b/>
          <w:color w:val="0A0908"/>
          <w:sz w:val="30"/>
        </w:rPr>
        <w:t>7.1 Inversión inicial recomendada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>
              <w:rPr>
                <w:b/>
                <w:color w:val="0A0908"/>
              </w:rPr>
              <w:t>Concepto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Mín. (€)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Recomendado (€)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Premium (€)</w:t>
            </w:r>
          </w:p>
        </w:tc>
      </w:tr>
      <w:tr>
        <w:tc>
          <w:tcPr>
            <w:tcW w:type="dxa" w:w="3402"/>
          </w:tcPr>
          <w:p>
            <w:r>
              <w:t>Constitución autónomo + IAE + APPCC</w:t>
            </w:r>
          </w:p>
        </w:tc>
        <w:tc>
          <w:tcPr>
            <w:tcW w:type="dxa" w:w="1701"/>
          </w:tcPr>
          <w:p>
            <w:r>
              <w:t>350</w:t>
            </w:r>
          </w:p>
        </w:tc>
        <w:tc>
          <w:tcPr>
            <w:tcW w:type="dxa" w:w="1701"/>
          </w:tcPr>
          <w:p>
            <w:r>
              <w:t>600</w:t>
            </w:r>
          </w:p>
        </w:tc>
        <w:tc>
          <w:tcPr>
            <w:tcW w:type="dxa" w:w="1701"/>
          </w:tcPr>
          <w:p>
            <w:r>
              <w:t>850</w:t>
            </w:r>
          </w:p>
        </w:tc>
      </w:tr>
      <w:tr>
        <w:tc>
          <w:tcPr>
            <w:tcW w:type="dxa" w:w="3402"/>
          </w:tcPr>
          <w:p>
            <w:r>
              <w:t>Cuchillería japonesa profesional</w:t>
            </w:r>
          </w:p>
        </w:tc>
        <w:tc>
          <w:tcPr>
            <w:tcW w:type="dxa" w:w="1701"/>
          </w:tcPr>
          <w:p>
            <w:r>
              <w:t>450</w:t>
            </w:r>
          </w:p>
        </w:tc>
        <w:tc>
          <w:tcPr>
            <w:tcW w:type="dxa" w:w="1701"/>
          </w:tcPr>
          <w:p>
            <w:r>
              <w:t>950</w:t>
            </w:r>
          </w:p>
        </w:tc>
        <w:tc>
          <w:tcPr>
            <w:tcW w:type="dxa" w:w="1701"/>
          </w:tcPr>
          <w:p>
            <w:r>
              <w:t>2.200</w:t>
            </w:r>
          </w:p>
        </w:tc>
      </w:tr>
      <w:tr>
        <w:tc>
          <w:tcPr>
            <w:tcW w:type="dxa" w:w="3402"/>
          </w:tcPr>
          <w:p>
            <w:r>
              <w:t>Inducción portátil profesional × 2</w:t>
            </w:r>
          </w:p>
        </w:tc>
        <w:tc>
          <w:tcPr>
            <w:tcW w:type="dxa" w:w="1701"/>
          </w:tcPr>
          <w:p>
            <w:r>
              <w:t>220</w:t>
            </w:r>
          </w:p>
        </w:tc>
        <w:tc>
          <w:tcPr>
            <w:tcW w:type="dxa" w:w="1701"/>
          </w:tcPr>
          <w:p>
            <w:r>
              <w:t>480</w:t>
            </w:r>
          </w:p>
        </w:tc>
        <w:tc>
          <w:tcPr>
            <w:tcW w:type="dxa" w:w="1701"/>
          </w:tcPr>
          <w:p>
            <w:r>
              <w:t>1.150</w:t>
            </w:r>
          </w:p>
        </w:tc>
      </w:tr>
      <w:tr>
        <w:tc>
          <w:tcPr>
            <w:tcW w:type="dxa" w:w="3402"/>
          </w:tcPr>
          <w:p>
            <w:r>
              <w:t>Sous-vide + máquina vacío</w:t>
            </w:r>
          </w:p>
        </w:tc>
        <w:tc>
          <w:tcPr>
            <w:tcW w:type="dxa" w:w="1701"/>
          </w:tcPr>
          <w:p>
            <w:r>
              <w:t>280</w:t>
            </w:r>
          </w:p>
        </w:tc>
        <w:tc>
          <w:tcPr>
            <w:tcW w:type="dxa" w:w="1701"/>
          </w:tcPr>
          <w:p>
            <w:r>
              <w:t>560</w:t>
            </w:r>
          </w:p>
        </w:tc>
        <w:tc>
          <w:tcPr>
            <w:tcW w:type="dxa" w:w="1701"/>
          </w:tcPr>
          <w:p>
            <w:r>
              <w:t>1.350</w:t>
            </w:r>
          </w:p>
        </w:tc>
      </w:tr>
      <w:tr>
        <w:tc>
          <w:tcPr>
            <w:tcW w:type="dxa" w:w="3402"/>
          </w:tcPr>
          <w:p>
            <w:r>
              <w:t>Vajilla blanca premium 50 plates</w:t>
            </w:r>
          </w:p>
        </w:tc>
        <w:tc>
          <w:tcPr>
            <w:tcW w:type="dxa" w:w="1701"/>
          </w:tcPr>
          <w:p>
            <w:r>
              <w:t>380</w:t>
            </w:r>
          </w:p>
        </w:tc>
        <w:tc>
          <w:tcPr>
            <w:tcW w:type="dxa" w:w="1701"/>
          </w:tcPr>
          <w:p>
            <w:r>
              <w:t>950</w:t>
            </w:r>
          </w:p>
        </w:tc>
        <w:tc>
          <w:tcPr>
            <w:tcW w:type="dxa" w:w="1701"/>
          </w:tcPr>
          <w:p>
            <w:r>
              <w:t>2.400</w:t>
            </w:r>
          </w:p>
        </w:tc>
      </w:tr>
      <w:tr>
        <w:tc>
          <w:tcPr>
            <w:tcW w:type="dxa" w:w="3402"/>
          </w:tcPr>
          <w:p>
            <w:r>
              <w:t>Cristalería evento + decanters</w:t>
            </w:r>
          </w:p>
        </w:tc>
        <w:tc>
          <w:tcPr>
            <w:tcW w:type="dxa" w:w="1701"/>
          </w:tcPr>
          <w:p>
            <w:r>
              <w:t>220</w:t>
            </w:r>
          </w:p>
        </w:tc>
        <w:tc>
          <w:tcPr>
            <w:tcW w:type="dxa" w:w="1701"/>
          </w:tcPr>
          <w:p>
            <w:r>
              <w:t>480</w:t>
            </w:r>
          </w:p>
        </w:tc>
        <w:tc>
          <w:tcPr>
            <w:tcW w:type="dxa" w:w="1701"/>
          </w:tcPr>
          <w:p>
            <w:r>
              <w:t>1.100</w:t>
            </w:r>
          </w:p>
        </w:tc>
      </w:tr>
      <w:tr>
        <w:tc>
          <w:tcPr>
            <w:tcW w:type="dxa" w:w="3402"/>
          </w:tcPr>
          <w:p>
            <w:r>
              <w:t>Mise en place portátil + neveras</w:t>
            </w:r>
          </w:p>
        </w:tc>
        <w:tc>
          <w:tcPr>
            <w:tcW w:type="dxa" w:w="1701"/>
          </w:tcPr>
          <w:p>
            <w:r>
              <w:t>280</w:t>
            </w:r>
          </w:p>
        </w:tc>
        <w:tc>
          <w:tcPr>
            <w:tcW w:type="dxa" w:w="1701"/>
          </w:tcPr>
          <w:p>
            <w:r>
              <w:t>580</w:t>
            </w:r>
          </w:p>
        </w:tc>
        <w:tc>
          <w:tcPr>
            <w:tcW w:type="dxa" w:w="1701"/>
          </w:tcPr>
          <w:p>
            <w:r>
              <w:t>1.180</w:t>
            </w:r>
          </w:p>
        </w:tc>
      </w:tr>
      <w:tr>
        <w:tc>
          <w:tcPr>
            <w:tcW w:type="dxa" w:w="3402"/>
          </w:tcPr>
          <w:p>
            <w:r>
              <w:t>Uniformidad chef + delantal piel</w:t>
            </w:r>
          </w:p>
        </w:tc>
        <w:tc>
          <w:tcPr>
            <w:tcW w:type="dxa" w:w="1701"/>
          </w:tcPr>
          <w:p>
            <w:r>
              <w:t>180</w:t>
            </w:r>
          </w:p>
        </w:tc>
        <w:tc>
          <w:tcPr>
            <w:tcW w:type="dxa" w:w="1701"/>
          </w:tcPr>
          <w:p>
            <w:r>
              <w:t>380</w:t>
            </w:r>
          </w:p>
        </w:tc>
        <w:tc>
          <w:tcPr>
            <w:tcW w:type="dxa" w:w="1701"/>
          </w:tcPr>
          <w:p>
            <w:r>
              <w:t>850</w:t>
            </w:r>
          </w:p>
        </w:tc>
      </w:tr>
      <w:tr>
        <w:tc>
          <w:tcPr>
            <w:tcW w:type="dxa" w:w="3402"/>
          </w:tcPr>
          <w:p>
            <w:r>
              <w:t>Marca + web + identidad + Stripe</w:t>
            </w:r>
          </w:p>
        </w:tc>
        <w:tc>
          <w:tcPr>
            <w:tcW w:type="dxa" w:w="1701"/>
          </w:tcPr>
          <w:p>
            <w:r>
              <w:t>450</w:t>
            </w:r>
          </w:p>
        </w:tc>
        <w:tc>
          <w:tcPr>
            <w:tcW w:type="dxa" w:w="1701"/>
          </w:tcPr>
          <w:p>
            <w:r>
              <w:t>1.450</w:t>
            </w:r>
          </w:p>
        </w:tc>
        <w:tc>
          <w:tcPr>
            <w:tcW w:type="dxa" w:w="1701"/>
          </w:tcPr>
          <w:p>
            <w:r>
              <w:t>4.200</w:t>
            </w:r>
          </w:p>
        </w:tc>
      </w:tr>
      <w:tr>
        <w:tc>
          <w:tcPr>
            <w:tcW w:type="dxa" w:w="3402"/>
          </w:tcPr>
          <w:p>
            <w:r>
              <w:t>Sesión foto profesional plating</w:t>
            </w:r>
          </w:p>
        </w:tc>
        <w:tc>
          <w:tcPr>
            <w:tcW w:type="dxa" w:w="1701"/>
          </w:tcPr>
          <w:p>
            <w:r>
              <w:t>380</w:t>
            </w:r>
          </w:p>
        </w:tc>
        <w:tc>
          <w:tcPr>
            <w:tcW w:type="dxa" w:w="1701"/>
          </w:tcPr>
          <w:p>
            <w:r>
              <w:t>950</w:t>
            </w:r>
          </w:p>
        </w:tc>
        <w:tc>
          <w:tcPr>
            <w:tcW w:type="dxa" w:w="1701"/>
          </w:tcPr>
          <w:p>
            <w:r>
              <w:t>2.400</w:t>
            </w:r>
          </w:p>
        </w:tc>
      </w:tr>
      <w:tr>
        <w:tc>
          <w:tcPr>
            <w:tcW w:type="dxa" w:w="3402"/>
          </w:tcPr>
          <w:p>
            <w:r>
              <w:t>Furgoneta usada / leasing</w:t>
            </w:r>
          </w:p>
        </w:tc>
        <w:tc>
          <w:tcPr>
            <w:tcW w:type="dxa" w:w="1701"/>
          </w:tcPr>
          <w:p>
            <w:r>
              <w:t>1.500</w:t>
            </w:r>
          </w:p>
        </w:tc>
        <w:tc>
          <w:tcPr>
            <w:tcW w:type="dxa" w:w="1701"/>
          </w:tcPr>
          <w:p>
            <w:r>
              <w:t>4.200</w:t>
            </w:r>
          </w:p>
        </w:tc>
        <w:tc>
          <w:tcPr>
            <w:tcW w:type="dxa" w:w="1701"/>
          </w:tcPr>
          <w:p>
            <w:r>
              <w:t>12.000</w:t>
            </w:r>
          </w:p>
        </w:tc>
      </w:tr>
      <w:tr>
        <w:tc>
          <w:tcPr>
            <w:tcW w:type="dxa" w:w="3402"/>
          </w:tcPr>
          <w:p>
            <w:r>
              <w:t>TOTAL</w:t>
            </w:r>
          </w:p>
        </w:tc>
        <w:tc>
          <w:tcPr>
            <w:tcW w:type="dxa" w:w="1701"/>
          </w:tcPr>
          <w:p>
            <w:r>
              <w:t>4.690 €</w:t>
            </w:r>
          </w:p>
        </w:tc>
        <w:tc>
          <w:tcPr>
            <w:tcW w:type="dxa" w:w="1701"/>
          </w:tcPr>
          <w:p>
            <w:r>
              <w:t>11.580 €</w:t>
            </w:r>
          </w:p>
        </w:tc>
        <w:tc>
          <w:tcPr>
            <w:tcW w:type="dxa" w:w="1701"/>
          </w:tcPr>
          <w:p>
            <w:r>
              <w:t>29.680 €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7.2 Proyección 3 años</w:t>
      </w:r>
    </w:p>
    <w:p>
      <w:pPr>
        <w:spacing w:after="120"/>
      </w:pPr>
      <w:r>
        <w:t>La proyección financiera detallada está en el Excel adjunto al kit. El resumen es el siguiente: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</w:tcPr>
          <w:p>
            <w:r>
              <w:rPr>
                <w:b/>
                <w:color w:val="0A0908"/>
              </w:rPr>
              <w:t>Año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Eventos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Ingresos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Margen bruto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Margen neto</w:t>
            </w:r>
          </w:p>
        </w:tc>
      </w:tr>
      <w:tr>
        <w:tc>
          <w:tcPr>
            <w:tcW w:type="dxa" w:w="1134"/>
          </w:tcPr>
          <w:p>
            <w:r>
              <w:t>Año 1</w:t>
            </w:r>
          </w:p>
        </w:tc>
        <w:tc>
          <w:tcPr>
            <w:tcW w:type="dxa" w:w="2835"/>
          </w:tcPr>
          <w:p>
            <w:r>
              <w:t>153 (B2C 74 + B2B 79)</w:t>
            </w:r>
          </w:p>
        </w:tc>
        <w:tc>
          <w:tcPr>
            <w:tcW w:type="dxa" w:w="2268"/>
          </w:tcPr>
          <w:p>
            <w:r>
              <w:t>157.450 €</w:t>
            </w:r>
          </w:p>
        </w:tc>
        <w:tc>
          <w:tcPr>
            <w:tcW w:type="dxa" w:w="1701"/>
          </w:tcPr>
          <w:p>
            <w:r>
              <w:t>62 %</w:t>
            </w:r>
          </w:p>
        </w:tc>
        <w:tc>
          <w:tcPr>
            <w:tcW w:type="dxa" w:w="1701"/>
          </w:tcPr>
          <w:p>
            <w:r>
              <w:t>30 %</w:t>
            </w:r>
          </w:p>
        </w:tc>
      </w:tr>
      <w:tr>
        <w:tc>
          <w:tcPr>
            <w:tcW w:type="dxa" w:w="1134"/>
          </w:tcPr>
          <w:p>
            <w:r>
              <w:t>Año 2</w:t>
            </w:r>
          </w:p>
        </w:tc>
        <w:tc>
          <w:tcPr>
            <w:tcW w:type="dxa" w:w="2835"/>
          </w:tcPr>
          <w:p>
            <w:r>
              <w:t>195 (B2C 95 + B2B 100)</w:t>
            </w:r>
          </w:p>
        </w:tc>
        <w:tc>
          <w:tcPr>
            <w:tcW w:type="dxa" w:w="2268"/>
          </w:tcPr>
          <w:p>
            <w:r>
              <w:t>218.800 €</w:t>
            </w:r>
          </w:p>
        </w:tc>
        <w:tc>
          <w:tcPr>
            <w:tcW w:type="dxa" w:w="1701"/>
          </w:tcPr>
          <w:p>
            <w:r>
              <w:t>62 %</w:t>
            </w:r>
          </w:p>
        </w:tc>
        <w:tc>
          <w:tcPr>
            <w:tcW w:type="dxa" w:w="1701"/>
          </w:tcPr>
          <w:p>
            <w:r>
              <w:t>32 %</w:t>
            </w:r>
          </w:p>
        </w:tc>
      </w:tr>
      <w:tr>
        <w:tc>
          <w:tcPr>
            <w:tcW w:type="dxa" w:w="1134"/>
          </w:tcPr>
          <w:p>
            <w:r>
              <w:t>Año 3</w:t>
            </w:r>
          </w:p>
        </w:tc>
        <w:tc>
          <w:tcPr>
            <w:tcW w:type="dxa" w:w="2835"/>
          </w:tcPr>
          <w:p>
            <w:r>
              <w:t>237 (B2C 115 + B2B 122)</w:t>
            </w:r>
          </w:p>
        </w:tc>
        <w:tc>
          <w:tcPr>
            <w:tcW w:type="dxa" w:w="2268"/>
          </w:tcPr>
          <w:p>
            <w:r>
              <w:t>294.000 €</w:t>
            </w:r>
          </w:p>
        </w:tc>
        <w:tc>
          <w:tcPr>
            <w:tcW w:type="dxa" w:w="1701"/>
          </w:tcPr>
          <w:p>
            <w:r>
              <w:t>62 %</w:t>
            </w:r>
          </w:p>
        </w:tc>
        <w:tc>
          <w:tcPr>
            <w:tcW w:type="dxa" w:w="1701"/>
          </w:tcPr>
          <w:p>
            <w:r>
              <w:t>34 %</w:t>
            </w:r>
          </w:p>
        </w:tc>
      </w:tr>
    </w:tbl>
    <w:p>
      <w:r>
        <w:rPr>
          <w:rFonts w:ascii="Cambria" w:hAnsi="Cambria"/>
          <w:b/>
          <w:color w:val="0A0908"/>
          <w:sz w:val="40"/>
        </w:rPr>
        <w:t>8. Riesgos y mitigaciones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r>
              <w:rPr>
                <w:b/>
                <w:color w:val="0A0908"/>
              </w:rPr>
              <w:t>Riesgo</w:t>
            </w:r>
          </w:p>
        </w:tc>
        <w:tc>
          <w:tcPr>
            <w:tcW w:type="dxa" w:w="1134"/>
          </w:tcPr>
          <w:p>
            <w:r>
              <w:rPr>
                <w:b/>
                <w:color w:val="0A0908"/>
              </w:rPr>
              <w:t>Probabilidad</w:t>
            </w:r>
          </w:p>
        </w:tc>
        <w:tc>
          <w:tcPr>
            <w:tcW w:type="dxa" w:w="1134"/>
          </w:tcPr>
          <w:p>
            <w:r>
              <w:rPr>
                <w:b/>
                <w:color w:val="0A0908"/>
              </w:rPr>
              <w:t>Impacto</w:t>
            </w:r>
          </w:p>
        </w:tc>
        <w:tc>
          <w:tcPr>
            <w:tcW w:type="dxa" w:w="3402"/>
          </w:tcPr>
          <w:p>
            <w:r>
              <w:rPr>
                <w:b/>
                <w:color w:val="0A0908"/>
              </w:rPr>
              <w:t>Mitigación</w:t>
            </w:r>
          </w:p>
        </w:tc>
      </w:tr>
      <w:tr>
        <w:tc>
          <w:tcPr>
            <w:tcW w:type="dxa" w:w="2835"/>
          </w:tcPr>
          <w:p>
            <w:r>
              <w:t>Cancelación cliente último momento</w:t>
            </w:r>
          </w:p>
        </w:tc>
        <w:tc>
          <w:tcPr>
            <w:tcW w:type="dxa" w:w="1134"/>
          </w:tcPr>
          <w:p>
            <w:r>
              <w:t>Media</w:t>
            </w:r>
          </w:p>
        </w:tc>
        <w:tc>
          <w:tcPr>
            <w:tcW w:type="dxa" w:w="1134"/>
          </w:tcPr>
          <w:p>
            <w:r>
              <w:t>Alto</w:t>
            </w:r>
          </w:p>
        </w:tc>
        <w:tc>
          <w:tcPr>
            <w:tcW w:type="dxa" w:w="3402"/>
          </w:tcPr>
          <w:p>
            <w:r>
              <w:t>Anticipo 40 % + cláusula 14 días</w:t>
            </w:r>
          </w:p>
        </w:tc>
      </w:tr>
      <w:tr>
        <w:tc>
          <w:tcPr>
            <w:tcW w:type="dxa" w:w="2835"/>
          </w:tcPr>
          <w:p>
            <w:r>
              <w:t>Intoxicación alimentaria</w:t>
            </w:r>
          </w:p>
        </w:tc>
        <w:tc>
          <w:tcPr>
            <w:tcW w:type="dxa" w:w="1134"/>
          </w:tcPr>
          <w:p>
            <w:r>
              <w:t>Baja</w:t>
            </w:r>
          </w:p>
        </w:tc>
        <w:tc>
          <w:tcPr>
            <w:tcW w:type="dxa" w:w="1134"/>
          </w:tcPr>
          <w:p>
            <w:r>
              <w:t>Crítico</w:t>
            </w:r>
          </w:p>
        </w:tc>
        <w:tc>
          <w:tcPr>
            <w:tcW w:type="dxa" w:w="3402"/>
          </w:tcPr>
          <w:p>
            <w:r>
              <w:t>Seguro RC con cláusula intox + APPCC riguroso</w:t>
            </w:r>
          </w:p>
        </w:tc>
      </w:tr>
      <w:tr>
        <w:tc>
          <w:tcPr>
            <w:tcW w:type="dxa" w:w="2835"/>
          </w:tcPr>
          <w:p>
            <w:r>
              <w:t>Avería equipamiento crítico durante evento</w:t>
            </w:r>
          </w:p>
        </w:tc>
        <w:tc>
          <w:tcPr>
            <w:tcW w:type="dxa" w:w="1134"/>
          </w:tcPr>
          <w:p>
            <w:r>
              <w:t>Media</w:t>
            </w:r>
          </w:p>
        </w:tc>
        <w:tc>
          <w:tcPr>
            <w:tcW w:type="dxa" w:w="1134"/>
          </w:tcPr>
          <w:p>
            <w:r>
              <w:t>Alto</w:t>
            </w:r>
          </w:p>
        </w:tc>
        <w:tc>
          <w:tcPr>
            <w:tcW w:type="dxa" w:w="3402"/>
          </w:tcPr>
          <w:p>
            <w:r>
              <w:t>Equipamiento de respaldo (2 inducciones, 2 cuchillos)</w:t>
            </w:r>
          </w:p>
        </w:tc>
      </w:tr>
      <w:tr>
        <w:tc>
          <w:tcPr>
            <w:tcW w:type="dxa" w:w="2835"/>
          </w:tcPr>
          <w:p>
            <w:r>
              <w:t>Cliente B2B no paga factura</w:t>
            </w:r>
          </w:p>
        </w:tc>
        <w:tc>
          <w:tcPr>
            <w:tcW w:type="dxa" w:w="1134"/>
          </w:tcPr>
          <w:p>
            <w:r>
              <w:t>Media</w:t>
            </w:r>
          </w:p>
        </w:tc>
        <w:tc>
          <w:tcPr>
            <w:tcW w:type="dxa" w:w="1134"/>
          </w:tcPr>
          <w:p>
            <w:r>
              <w:t>Medio</w:t>
            </w:r>
          </w:p>
        </w:tc>
        <w:tc>
          <w:tcPr>
            <w:tcW w:type="dxa" w:w="3402"/>
          </w:tcPr>
          <w:p>
            <w:r>
              <w:t>Anticipo 40 % + 30 % al confirmar menú + 30 % D+7</w:t>
            </w:r>
          </w:p>
        </w:tc>
      </w:tr>
      <w:tr>
        <w:tc>
          <w:tcPr>
            <w:tcW w:type="dxa" w:w="2835"/>
          </w:tcPr>
          <w:p>
            <w:r>
              <w:t>Rotura cuchillería japonesa</w:t>
            </w:r>
          </w:p>
        </w:tc>
        <w:tc>
          <w:tcPr>
            <w:tcW w:type="dxa" w:w="1134"/>
          </w:tcPr>
          <w:p>
            <w:r>
              <w:t>Baja</w:t>
            </w:r>
          </w:p>
        </w:tc>
        <w:tc>
          <w:tcPr>
            <w:tcW w:type="dxa" w:w="1134"/>
          </w:tcPr>
          <w:p>
            <w:r>
              <w:t>Medio</w:t>
            </w:r>
          </w:p>
        </w:tc>
        <w:tc>
          <w:tcPr>
            <w:tcW w:type="dxa" w:w="3402"/>
          </w:tcPr>
          <w:p>
            <w:r>
              <w:t>Mantenimiento mensual + seguro robo/daños equipamiento</w:t>
            </w:r>
          </w:p>
        </w:tc>
      </w:tr>
      <w:tr>
        <w:tc>
          <w:tcPr>
            <w:tcW w:type="dxa" w:w="2835"/>
          </w:tcPr>
          <w:p>
            <w:r>
              <w:t>Reseñas negativas (alergia no comunicada)</w:t>
            </w:r>
          </w:p>
        </w:tc>
        <w:tc>
          <w:tcPr>
            <w:tcW w:type="dxa" w:w="1134"/>
          </w:tcPr>
          <w:p>
            <w:r>
              <w:t>Media</w:t>
            </w:r>
          </w:p>
        </w:tc>
        <w:tc>
          <w:tcPr>
            <w:tcW w:type="dxa" w:w="1134"/>
          </w:tcPr>
          <w:p>
            <w:r>
              <w:t>Alto</w:t>
            </w:r>
          </w:p>
        </w:tc>
        <w:tc>
          <w:tcPr>
            <w:tcW w:type="dxa" w:w="3402"/>
          </w:tcPr>
          <w:p>
            <w:r>
              <w:t>Briefing por escrito + plantilla alergias firmada</w:t>
            </w:r>
          </w:p>
        </w:tc>
      </w:tr>
      <w:tr>
        <w:tc>
          <w:tcPr>
            <w:tcW w:type="dxa" w:w="2835"/>
          </w:tcPr>
          <w:p>
            <w:r>
              <w:t>Imitadores low-cost en plataformas</w:t>
            </w:r>
          </w:p>
        </w:tc>
        <w:tc>
          <w:tcPr>
            <w:tcW w:type="dxa" w:w="1134"/>
          </w:tcPr>
          <w:p>
            <w:r>
              <w:t>Alta</w:t>
            </w:r>
          </w:p>
        </w:tc>
        <w:tc>
          <w:tcPr>
            <w:tcW w:type="dxa" w:w="1134"/>
          </w:tcPr>
          <w:p>
            <w:r>
              <w:t>Bajo</w:t>
            </w:r>
          </w:p>
        </w:tc>
        <w:tc>
          <w:tcPr>
            <w:tcW w:type="dxa" w:w="3402"/>
          </w:tcPr>
          <w:p>
            <w:r>
              <w:t>Marca personal fuerte + portfolio premium</w:t>
            </w:r>
          </w:p>
        </w:tc>
      </w:tr>
    </w:tbl>
    <w:p>
      <w:r>
        <w:rPr>
          <w:rFonts w:ascii="Cambria" w:hAnsi="Cambria"/>
          <w:b/>
          <w:color w:val="0A0908"/>
          <w:sz w:val="40"/>
        </w:rPr>
        <w:t>9. Anexo: regulación por CCAA</w:t>
      </w:r>
    </w:p>
    <w:p>
      <w:pPr>
        <w:spacing w:after="120"/>
      </w:pPr>
      <w:r>
        <w:t>La actividad de chef privado y servicios de catering itinerante tiene normativa común estatal (RD 191/2011 sobre Registro General Sanitario de Empresas Alimentarias y Alimentos, Real Decreto 109/2010 sobre alérgenos, normativa de manipulador) y normativa autonómica complementaria que conviene verificar antes del lanzamiento. A continuación, los puntos clave por CCAA: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  <w:color w:val="0A0908"/>
              </w:rPr>
              <w:t>CCAA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Registro Sanitario</w:t>
            </w:r>
          </w:p>
        </w:tc>
        <w:tc>
          <w:tcPr>
            <w:tcW w:type="dxa" w:w="4535"/>
          </w:tcPr>
          <w:p>
            <w:r>
              <w:rPr>
                <w:b/>
                <w:color w:val="0A0908"/>
              </w:rPr>
              <w:t>Notas específicas</w:t>
            </w:r>
          </w:p>
        </w:tc>
      </w:tr>
      <w:tr>
        <w:tc>
          <w:tcPr>
            <w:tcW w:type="dxa" w:w="2268"/>
          </w:tcPr>
          <w:p>
            <w:r>
              <w:t>Madrid</w:t>
            </w:r>
          </w:p>
        </w:tc>
        <w:tc>
          <w:tcPr>
            <w:tcW w:type="dxa" w:w="2835"/>
          </w:tcPr>
          <w:p>
            <w:r>
              <w:t>Salud Pública CAM</w:t>
            </w:r>
          </w:p>
        </w:tc>
        <w:tc>
          <w:tcPr>
            <w:tcW w:type="dxa" w:w="4535"/>
          </w:tcPr>
          <w:p>
            <w:r>
              <w:t>Ventanilla única online; trámite 15-30 días; epígrafe 677.9 IAE</w:t>
            </w:r>
          </w:p>
        </w:tc>
      </w:tr>
      <w:tr>
        <w:tc>
          <w:tcPr>
            <w:tcW w:type="dxa" w:w="2268"/>
          </w:tcPr>
          <w:p>
            <w:r>
              <w:t>Cataluña</w:t>
            </w:r>
          </w:p>
        </w:tc>
        <w:tc>
          <w:tcPr>
            <w:tcW w:type="dxa" w:w="2835"/>
          </w:tcPr>
          <w:p>
            <w:r>
              <w:t>Generalitat Salut Pública</w:t>
            </w:r>
          </w:p>
        </w:tc>
        <w:tc>
          <w:tcPr>
            <w:tcW w:type="dxa" w:w="4535"/>
          </w:tcPr>
          <w:p>
            <w:r>
              <w:t>Catalán obligatorio en etiquetado; tasa anual 80 €</w:t>
            </w:r>
          </w:p>
        </w:tc>
      </w:tr>
      <w:tr>
        <w:tc>
          <w:tcPr>
            <w:tcW w:type="dxa" w:w="2268"/>
          </w:tcPr>
          <w:p>
            <w:r>
              <w:t>Andalucía</w:t>
            </w:r>
          </w:p>
        </w:tc>
        <w:tc>
          <w:tcPr>
            <w:tcW w:type="dxa" w:w="2835"/>
          </w:tcPr>
          <w:p>
            <w:r>
              <w:t>Junta Andalucía Salud</w:t>
            </w:r>
          </w:p>
        </w:tc>
        <w:tc>
          <w:tcPr>
            <w:tcW w:type="dxa" w:w="4535"/>
          </w:tcPr>
          <w:p>
            <w:r>
              <w:t>Comunicación previa + RGSEAA; control aleatorio anual</w:t>
            </w:r>
          </w:p>
        </w:tc>
      </w:tr>
      <w:tr>
        <w:tc>
          <w:tcPr>
            <w:tcW w:type="dxa" w:w="2268"/>
          </w:tcPr>
          <w:p>
            <w:r>
              <w:t>Comunidad Valenciana</w:t>
            </w:r>
          </w:p>
        </w:tc>
        <w:tc>
          <w:tcPr>
            <w:tcW w:type="dxa" w:w="2835"/>
          </w:tcPr>
          <w:p>
            <w:r>
              <w:t>Conselleria Sanidad</w:t>
            </w:r>
          </w:p>
        </w:tc>
        <w:tc>
          <w:tcPr>
            <w:tcW w:type="dxa" w:w="4535"/>
          </w:tcPr>
          <w:p>
            <w:r>
              <w:t>Registro telemático; verificación cocina cliente final</w:t>
            </w:r>
          </w:p>
        </w:tc>
      </w:tr>
      <w:tr>
        <w:tc>
          <w:tcPr>
            <w:tcW w:type="dxa" w:w="2268"/>
          </w:tcPr>
          <w:p>
            <w:r>
              <w:t>País Vasco</w:t>
            </w:r>
          </w:p>
        </w:tc>
        <w:tc>
          <w:tcPr>
            <w:tcW w:type="dxa" w:w="2835"/>
          </w:tcPr>
          <w:p>
            <w:r>
              <w:t>Osasun Saila Salud Vasca</w:t>
            </w:r>
          </w:p>
        </w:tc>
        <w:tc>
          <w:tcPr>
            <w:tcW w:type="dxa" w:w="4535"/>
          </w:tcPr>
          <w:p>
            <w:r>
              <w:t>Posible bilingüismo etiquetado; fiscalidad foral</w:t>
            </w:r>
          </w:p>
        </w:tc>
      </w:tr>
      <w:tr>
        <w:tc>
          <w:tcPr>
            <w:tcW w:type="dxa" w:w="2268"/>
          </w:tcPr>
          <w:p>
            <w:r>
              <w:t>Galicia</w:t>
            </w:r>
          </w:p>
        </w:tc>
        <w:tc>
          <w:tcPr>
            <w:tcW w:type="dxa" w:w="2835"/>
          </w:tcPr>
          <w:p>
            <w:r>
              <w:t>Sergas Servicio Galego de Saúde</w:t>
            </w:r>
          </w:p>
        </w:tc>
        <w:tc>
          <w:tcPr>
            <w:tcW w:type="dxa" w:w="4535"/>
          </w:tcPr>
          <w:p>
            <w:r>
              <w:t>Comunicación previa; menos restrictivo en itinerante</w:t>
            </w:r>
          </w:p>
        </w:tc>
      </w:tr>
      <w:tr>
        <w:tc>
          <w:tcPr>
            <w:tcW w:type="dxa" w:w="2268"/>
          </w:tcPr>
          <w:p>
            <w:r>
              <w:t>Castilla y León</w:t>
            </w:r>
          </w:p>
        </w:tc>
        <w:tc>
          <w:tcPr>
            <w:tcW w:type="dxa" w:w="2835"/>
          </w:tcPr>
          <w:p>
            <w:r>
              <w:t>Sacyl Salud Pública</w:t>
            </w:r>
          </w:p>
        </w:tc>
        <w:tc>
          <w:tcPr>
            <w:tcW w:type="dxa" w:w="4535"/>
          </w:tcPr>
          <w:p>
            <w:r>
              <w:t>Trámite presencial + telemático; 30 días</w:t>
            </w:r>
          </w:p>
        </w:tc>
      </w:tr>
      <w:tr>
        <w:tc>
          <w:tcPr>
            <w:tcW w:type="dxa" w:w="2268"/>
          </w:tcPr>
          <w:p>
            <w:r>
              <w:t>Castilla-La Mancha</w:t>
            </w:r>
          </w:p>
        </w:tc>
        <w:tc>
          <w:tcPr>
            <w:tcW w:type="dxa" w:w="2835"/>
          </w:tcPr>
          <w:p>
            <w:r>
              <w:t>Sescam Salud Pública</w:t>
            </w:r>
          </w:p>
        </w:tc>
        <w:tc>
          <w:tcPr>
            <w:tcW w:type="dxa" w:w="4535"/>
          </w:tcPr>
          <w:p>
            <w:r>
              <w:t>Comunicación previa + RGSEAA; respaldo Toledo</w:t>
            </w:r>
          </w:p>
        </w:tc>
      </w:tr>
      <w:tr>
        <w:tc>
          <w:tcPr>
            <w:tcW w:type="dxa" w:w="2268"/>
          </w:tcPr>
          <w:p>
            <w:r>
              <w:t>Aragón</w:t>
            </w:r>
          </w:p>
        </w:tc>
        <w:tc>
          <w:tcPr>
            <w:tcW w:type="dxa" w:w="2835"/>
          </w:tcPr>
          <w:p>
            <w:r>
              <w:t>Salud Pública Aragón</w:t>
            </w:r>
          </w:p>
        </w:tc>
        <w:tc>
          <w:tcPr>
            <w:tcW w:type="dxa" w:w="4535"/>
          </w:tcPr>
          <w:p>
            <w:r>
              <w:t>Trámite online; documentación APPCC simplificada</w:t>
            </w:r>
          </w:p>
        </w:tc>
      </w:tr>
      <w:tr>
        <w:tc>
          <w:tcPr>
            <w:tcW w:type="dxa" w:w="2268"/>
          </w:tcPr>
          <w:p>
            <w:r>
              <w:t>Islas Baleares</w:t>
            </w:r>
          </w:p>
        </w:tc>
        <w:tc>
          <w:tcPr>
            <w:tcW w:type="dxa" w:w="2835"/>
          </w:tcPr>
          <w:p>
            <w:r>
              <w:t>IB-Salut Salud Pública</w:t>
            </w:r>
          </w:p>
        </w:tc>
        <w:tc>
          <w:tcPr>
            <w:tcW w:type="dxa" w:w="4535"/>
          </w:tcPr>
          <w:p>
            <w:r>
              <w:t>Verificación específica para temporada turística</w:t>
            </w:r>
          </w:p>
        </w:tc>
      </w:tr>
      <w:tr>
        <w:tc>
          <w:tcPr>
            <w:tcW w:type="dxa" w:w="2268"/>
          </w:tcPr>
          <w:p>
            <w:r>
              <w:t>Islas Canarias</w:t>
            </w:r>
          </w:p>
        </w:tc>
        <w:tc>
          <w:tcPr>
            <w:tcW w:type="dxa" w:w="2835"/>
          </w:tcPr>
          <w:p>
            <w:r>
              <w:t>Servicio Canario de Salud</w:t>
            </w:r>
          </w:p>
        </w:tc>
        <w:tc>
          <w:tcPr>
            <w:tcW w:type="dxa" w:w="4535"/>
          </w:tcPr>
          <w:p>
            <w:r>
              <w:t>Trámite específico + cumplimiento normativa transporte</w:t>
            </w:r>
          </w:p>
        </w:tc>
      </w:tr>
      <w:tr>
        <w:tc>
          <w:tcPr>
            <w:tcW w:type="dxa" w:w="2268"/>
          </w:tcPr>
          <w:p>
            <w:r>
              <w:t>Navarra</w:t>
            </w:r>
          </w:p>
        </w:tc>
        <w:tc>
          <w:tcPr>
            <w:tcW w:type="dxa" w:w="2835"/>
          </w:tcPr>
          <w:p>
            <w:r>
              <w:t>Salud Pública Foral</w:t>
            </w:r>
          </w:p>
        </w:tc>
        <w:tc>
          <w:tcPr>
            <w:tcW w:type="dxa" w:w="4535"/>
          </w:tcPr>
          <w:p>
            <w:r>
              <w:t>Tasa anual reducida; foral facilita autónomos</w:t>
            </w:r>
          </w:p>
        </w:tc>
      </w:tr>
      <w:tr>
        <w:tc>
          <w:tcPr>
            <w:tcW w:type="dxa" w:w="2268"/>
          </w:tcPr>
          <w:p>
            <w:r>
              <w:t>La Rioja</w:t>
            </w:r>
          </w:p>
        </w:tc>
        <w:tc>
          <w:tcPr>
            <w:tcW w:type="dxa" w:w="2835"/>
          </w:tcPr>
          <w:p>
            <w:r>
              <w:t>Salud La Rioja</w:t>
            </w:r>
          </w:p>
        </w:tc>
        <w:tc>
          <w:tcPr>
            <w:tcW w:type="dxa" w:w="4535"/>
          </w:tcPr>
          <w:p>
            <w:r>
              <w:t>Trámite online; 15-25 días</w:t>
            </w:r>
          </w:p>
        </w:tc>
      </w:tr>
      <w:tr>
        <w:tc>
          <w:tcPr>
            <w:tcW w:type="dxa" w:w="2268"/>
          </w:tcPr>
          <w:p>
            <w:r>
              <w:t>Asturias</w:t>
            </w:r>
          </w:p>
        </w:tc>
        <w:tc>
          <w:tcPr>
            <w:tcW w:type="dxa" w:w="2835"/>
          </w:tcPr>
          <w:p>
            <w:r>
              <w:t>SESPA Salud Pública</w:t>
            </w:r>
          </w:p>
        </w:tc>
        <w:tc>
          <w:tcPr>
            <w:tcW w:type="dxa" w:w="4535"/>
          </w:tcPr>
          <w:p>
            <w:r>
              <w:t>Comunicación previa; menos restrictivo</w:t>
            </w:r>
          </w:p>
        </w:tc>
      </w:tr>
      <w:tr>
        <w:tc>
          <w:tcPr>
            <w:tcW w:type="dxa" w:w="2268"/>
          </w:tcPr>
          <w:p>
            <w:r>
              <w:t>Cantabria</w:t>
            </w:r>
          </w:p>
        </w:tc>
        <w:tc>
          <w:tcPr>
            <w:tcW w:type="dxa" w:w="2835"/>
          </w:tcPr>
          <w:p>
            <w:r>
              <w:t>Servicio Cántabro de Salud</w:t>
            </w:r>
          </w:p>
        </w:tc>
        <w:tc>
          <w:tcPr>
            <w:tcW w:type="dxa" w:w="4535"/>
          </w:tcPr>
          <w:p>
            <w:r>
              <w:t>Trámite presencial + telemático</w:t>
            </w:r>
          </w:p>
        </w:tc>
      </w:tr>
      <w:tr>
        <w:tc>
          <w:tcPr>
            <w:tcW w:type="dxa" w:w="2268"/>
          </w:tcPr>
          <w:p>
            <w:r>
              <w:t>Murcia</w:t>
            </w:r>
          </w:p>
        </w:tc>
        <w:tc>
          <w:tcPr>
            <w:tcW w:type="dxa" w:w="2835"/>
          </w:tcPr>
          <w:p>
            <w:r>
              <w:t>Murciasalud</w:t>
            </w:r>
          </w:p>
        </w:tc>
        <w:tc>
          <w:tcPr>
            <w:tcW w:type="dxa" w:w="4535"/>
          </w:tcPr>
          <w:p>
            <w:r>
              <w:t>Comunicación previa; normativa amplia para itinerante</w:t>
            </w:r>
          </w:p>
        </w:tc>
      </w:tr>
      <w:tr>
        <w:tc>
          <w:tcPr>
            <w:tcW w:type="dxa" w:w="2268"/>
          </w:tcPr>
          <w:p>
            <w:r>
              <w:t>Extremadura</w:t>
            </w:r>
          </w:p>
        </w:tc>
        <w:tc>
          <w:tcPr>
            <w:tcW w:type="dxa" w:w="2835"/>
          </w:tcPr>
          <w:p>
            <w:r>
              <w:t>SES Salud Pública</w:t>
            </w:r>
          </w:p>
        </w:tc>
        <w:tc>
          <w:tcPr>
            <w:tcW w:type="dxa" w:w="4535"/>
          </w:tcPr>
          <w:p>
            <w:r>
              <w:t>Trámite online; menos restrictivo</w:t>
            </w:r>
          </w:p>
        </w:tc>
      </w:tr>
    </w:tbl>
    <w:p>
      <w:pPr>
        <w:spacing w:after="120"/>
      </w:pPr>
      <w:r>
        <w:t>Importante: este anexo es orientativo. Antes de iniciar la actividad consulta con un asesor fiscal-laboral local o con la administración autonómica correspondiente para verificar requisitos específicos en tu caso (tipo de servicio, ámbito territorial, etc.). En ChefBusiness ofrecemos consultoría puntual de orientación regulatoria si la necesitas.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