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Gastronómico · España ↔ Hispanoamérica, EE. UU. y Brasil</w:t>
      </w:r>
    </w:p>
    <w:p>
      <w:pPr>
        <w:spacing w:before="120"/>
        <w:jc w:val="center"/>
      </w:pPr>
      <w:r>
        <w:rPr>
          <w:rFonts w:ascii="Calibri" w:hAnsi="Calibri"/>
          <w:b/>
          <w:color w:val="1A1A1A"/>
          <w:sz w:val="24"/>
        </w:rPr>
        <w:t>Incluida con tu Guía Restaurante Gastronómico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Gastronómico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shd w:val="clear" w:color="auto" w:fill="FAF7F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shd w:val="clear" w:color="auto" w:fill="FAF7F0"/>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shd w:val="clear" w:color="auto" w:fill="FAF7F0"/>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tcPr>
          <w:p>
            <w:pPr>
              <w:spacing w:before="0" w:after="0" w:line="240" w:lineRule="auto"/>
            </w:pPr>
            <w:r>
              <w:rPr>
                <w:color w:val="1A1A1A"/>
                <w:sz w:val="16"/>
              </w:rPr>
              <w:t>«Chef de partie» es la forma de hotel y alta cocina en toda la región; en EE. UU. el equivalente es el «line cook lead».</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pase</w:t>
            </w:r>
          </w:p>
        </w:tc>
        <w:tc>
          <w:tcPr>
            <w:tcW w:type="dxa" w:w="5040"/>
            <w:shd w:val="clear" w:color="auto" w:fill="FAF7F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shd w:val="clear" w:color="auto" w:fill="FAF7F0"/>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mutua</w:t>
            </w:r>
          </w:p>
        </w:tc>
        <w:tc>
          <w:tcPr>
            <w:tcW w:type="dxa" w:w="5040"/>
          </w:tcPr>
          <w:p>
            <w:pPr>
              <w:spacing w:before="0" w:after="0" w:line="240" w:lineRule="auto"/>
            </w:pPr>
            <w:r>
              <w:rPr>
                <w:b/>
                <w:color w:val="1A1A1A"/>
                <w:sz w:val="16"/>
              </w:rPr>
              <w:t>IMSS (riesgos de trabajo)</w:t>
            </w:r>
            <w:r>
              <w:rPr>
                <w:color w:val="1A1A1A"/>
                <w:sz w:val="16"/>
              </w:rPr>
              <w:t xml:space="preserve"> (MX) · </w:t>
            </w:r>
            <w:r>
              <w:rPr>
                <w:b/>
                <w:color w:val="1A1A1A"/>
                <w:sz w:val="16"/>
              </w:rPr>
              <w:t>IGSS</w:t>
            </w:r>
            <w:r>
              <w:rPr>
                <w:color w:val="1A1A1A"/>
                <w:sz w:val="16"/>
              </w:rPr>
              <w:t xml:space="preserve"> (GT) · </w:t>
            </w:r>
            <w:r>
              <w:rPr>
                <w:b/>
                <w:color w:val="1A1A1A"/>
                <w:sz w:val="16"/>
              </w:rPr>
              <w:t>ARL (administradora de riesgos laborales)</w:t>
            </w:r>
            <w:r>
              <w:rPr>
                <w:color w:val="1A1A1A"/>
                <w:sz w:val="16"/>
              </w:rPr>
              <w:t xml:space="preserve"> (CO) · </w:t>
            </w:r>
            <w:r>
              <w:rPr>
                <w:b/>
                <w:color w:val="1A1A1A"/>
                <w:sz w:val="16"/>
              </w:rPr>
              <w:t>ART (aseguradora de riesgos del trabajo)</w:t>
            </w:r>
            <w:r>
              <w:rPr>
                <w:color w:val="1A1A1A"/>
                <w:sz w:val="16"/>
              </w:rPr>
              <w:t xml:space="preserve"> (AR) · </w:t>
            </w:r>
            <w:r>
              <w:rPr>
                <w:b/>
                <w:color w:val="1A1A1A"/>
                <w:sz w:val="16"/>
              </w:rPr>
              <w:t>mutual (ACHS, IST, Mutual de Seguridad)</w:t>
            </w:r>
            <w:r>
              <w:rPr>
                <w:color w:val="1A1A1A"/>
                <w:sz w:val="16"/>
              </w:rPr>
              <w:t xml:space="preserve"> (CL) · </w:t>
            </w:r>
            <w:r>
              <w:rPr>
                <w:b/>
                <w:color w:val="1A1A1A"/>
                <w:sz w:val="16"/>
              </w:rPr>
              <w:t>SCTR / EsSalud</w:t>
            </w:r>
            <w:r>
              <w:rPr>
                <w:color w:val="1A1A1A"/>
                <w:sz w:val="16"/>
              </w:rPr>
              <w:t xml:space="preserve"> (PE) · </w:t>
            </w:r>
            <w:r>
              <w:rPr>
                <w:b/>
                <w:color w:val="1A1A1A"/>
                <w:sz w:val="16"/>
              </w:rPr>
              <w:t>IESS (riesgos del trabajo)</w:t>
            </w:r>
            <w:r>
              <w:rPr>
                <w:color w:val="1A1A1A"/>
                <w:sz w:val="16"/>
              </w:rPr>
              <w:t xml:space="preserve"> (EC) · </w:t>
            </w:r>
            <w:r>
              <w:rPr>
                <w:b/>
                <w:color w:val="1A1A1A"/>
                <w:sz w:val="16"/>
              </w:rPr>
              <w:t>INS (póliza de riesgos del trabajo)</w:t>
            </w:r>
            <w:r>
              <w:rPr>
                <w:color w:val="1A1A1A"/>
                <w:sz w:val="16"/>
              </w:rPr>
              <w:t xml:space="preserve"> (CR) · </w:t>
            </w:r>
            <w:r>
              <w:rPr>
                <w:b/>
                <w:color w:val="1A1A1A"/>
                <w:sz w:val="16"/>
              </w:rPr>
              <w:t>BSE</w:t>
            </w:r>
            <w:r>
              <w:rPr>
                <w:color w:val="1A1A1A"/>
                <w:sz w:val="16"/>
              </w:rPr>
              <w:t xml:space="preserve"> (UY) · </w:t>
            </w:r>
            <w:r>
              <w:rPr>
                <w:b/>
                <w:color w:val="1A1A1A"/>
                <w:sz w:val="16"/>
              </w:rPr>
              <w:t>IPS</w:t>
            </w:r>
            <w:r>
              <w:rPr>
                <w:color w:val="1A1A1A"/>
                <w:sz w:val="16"/>
              </w:rPr>
              <w:t xml:space="preserve"> (PY) · </w:t>
            </w:r>
            <w:r>
              <w:rPr>
                <w:b/>
                <w:color w:val="1A1A1A"/>
                <w:sz w:val="16"/>
              </w:rPr>
              <w:t>seguro de riesgos laborales (TSS)</w:t>
            </w:r>
            <w:r>
              <w:rPr>
                <w:color w:val="1A1A1A"/>
                <w:sz w:val="16"/>
              </w:rPr>
              <w:t xml:space="preserve"> (DO) · </w:t>
            </w:r>
            <w:r>
              <w:rPr>
                <w:b/>
                <w:color w:val="1A1A1A"/>
                <w:sz w:val="16"/>
              </w:rPr>
              <w:t>Fondo del Seguro del Estado</w:t>
            </w:r>
            <w:r>
              <w:rPr>
                <w:color w:val="1A1A1A"/>
                <w:sz w:val="16"/>
              </w:rPr>
              <w:t xml:space="preserve"> (PR) · </w:t>
            </w:r>
            <w:r>
              <w:rPr>
                <w:b/>
                <w:color w:val="1A1A1A"/>
                <w:sz w:val="16"/>
              </w:rPr>
              <w:t>workers' compensation insurance</w:t>
            </w:r>
            <w:r>
              <w:rPr>
                <w:color w:val="1A1A1A"/>
                <w:sz w:val="16"/>
              </w:rPr>
              <w:t xml:space="preserve"> (US) · </w:t>
            </w:r>
            <w:r>
              <w:rPr>
                <w:b/>
                <w:color w:val="1A1A1A"/>
                <w:sz w:val="16"/>
              </w:rPr>
              <w:t>seguro de riesgos del trabajo de la seguridad social (ISSS, INSS, CSS, IVSS, CNS...)</w:t>
            </w:r>
            <w:r>
              <w:rPr>
                <w:color w:val="1A1A1A"/>
                <w:sz w:val="16"/>
              </w:rPr>
              <w:t xml:space="preserve"> (HN, SV, NI, PA, CU, VE, BO) · Brasil (pt): </w:t>
            </w:r>
            <w:r>
              <w:rPr>
                <w:b/>
                <w:color w:val="1A1A1A"/>
                <w:sz w:val="16"/>
              </w:rPr>
              <w:t>seguro de acidente de trabalho (SAT/INSS)</w:t>
            </w:r>
          </w:p>
        </w:tc>
        <w:tc>
          <w:tcPr>
            <w:tcW w:type="dxa" w:w="2016"/>
          </w:tcPr>
          <w:p>
            <w:pPr>
              <w:spacing w:before="0" w:after="0" w:line="240" w:lineRule="auto"/>
            </w:pPr>
            <w:r>
              <w:rPr>
                <w:color w:val="1A1A1A"/>
                <w:sz w:val="16"/>
              </w:rPr>
              <w:t>ISSS (SV), INSS (NI), CSS (PA), IVSS (VE) y CNS (BO) cubren el riesgo laboral dentro de la propia seguridad social.</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tcPr>
          <w:p>
            <w:pPr>
              <w:spacing w:before="0" w:after="0" w:line="240" w:lineRule="auto"/>
            </w:pPr>
            <w:r>
              <w:rPr>
                <w:color w:val="1A1A1A"/>
                <w:sz w:val="16"/>
              </w:rPr>
              <w:t>En CL se habla de «emprender»; en CO y VE «montar» es muy natural.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barrica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barrica</w:t>
            </w:r>
          </w:p>
        </w:tc>
        <w:tc>
          <w:tcPr>
            <w:tcW w:type="dxa" w:w="2016"/>
          </w:tcPr>
          <w:p>
            <w:pPr>
              <w:spacing w:before="0" w:after="0" w:line="240" w:lineRule="auto"/>
            </w:pPr>
            <w:r>
              <w:rPr>
                <w:color w:val="1A1A1A"/>
                <w:sz w:val="16"/>
              </w:rPr>
              <w:t>Para cerveza se dice «barril»; «tonel» es una barrica muy grande.</w:t>
            </w:r>
          </w:p>
        </w:tc>
      </w:tr>
      <w:tr>
        <w:trPr>
          <w:cantSplit/>
        </w:trPr>
        <w:tc>
          <w:tcPr>
            <w:tcW w:type="dxa" w:w="2016"/>
            <w:shd w:val="clear" w:color="auto" w:fill="F3EBD8"/>
          </w:tcPr>
          <w:p>
            <w:pPr>
              <w:spacing w:before="0" w:after="0" w:line="240" w:lineRule="auto"/>
            </w:pPr>
            <w:r>
              <w:rPr>
                <w:b/>
                <w:color w:val="1A1A1A"/>
                <w:sz w:val="16"/>
              </w:rPr>
              <w:t>cubitera</w:t>
            </w:r>
          </w:p>
        </w:tc>
        <w:tc>
          <w:tcPr>
            <w:tcW w:type="dxa" w:w="5040"/>
            <w:shd w:val="clear" w:color="auto" w:fill="FAF7F0"/>
          </w:tcPr>
          <w:p>
            <w:pPr>
              <w:spacing w:before="0" w:after="0" w:line="240" w:lineRule="auto"/>
            </w:pPr>
            <w:r>
              <w:rPr>
                <w:b/>
                <w:color w:val="1A1A1A"/>
                <w:sz w:val="16"/>
              </w:rPr>
              <w:t>hielera</w:t>
            </w:r>
            <w:r>
              <w:rPr>
                <w:color w:val="1A1A1A"/>
                <w:sz w:val="16"/>
              </w:rPr>
              <w:t xml:space="preserve"> (MX, GT, HN, SV, NI, CR, PA, CU, DO, PR, CO, VE, EC, PE, BO, US) · </w:t>
            </w:r>
            <w:r>
              <w:rPr>
                <w:b/>
                <w:color w:val="1A1A1A"/>
                <w:sz w:val="16"/>
              </w:rPr>
              <w:t>frapera</w:t>
            </w:r>
            <w:r>
              <w:rPr>
                <w:color w:val="1A1A1A"/>
                <w:sz w:val="16"/>
              </w:rPr>
              <w:t xml:space="preserve"> (CL, AR, UY, PY) · Brasil (pt): </w:t>
            </w:r>
            <w:r>
              <w:rPr>
                <w:b/>
                <w:color w:val="1A1A1A"/>
                <w:sz w:val="16"/>
              </w:rPr>
              <w:t>balde de gelo</w:t>
            </w:r>
          </w:p>
        </w:tc>
        <w:tc>
          <w:tcPr>
            <w:tcW w:type="dxa" w:w="2016"/>
            <w:shd w:val="clear" w:color="auto" w:fill="FAF7F0"/>
          </w:tcPr>
          <w:p>
            <w:pPr>
              <w:spacing w:before="0" w:after="0" w:line="240" w:lineRule="auto"/>
            </w:pPr>
            <w:r>
              <w:rPr>
                <w:color w:val="1A1A1A"/>
                <w:sz w:val="16"/>
              </w:rPr>
              <w:t>La bandeja de cubitos se llama «cubetera» o «charola para hielo»; «cubitera» es el cubo.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Gastronómico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Gastronómico</dc:title>
  <dc:subject>Vocabulario, impuestos, sanidad, normas laborales y unidades de 20 países para adaptar tu producto</dc:subject>
  <dc:creator>AI Chef Pro</dc:creator>
  <cp:keywords>equivalencias, hostelería, vocabulario, Hispanoamérica, Guía Restaurante Gastronómico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