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Marisquería · España ↔ Hispanoamérica, EE. UU. y Brasil</w:t>
      </w:r>
    </w:p>
    <w:p>
      <w:pPr>
        <w:spacing w:before="120"/>
        <w:jc w:val="center"/>
      </w:pPr>
      <w:r>
        <w:rPr>
          <w:rFonts w:ascii="Calibri" w:hAnsi="Calibri"/>
          <w:b/>
          <w:color w:val="1A1A1A"/>
          <w:sz w:val="24"/>
        </w:rPr>
        <w:t>Incluida con tu Kit de Tareas Marisquería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Marisquería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mejillones</w:t>
            </w:r>
          </w:p>
        </w:tc>
        <w:tc>
          <w:tcPr>
            <w:tcW w:type="dxa" w:w="5040"/>
          </w:tcPr>
          <w:p>
            <w:pPr>
              <w:spacing w:before="0" w:after="0" w:line="240" w:lineRule="auto"/>
            </w:pPr>
            <w:r>
              <w:rPr>
                <w:b/>
                <w:color w:val="1A1A1A"/>
                <w:sz w:val="16"/>
              </w:rPr>
              <w:t>choritos</w:t>
            </w:r>
            <w:r>
              <w:rPr>
                <w:color w:val="1A1A1A"/>
                <w:sz w:val="16"/>
              </w:rPr>
              <w:t xml:space="preserve"> (PE, CL) · Igual que en España: MX, GT, HN, SV, NI, CR, PA, CU, DO, PR, CO, VE, EC, BO, AR, UY, PY, US · Brasil (pt): </w:t>
            </w:r>
            <w:r>
              <w:rPr>
                <w:b/>
                <w:color w:val="1A1A1A"/>
                <w:sz w:val="16"/>
              </w:rPr>
              <w:t>mexilhões</w:t>
            </w:r>
          </w:p>
        </w:tc>
        <w:tc>
          <w:tcPr>
            <w:tcW w:type="dxa" w:w="2016"/>
          </w:tcPr>
          <w:p>
            <w:pPr>
              <w:spacing w:before="0" w:after="0" w:line="240" w:lineRule="auto"/>
            </w:pPr>
            <w:r>
              <w:rPr>
                <w:color w:val="1A1A1A"/>
                <w:sz w:val="16"/>
              </w:rPr>
              <w:t>En CL «choritos» son mejillones; «mejillón» se ve en menús para turistas.</w:t>
            </w:r>
          </w:p>
        </w:tc>
      </w:tr>
      <w:tr>
        <w:trPr>
          <w:cantSplit/>
        </w:trPr>
        <w:tc>
          <w:tcPr>
            <w:tcW w:type="dxa" w:w="2016"/>
            <w:shd w:val="clear" w:color="auto" w:fill="F3EBD8"/>
          </w:tcPr>
          <w:p>
            <w:pPr>
              <w:spacing w:before="0" w:after="0" w:line="240" w:lineRule="auto"/>
            </w:pPr>
            <w:r>
              <w:rPr>
                <w:b/>
                <w:color w:val="1A1A1A"/>
                <w:sz w:val="16"/>
              </w:rPr>
              <w:t>pincho, pinchos</w:t>
            </w:r>
          </w:p>
        </w:tc>
        <w:tc>
          <w:tcPr>
            <w:tcW w:type="dxa" w:w="5040"/>
            <w:shd w:val="clear" w:color="auto" w:fill="FAF7F0"/>
          </w:tcPr>
          <w:p>
            <w:pPr>
              <w:spacing w:before="0" w:after="0" w:line="240" w:lineRule="auto"/>
            </w:pPr>
            <w:r>
              <w:rPr>
                <w:b/>
                <w:color w:val="1A1A1A"/>
                <w:sz w:val="16"/>
              </w:rPr>
              <w:t>botana</w:t>
            </w:r>
            <w:r>
              <w:rPr>
                <w:color w:val="1A1A1A"/>
                <w:sz w:val="16"/>
              </w:rPr>
              <w:t xml:space="preserve"> (MX) · </w:t>
            </w:r>
            <w:r>
              <w:rPr>
                <w:b/>
                <w:color w:val="1A1A1A"/>
                <w:sz w:val="16"/>
              </w:rPr>
              <w:t>boquitas, bocas</w:t>
            </w:r>
            <w:r>
              <w:rPr>
                <w:color w:val="1A1A1A"/>
                <w:sz w:val="16"/>
              </w:rPr>
              <w:t xml:space="preserve"> (GT, HN, SV, NI, CR) · </w:t>
            </w:r>
            <w:r>
              <w:rPr>
                <w:b/>
                <w:color w:val="1A1A1A"/>
                <w:sz w:val="16"/>
              </w:rPr>
              <w:t>pasabocas</w:t>
            </w:r>
            <w:r>
              <w:rPr>
                <w:color w:val="1A1A1A"/>
                <w:sz w:val="16"/>
              </w:rPr>
              <w:t xml:space="preserve"> (CO) · </w:t>
            </w:r>
            <w:r>
              <w:rPr>
                <w:b/>
                <w:color w:val="1A1A1A"/>
                <w:sz w:val="16"/>
              </w:rPr>
              <w:t>pasapalos</w:t>
            </w:r>
            <w:r>
              <w:rPr>
                <w:color w:val="1A1A1A"/>
                <w:sz w:val="16"/>
              </w:rPr>
              <w:t xml:space="preserve"> (VE) · </w:t>
            </w:r>
            <w:r>
              <w:rPr>
                <w:b/>
                <w:color w:val="1A1A1A"/>
                <w:sz w:val="16"/>
              </w:rPr>
              <w:t>piqueo</w:t>
            </w:r>
            <w:r>
              <w:rPr>
                <w:color w:val="1A1A1A"/>
                <w:sz w:val="16"/>
              </w:rPr>
              <w:t xml:space="preserve"> (PE) · </w:t>
            </w:r>
            <w:r>
              <w:rPr>
                <w:b/>
                <w:color w:val="1A1A1A"/>
                <w:sz w:val="16"/>
              </w:rPr>
              <w:t>picada / copetín</w:t>
            </w:r>
            <w:r>
              <w:rPr>
                <w:color w:val="1A1A1A"/>
                <w:sz w:val="16"/>
              </w:rPr>
              <w:t xml:space="preserve"> (BO, CL, AR, UY, PY) · Igual que en España: PA, CU, DO, PR, EC, US · Brasil (pt): </w:t>
            </w:r>
            <w:r>
              <w:rPr>
                <w:b/>
                <w:color w:val="1A1A1A"/>
                <w:sz w:val="16"/>
              </w:rPr>
              <w:t>petisco / tira-gosto</w:t>
            </w:r>
          </w:p>
        </w:tc>
        <w:tc>
          <w:tcPr>
            <w:tcW w:type="dxa" w:w="2016"/>
            <w:shd w:val="clear" w:color="auto" w:fill="FAF7F0"/>
          </w:tcPr>
          <w:p>
            <w:pPr>
              <w:spacing w:before="0" w:after="0" w:line="240" w:lineRule="auto"/>
            </w:pPr>
            <w:r>
              <w:rPr>
                <w:color w:val="1A1A1A"/>
                <w:sz w:val="16"/>
              </w:rPr>
              <w:t>Falso amigo: «pincho» en MX o CO es un brochette. «Tapas» a secas se entiende solo en cartas españolas.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chiringuito</w:t>
            </w:r>
          </w:p>
        </w:tc>
        <w:tc>
          <w:tcPr>
            <w:tcW w:type="dxa" w:w="5040"/>
          </w:tcPr>
          <w:p>
            <w:pPr>
              <w:spacing w:before="0" w:after="0" w:line="240" w:lineRule="auto"/>
            </w:pPr>
            <w:r>
              <w:rPr>
                <w:b/>
                <w:color w:val="1A1A1A"/>
                <w:sz w:val="16"/>
              </w:rPr>
              <w:t>palapa</w:t>
            </w:r>
            <w:r>
              <w:rPr>
                <w:color w:val="1A1A1A"/>
                <w:sz w:val="16"/>
              </w:rPr>
              <w:t xml:space="preserve"> (MX) · </w:t>
            </w:r>
            <w:r>
              <w:rPr>
                <w:b/>
                <w:color w:val="1A1A1A"/>
                <w:sz w:val="16"/>
              </w:rPr>
              <w:t>parador</w:t>
            </w:r>
            <w:r>
              <w:rPr>
                <w:color w:val="1A1A1A"/>
                <w:sz w:val="16"/>
              </w:rPr>
              <w:t xml:space="preserve"> (AR, UY) · </w:t>
            </w:r>
            <w:r>
              <w:rPr>
                <w:b/>
                <w:color w:val="1A1A1A"/>
                <w:sz w:val="16"/>
              </w:rPr>
              <w:t>chinchorro</w:t>
            </w:r>
            <w:r>
              <w:rPr>
                <w:color w:val="1A1A1A"/>
                <w:sz w:val="16"/>
              </w:rPr>
              <w:t xml:space="preserve"> (DO, PR) · </w:t>
            </w:r>
            <w:r>
              <w:rPr>
                <w:b/>
                <w:color w:val="1A1A1A"/>
                <w:sz w:val="16"/>
              </w:rPr>
              <w:t>quiosco / kiosko</w:t>
            </w:r>
            <w:r>
              <w:rPr>
                <w:color w:val="1A1A1A"/>
                <w:sz w:val="16"/>
              </w:rPr>
              <w:t xml:space="preserve"> (GT, HN, SV, NI, CR, PA, CU, CO, VE, EC, CL) · Igual que en España: PE, BO, PY, US · Brasil (pt): </w:t>
            </w:r>
            <w:r>
              <w:rPr>
                <w:b/>
                <w:color w:val="1A1A1A"/>
                <w:sz w:val="16"/>
              </w:rPr>
              <w:t>quiosque de praia / barraca</w:t>
            </w:r>
          </w:p>
        </w:tc>
        <w:tc>
          <w:tcPr>
            <w:tcW w:type="dxa" w:w="2016"/>
          </w:tcPr>
          <w:p>
            <w:pPr>
              <w:spacing w:before="0" w:after="0" w:line="240" w:lineRule="auto"/>
            </w:pPr>
            <w:r>
              <w:rPr>
                <w:color w:val="1A1A1A"/>
                <w:sz w:val="16"/>
              </w:rPr>
              <w:t>Se conoce el término chiringuito en MX (5.400/mes) pero el local de playa se pide «palapa».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Marisquería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Marisquería</dc:title>
  <dc:subject>Vocabulario, impuestos, sanidad, normas laborales y unidades de 20 países para adaptar tu producto</dc:subject>
  <dc:creator>AI Chef Pro</dc:creator>
  <cp:keywords>equivalencias, hostelería, vocabulario, Hispanoamérica, Kit de Tareas Marisquería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