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Coctelería de Eventos · España ↔ Hispanoamérica, EE. UU. y Brasil</w:t>
      </w:r>
    </w:p>
    <w:p>
      <w:pPr>
        <w:spacing w:before="120"/>
        <w:jc w:val="center"/>
      </w:pPr>
      <w:r>
        <w:rPr>
          <w:rFonts w:ascii="Calibri" w:hAnsi="Calibri"/>
          <w:b/>
          <w:color w:val="1A1A1A"/>
          <w:sz w:val="24"/>
        </w:rPr>
        <w:t>Incluida con tu Plan de Negocio Coctelería de Eventos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Coctelería de Eventos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shd w:val="clear" w:color="auto" w:fill="FAF7F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shd w:val="clear" w:color="auto" w:fill="FAF7F0"/>
          </w:tcPr>
          <w:p>
            <w:pPr>
              <w:spacing w:before="0" w:after="0" w:line="240" w:lineRule="auto"/>
            </w:pPr>
            <w:r>
              <w:rPr>
                <w:color w:val="1A1A1A"/>
                <w:sz w:val="16"/>
              </w:rPr>
              <w:t>Falso amigo grave: «pimentón» en CO, VE y CL es el pimiento (hortaliza); el polvo se pide «paprika».</w:t>
            </w:r>
          </w:p>
        </w:tc>
      </w:tr>
      <w:tr>
        <w:trPr>
          <w:cantSplit/>
        </w:trPr>
        <w:tc>
          <w:tcPr>
            <w:tcW w:type="dxa" w:w="2016"/>
            <w:shd w:val="clear" w:color="auto" w:fill="F3EBD8"/>
          </w:tcPr>
          <w:p>
            <w:pPr>
              <w:spacing w:before="0" w:after="0" w:line="240" w:lineRule="auto"/>
            </w:pPr>
            <w:r>
              <w:rPr>
                <w:b/>
                <w:color w:val="1A1A1A"/>
                <w:sz w:val="16"/>
              </w:rPr>
              <w:t>pincho, pinchos</w:t>
            </w:r>
          </w:p>
        </w:tc>
        <w:tc>
          <w:tcPr>
            <w:tcW w:type="dxa" w:w="5040"/>
          </w:tcPr>
          <w:p>
            <w:pPr>
              <w:spacing w:before="0" w:after="0" w:line="240" w:lineRule="auto"/>
            </w:pPr>
            <w:r>
              <w:rPr>
                <w:b/>
                <w:color w:val="1A1A1A"/>
                <w:sz w:val="16"/>
              </w:rPr>
              <w:t>botana</w:t>
            </w:r>
            <w:r>
              <w:rPr>
                <w:color w:val="1A1A1A"/>
                <w:sz w:val="16"/>
              </w:rPr>
              <w:t xml:space="preserve"> (MX) · </w:t>
            </w:r>
            <w:r>
              <w:rPr>
                <w:b/>
                <w:color w:val="1A1A1A"/>
                <w:sz w:val="16"/>
              </w:rPr>
              <w:t>boquitas, bocas</w:t>
            </w:r>
            <w:r>
              <w:rPr>
                <w:color w:val="1A1A1A"/>
                <w:sz w:val="16"/>
              </w:rPr>
              <w:t xml:space="preserve"> (GT, HN, SV, NI, CR) · </w:t>
            </w:r>
            <w:r>
              <w:rPr>
                <w:b/>
                <w:color w:val="1A1A1A"/>
                <w:sz w:val="16"/>
              </w:rPr>
              <w:t>pasabocas</w:t>
            </w:r>
            <w:r>
              <w:rPr>
                <w:color w:val="1A1A1A"/>
                <w:sz w:val="16"/>
              </w:rPr>
              <w:t xml:space="preserve"> (CO) · </w:t>
            </w:r>
            <w:r>
              <w:rPr>
                <w:b/>
                <w:color w:val="1A1A1A"/>
                <w:sz w:val="16"/>
              </w:rPr>
              <w:t>pasapalos</w:t>
            </w:r>
            <w:r>
              <w:rPr>
                <w:color w:val="1A1A1A"/>
                <w:sz w:val="16"/>
              </w:rPr>
              <w:t xml:space="preserve"> (VE) · </w:t>
            </w:r>
            <w:r>
              <w:rPr>
                <w:b/>
                <w:color w:val="1A1A1A"/>
                <w:sz w:val="16"/>
              </w:rPr>
              <w:t>piqueo</w:t>
            </w:r>
            <w:r>
              <w:rPr>
                <w:color w:val="1A1A1A"/>
                <w:sz w:val="16"/>
              </w:rPr>
              <w:t xml:space="preserve"> (PE) · </w:t>
            </w:r>
            <w:r>
              <w:rPr>
                <w:b/>
                <w:color w:val="1A1A1A"/>
                <w:sz w:val="16"/>
              </w:rPr>
              <w:t>picada / copetín</w:t>
            </w:r>
            <w:r>
              <w:rPr>
                <w:color w:val="1A1A1A"/>
                <w:sz w:val="16"/>
              </w:rPr>
              <w:t xml:space="preserve"> (BO, CL, AR, UY, PY) · Igual que en España: PA, CU, DO, PR, EC, US · Brasil (pt): </w:t>
            </w:r>
            <w:r>
              <w:rPr>
                <w:b/>
                <w:color w:val="1A1A1A"/>
                <w:sz w:val="16"/>
              </w:rPr>
              <w:t>petisco / tira-gosto</w:t>
            </w:r>
          </w:p>
        </w:tc>
        <w:tc>
          <w:tcPr>
            <w:tcW w:type="dxa" w:w="2016"/>
          </w:tcPr>
          <w:p>
            <w:pPr>
              <w:spacing w:before="0" w:after="0" w:line="240" w:lineRule="auto"/>
            </w:pPr>
            <w:r>
              <w:rPr>
                <w:color w:val="1A1A1A"/>
                <w:sz w:val="16"/>
              </w:rPr>
              <w:t>Falso amigo: «pincho» en MX o CO es un brochette. «Tapas» a secas se entiende solo en cartas españolas.</w:t>
            </w:r>
          </w:p>
        </w:tc>
      </w:tr>
      <w:tr>
        <w:trPr>
          <w:cantSplit/>
        </w:trPr>
        <w:tc>
          <w:tcPr>
            <w:tcW w:type="dxa" w:w="2016"/>
            <w:shd w:val="clear" w:color="auto" w:fill="F3EBD8"/>
          </w:tcPr>
          <w:p>
            <w:pPr>
              <w:spacing w:before="0" w:after="0" w:line="240" w:lineRule="auto"/>
            </w:pPr>
            <w:r>
              <w:rPr>
                <w:b/>
                <w:color w:val="1A1A1A"/>
                <w:sz w:val="16"/>
              </w:rPr>
              <w:t>azúcar moreno</w:t>
            </w:r>
          </w:p>
        </w:tc>
        <w:tc>
          <w:tcPr>
            <w:tcW w:type="dxa" w:w="5040"/>
            <w:shd w:val="clear" w:color="auto" w:fill="FAF7F0"/>
          </w:tcPr>
          <w:p>
            <w:pPr>
              <w:spacing w:before="0" w:after="0" w:line="240" w:lineRule="auto"/>
            </w:pPr>
            <w:r>
              <w:rPr>
                <w:b/>
                <w:color w:val="1A1A1A"/>
                <w:sz w:val="16"/>
              </w:rPr>
              <w:t>azúcar morena</w:t>
            </w:r>
            <w:r>
              <w:rPr>
                <w:color w:val="1A1A1A"/>
                <w:sz w:val="16"/>
              </w:rPr>
              <w:t xml:space="preserve"> (MX, GT, HN, SV, NI, CR, PA, CU, DO, PR, CO, VE, EC, US) · </w:t>
            </w:r>
            <w:r>
              <w:rPr>
                <w:b/>
                <w:color w:val="1A1A1A"/>
                <w:sz w:val="16"/>
              </w:rPr>
              <w:t>azúcar rubia</w:t>
            </w:r>
            <w:r>
              <w:rPr>
                <w:color w:val="1A1A1A"/>
                <w:sz w:val="16"/>
              </w:rPr>
              <w:t xml:space="preserve"> (PE, BO, CL) · </w:t>
            </w:r>
            <w:r>
              <w:rPr>
                <w:b/>
                <w:color w:val="1A1A1A"/>
                <w:sz w:val="16"/>
              </w:rPr>
              <w:t>azúcar mascabo / mascabada</w:t>
            </w:r>
            <w:r>
              <w:rPr>
                <w:color w:val="1A1A1A"/>
                <w:sz w:val="16"/>
              </w:rPr>
              <w:t xml:space="preserve"> (MX, AR, UY, PY) · Brasil (pt): </w:t>
            </w:r>
            <w:r>
              <w:rPr>
                <w:b/>
                <w:color w:val="1A1A1A"/>
                <w:sz w:val="16"/>
              </w:rPr>
              <w:t>açúcar mascavo</w:t>
            </w:r>
          </w:p>
        </w:tc>
        <w:tc>
          <w:tcPr>
            <w:tcW w:type="dxa" w:w="2016"/>
            <w:shd w:val="clear" w:color="auto" w:fill="FAF7F0"/>
          </w:tcPr>
          <w:p>
            <w:pPr>
              <w:spacing w:before="0" w:after="0" w:line="240" w:lineRule="auto"/>
            </w:pPr>
            <w:r>
              <w:rPr>
                <w:color w:val="1A1A1A"/>
                <w:sz w:val="16"/>
              </w:rPr>
              <w:t>En MX conviven «morena» y «mascabado». Panela, piloncillo, chancaca y papelón son azúcar de caña sin refinar, de otro sabor.</w:t>
            </w:r>
          </w:p>
        </w:tc>
      </w:tr>
      <w:tr>
        <w:trPr>
          <w:cantSplit/>
        </w:trPr>
        <w:tc>
          <w:tcPr>
            <w:tcW w:type="dxa" w:w="2016"/>
            <w:shd w:val="clear" w:color="auto" w:fill="F3EBD8"/>
          </w:tcPr>
          <w:p>
            <w:pPr>
              <w:spacing w:before="0" w:after="0" w:line="240" w:lineRule="auto"/>
            </w:pPr>
            <w:r>
              <w:rPr>
                <w:b/>
                <w:color w:val="1A1A1A"/>
                <w:sz w:val="16"/>
              </w:rPr>
              <w:t>caña</w:t>
            </w:r>
          </w:p>
        </w:tc>
        <w:tc>
          <w:tcPr>
            <w:tcW w:type="dxa" w:w="504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shd w:val="clear" w:color="auto" w:fill="FAF7F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shd w:val="clear" w:color="auto" w:fill="FAF7F0"/>
          </w:tcPr>
          <w:p>
            <w:pPr>
              <w:spacing w:before="0" w:after="0" w:line="240" w:lineRule="auto"/>
            </w:pPr>
            <w:r>
              <w:rPr>
                <w:color w:val="1A1A1A"/>
                <w:sz w:val="16"/>
              </w:rPr>
              <w:t>«Cubata» no se entiende fuera de ES; pedir por nombre (ron cola, whisky cola).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IVA</w:t>
            </w:r>
          </w:p>
        </w:tc>
        <w:tc>
          <w:tcPr>
            <w:tcW w:type="dxa" w:w="5040"/>
            <w:shd w:val="clear" w:color="auto" w:fill="FAF7F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shd w:val="clear" w:color="auto" w:fill="FAF7F0"/>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encimera</w:t>
            </w:r>
          </w:p>
        </w:tc>
        <w:tc>
          <w:tcPr>
            <w:tcW w:type="dxa" w:w="5040"/>
          </w:tcPr>
          <w:p>
            <w:pPr>
              <w:spacing w:before="0" w:after="0" w:line="240" w:lineRule="auto"/>
            </w:pPr>
            <w:r>
              <w:rPr>
                <w:b/>
                <w:color w:val="1A1A1A"/>
                <w:sz w:val="16"/>
              </w:rPr>
              <w:t>mesada</w:t>
            </w:r>
            <w:r>
              <w:rPr>
                <w:color w:val="1A1A1A"/>
                <w:sz w:val="16"/>
              </w:rPr>
              <w:t xml:space="preserve"> (AR, UY, PY) · </w:t>
            </w:r>
            <w:r>
              <w:rPr>
                <w:b/>
                <w:color w:val="1A1A1A"/>
                <w:sz w:val="16"/>
              </w:rPr>
              <w:t>mesón</w:t>
            </w:r>
            <w:r>
              <w:rPr>
                <w:color w:val="1A1A1A"/>
                <w:sz w:val="16"/>
              </w:rPr>
              <w:t xml:space="preserve"> (NI, CR, PA, CO, VE, EC, PE, BO, CL) · </w:t>
            </w:r>
            <w:r>
              <w:rPr>
                <w:b/>
                <w:color w:val="1A1A1A"/>
                <w:sz w:val="16"/>
              </w:rPr>
              <w:t>cubierta, encimera</w:t>
            </w:r>
            <w:r>
              <w:rPr>
                <w:color w:val="1A1A1A"/>
                <w:sz w:val="16"/>
              </w:rPr>
              <w:t xml:space="preserve"> (MX, GT, HN, SV) · </w:t>
            </w:r>
            <w:r>
              <w:rPr>
                <w:b/>
                <w:color w:val="1A1A1A"/>
                <w:sz w:val="16"/>
              </w:rPr>
              <w:t>countertop, mesón de trabajo</w:t>
            </w:r>
            <w:r>
              <w:rPr>
                <w:color w:val="1A1A1A"/>
                <w:sz w:val="16"/>
              </w:rPr>
              <w:t xml:space="preserve"> (US) · </w:t>
            </w:r>
            <w:r>
              <w:rPr>
                <w:b/>
                <w:color w:val="1A1A1A"/>
                <w:sz w:val="16"/>
              </w:rPr>
              <w:t>mesón, encimera</w:t>
            </w:r>
            <w:r>
              <w:rPr>
                <w:color w:val="1A1A1A"/>
                <w:sz w:val="16"/>
              </w:rPr>
              <w:t xml:space="preserve"> (CU, DO, PR) · Brasil (pt): </w:t>
            </w:r>
            <w:r>
              <w:rPr>
                <w:b/>
                <w:color w:val="1A1A1A"/>
                <w:sz w:val="16"/>
              </w:rPr>
              <w:t>bancada, bancada de trabalho</w:t>
            </w:r>
          </w:p>
        </w:tc>
        <w:tc>
          <w:tcPr>
            <w:tcW w:type="dxa" w:w="2016"/>
          </w:tcPr>
          <w:p>
            <w:pPr>
              <w:spacing w:before="0" w:after="0" w:line="240" w:lineRule="auto"/>
            </w:pPr>
            <w:r>
              <w:rPr>
                <w:color w:val="1A1A1A"/>
                <w:sz w:val="16"/>
              </w:rPr>
              <w:t>En MX «mesón» y «encimera» son la cubierta de la cocina; en el Río de la Plata es «mesada» y la pileta, «bacha».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shd w:val="clear" w:color="auto" w:fill="FAF7F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shd w:val="clear" w:color="auto" w:fill="FAF7F0"/>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pajita</w:t>
            </w:r>
          </w:p>
        </w:tc>
        <w:tc>
          <w:tcPr>
            <w:tcW w:type="dxa" w:w="504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tcPr>
          <w:p>
            <w:pPr>
              <w:spacing w:before="0" w:after="0" w:line="240" w:lineRule="auto"/>
            </w:pPr>
            <w:r>
              <w:rPr>
                <w:color w:val="1A1A1A"/>
                <w:sz w:val="16"/>
              </w:rPr>
              <w:t>En US se oye «straw»; «bombilla» en AR/UY/PY es la caña del mate, no la pajita.</w:t>
            </w:r>
          </w:p>
        </w:tc>
      </w:tr>
      <w:tr>
        <w:trPr>
          <w:cantSplit/>
        </w:trPr>
        <w:tc>
          <w:tcPr>
            <w:tcW w:type="dxa" w:w="2016"/>
            <w:shd w:val="clear" w:color="auto" w:fill="F3EBD8"/>
          </w:tcPr>
          <w:p>
            <w:pPr>
              <w:spacing w:before="0" w:after="0" w:line="240" w:lineRule="auto"/>
            </w:pPr>
            <w:r>
              <w:rPr>
                <w:b/>
                <w:color w:val="1A1A1A"/>
                <w:sz w:val="16"/>
              </w:rPr>
              <w:t>barrica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barrica</w:t>
            </w:r>
          </w:p>
        </w:tc>
        <w:tc>
          <w:tcPr>
            <w:tcW w:type="dxa" w:w="2016"/>
            <w:shd w:val="clear" w:color="auto" w:fill="FAF7F0"/>
          </w:tcPr>
          <w:p>
            <w:pPr>
              <w:spacing w:before="0" w:after="0" w:line="240" w:lineRule="auto"/>
            </w:pPr>
            <w:r>
              <w:rPr>
                <w:color w:val="1A1A1A"/>
                <w:sz w:val="16"/>
              </w:rPr>
              <w:t>Para cerveza se dice «barril»; «tonel» es una barrica muy grande.</w:t>
            </w:r>
          </w:p>
        </w:tc>
      </w:tr>
      <w:tr>
        <w:trPr>
          <w:cantSplit/>
        </w:trPr>
        <w:tc>
          <w:tcPr>
            <w:tcW w:type="dxa" w:w="2016"/>
            <w:shd w:val="clear" w:color="auto" w:fill="F3EBD8"/>
          </w:tcPr>
          <w:p>
            <w:pPr>
              <w:spacing w:before="0" w:after="0" w:line="240" w:lineRule="auto"/>
            </w:pPr>
            <w:r>
              <w:rPr>
                <w:b/>
                <w:color w:val="1A1A1A"/>
                <w:sz w:val="16"/>
              </w:rPr>
              <w:t>cubitera</w:t>
            </w:r>
          </w:p>
        </w:tc>
        <w:tc>
          <w:tcPr>
            <w:tcW w:type="dxa" w:w="5040"/>
          </w:tcPr>
          <w:p>
            <w:pPr>
              <w:spacing w:before="0" w:after="0" w:line="240" w:lineRule="auto"/>
            </w:pPr>
            <w:r>
              <w:rPr>
                <w:b/>
                <w:color w:val="1A1A1A"/>
                <w:sz w:val="16"/>
              </w:rPr>
              <w:t>hielera</w:t>
            </w:r>
            <w:r>
              <w:rPr>
                <w:color w:val="1A1A1A"/>
                <w:sz w:val="16"/>
              </w:rPr>
              <w:t xml:space="preserve"> (MX, GT, HN, SV, NI, CR, PA, CU, DO, PR, CO, VE, EC, PE, BO, US) · </w:t>
            </w:r>
            <w:r>
              <w:rPr>
                <w:b/>
                <w:color w:val="1A1A1A"/>
                <w:sz w:val="16"/>
              </w:rPr>
              <w:t>frapera</w:t>
            </w:r>
            <w:r>
              <w:rPr>
                <w:color w:val="1A1A1A"/>
                <w:sz w:val="16"/>
              </w:rPr>
              <w:t xml:space="preserve"> (CL, AR, UY, PY) · Brasil (pt): </w:t>
            </w:r>
            <w:r>
              <w:rPr>
                <w:b/>
                <w:color w:val="1A1A1A"/>
                <w:sz w:val="16"/>
              </w:rPr>
              <w:t>balde de gelo</w:t>
            </w:r>
          </w:p>
        </w:tc>
        <w:tc>
          <w:tcPr>
            <w:tcW w:type="dxa" w:w="2016"/>
          </w:tcPr>
          <w:p>
            <w:pPr>
              <w:spacing w:before="0" w:after="0" w:line="240" w:lineRule="auto"/>
            </w:pPr>
            <w:r>
              <w:rPr>
                <w:color w:val="1A1A1A"/>
                <w:sz w:val="16"/>
              </w:rPr>
              <w:t>La bandeja de cubitos se llama «cubetera» o «charola para hielo»; «cubitera» es el cubo.</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Coctelería de Eventos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Coctelería de Eventos</dc:title>
  <dc:subject>Vocabulario, impuestos, sanidad, normas laborales y unidades de 20 países para adaptar tu producto</dc:subject>
  <dc:creator>AI Chef Pro</dc:creator>
  <cp:keywords>equivalencias, hostelería, vocabulario, Hispanoamérica, Plan de Negocio Coctelería de Eventos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