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Paellero / Paella Eventos · España ↔ Hispanoamérica, EE. UU. y Brasil</w:t>
      </w:r>
    </w:p>
    <w:p>
      <w:pPr>
        <w:spacing w:before="120"/>
        <w:jc w:val="center"/>
      </w:pPr>
      <w:r>
        <w:rPr>
          <w:rFonts w:ascii="Calibri" w:hAnsi="Calibri"/>
          <w:b/>
          <w:color w:val="1A1A1A"/>
          <w:sz w:val="24"/>
        </w:rPr>
        <w:t>Incluida con tu Plan de Negocio Paellero / Paella Eventos</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Paellero / Paella Eventos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pimentón</w:t>
            </w:r>
          </w:p>
        </w:tc>
        <w:tc>
          <w:tcPr>
            <w:tcW w:type="dxa" w:w="5040"/>
          </w:tcPr>
          <w:p>
            <w:pPr>
              <w:spacing w:before="0" w:after="0" w:line="240" w:lineRule="auto"/>
            </w:pPr>
            <w:r>
              <w:rPr>
                <w:b/>
                <w:color w:val="1A1A1A"/>
                <w:sz w:val="16"/>
              </w:rPr>
              <w:t>paprika</w:t>
            </w:r>
            <w:r>
              <w:rPr>
                <w:color w:val="1A1A1A"/>
                <w:sz w:val="16"/>
              </w:rPr>
              <w:t xml:space="preserve"> (CO, VE, PE, CL, US) · Igual que en España: MX, GT, HN, SV, NI, CR, PA, CU, DO, PR, EC, BO, AR, UY, PY · Brasil (pt): </w:t>
            </w:r>
            <w:r>
              <w:rPr>
                <w:b/>
                <w:color w:val="1A1A1A"/>
                <w:sz w:val="16"/>
              </w:rPr>
              <w:t>páprica</w:t>
            </w:r>
          </w:p>
        </w:tc>
        <w:tc>
          <w:tcPr>
            <w:tcW w:type="dxa" w:w="2016"/>
          </w:tcPr>
          <w:p>
            <w:pPr>
              <w:spacing w:before="0" w:after="0" w:line="240" w:lineRule="auto"/>
            </w:pPr>
            <w:r>
              <w:rPr>
                <w:color w:val="1A1A1A"/>
                <w:sz w:val="16"/>
              </w:rPr>
              <w:t>Falso amigo grave: «pimentón» en CO, VE y CL es el pimiento (hortaliza); el polvo se pide «paprika».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cava</w:t>
            </w:r>
          </w:p>
        </w:tc>
        <w:tc>
          <w:tcPr>
            <w:tcW w:type="dxa" w:w="5040"/>
          </w:tcPr>
          <w:p>
            <w:pPr>
              <w:spacing w:before="0" w:after="0" w:line="240" w:lineRule="auto"/>
            </w:pPr>
            <w:r>
              <w:rPr>
                <w:b/>
                <w:color w:val="1A1A1A"/>
                <w:sz w:val="16"/>
              </w:rPr>
              <w:t>espumante</w:t>
            </w:r>
            <w:r>
              <w:rPr>
                <w:color w:val="1A1A1A"/>
                <w:sz w:val="16"/>
              </w:rPr>
              <w:t xml:space="preserve"> (PE, BO, CL, AR, UY, PY) · </w:t>
            </w:r>
            <w:r>
              <w:rPr>
                <w:b/>
                <w:color w:val="1A1A1A"/>
                <w:sz w:val="16"/>
              </w:rPr>
              <w:t>vino espumoso</w:t>
            </w:r>
            <w:r>
              <w:rPr>
                <w:color w:val="1A1A1A"/>
                <w:sz w:val="16"/>
              </w:rPr>
              <w:t xml:space="preserve"> (MX, GT, HN, SV, NI, CR, PA, CO, EC, US) · </w:t>
            </w:r>
            <w:r>
              <w:rPr>
                <w:b/>
                <w:color w:val="1A1A1A"/>
                <w:sz w:val="16"/>
              </w:rPr>
              <w:t>champán / champaña</w:t>
            </w:r>
            <w:r>
              <w:rPr>
                <w:color w:val="1A1A1A"/>
                <w:sz w:val="16"/>
              </w:rPr>
              <w:t xml:space="preserve"> (CU, DO, PR, VE) · Brasil (pt): </w:t>
            </w:r>
            <w:r>
              <w:rPr>
                <w:b/>
                <w:color w:val="1A1A1A"/>
                <w:sz w:val="16"/>
              </w:rPr>
              <w:t>espumante</w:t>
            </w:r>
          </w:p>
        </w:tc>
        <w:tc>
          <w:tcPr>
            <w:tcW w:type="dxa" w:w="2016"/>
          </w:tcPr>
          <w:p>
            <w:pPr>
              <w:spacing w:before="0" w:after="0" w:line="240" w:lineRule="auto"/>
            </w:pPr>
            <w:r>
              <w:rPr>
                <w:color w:val="1A1A1A"/>
                <w:sz w:val="16"/>
              </w:rPr>
              <w:t>Falso amigo: en MX «cava» es la bodega de vinos; «champaña» solo es legalmente de Champagne.</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shd w:val="clear" w:color="auto" w:fill="FAF7F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shd w:val="clear" w:color="auto" w:fill="FAF7F0"/>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tostada (de desayuno)</w:t>
            </w:r>
          </w:p>
        </w:tc>
        <w:tc>
          <w:tcPr>
            <w:tcW w:type="dxa" w:w="5040"/>
            <w:shd w:val="clear" w:color="auto" w:fill="FAF7F0"/>
          </w:tcPr>
          <w:p>
            <w:pPr>
              <w:spacing w:before="0" w:after="0" w:line="240" w:lineRule="auto"/>
            </w:pPr>
            <w:r>
              <w:rPr>
                <w:b/>
                <w:color w:val="1A1A1A"/>
                <w:sz w:val="16"/>
              </w:rPr>
              <w:t>pan tostado</w:t>
            </w:r>
            <w:r>
              <w:rPr>
                <w:color w:val="1A1A1A"/>
                <w:sz w:val="16"/>
              </w:rPr>
              <w:t xml:space="preserve"> (MX, GT, HN, SV, NI, CR, PA, DO, CO, VE, EC, US) · Igual que en España: CU, PR, PE, BO, CL, AR, UY, PY · Brasil (pt): </w:t>
            </w:r>
            <w:r>
              <w:rPr>
                <w:b/>
                <w:color w:val="1A1A1A"/>
                <w:sz w:val="16"/>
              </w:rPr>
              <w:t>torrada</w:t>
            </w:r>
          </w:p>
        </w:tc>
        <w:tc>
          <w:tcPr>
            <w:tcW w:type="dxa" w:w="2016"/>
            <w:shd w:val="clear" w:color="auto" w:fill="FAF7F0"/>
          </w:tcPr>
          <w:p>
            <w:pPr>
              <w:spacing w:before="0" w:after="0" w:line="240" w:lineRule="auto"/>
            </w:pPr>
            <w:r>
              <w:rPr>
                <w:color w:val="1A1A1A"/>
                <w:sz w:val="16"/>
              </w:rPr>
              <w:t>Falso amigo grave: en MX, CAm y PE «tostada» es una tortilla frita con ingredientes encima.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maître</w:t>
            </w:r>
          </w:p>
        </w:tc>
        <w:tc>
          <w:tcPr>
            <w:tcW w:type="dxa" w:w="5040"/>
          </w:tcPr>
          <w:p>
            <w:pPr>
              <w:spacing w:before="0" w:after="0" w:line="240" w:lineRule="auto"/>
            </w:pPr>
            <w:r>
              <w:rPr>
                <w:b/>
                <w:color w:val="1A1A1A"/>
                <w:sz w:val="16"/>
              </w:rPr>
              <w:t>capitán de meseros, maître</w:t>
            </w:r>
            <w:r>
              <w:rPr>
                <w:color w:val="1A1A1A"/>
                <w:sz w:val="16"/>
              </w:rPr>
              <w:t xml:space="preserve"> (MX, GT, HN, SV, NI, CR, PA, DO, PR) · </w:t>
            </w:r>
            <w:r>
              <w:rPr>
                <w:b/>
                <w:color w:val="1A1A1A"/>
                <w:sz w:val="16"/>
              </w:rPr>
              <w:t>maître d'; host, hostess (Spanglish)</w:t>
            </w:r>
            <w:r>
              <w:rPr>
                <w:color w:val="1A1A1A"/>
                <w:sz w:val="16"/>
              </w:rPr>
              <w:t xml:space="preserve"> (US) · Igual que en España: CU, CO, VE, EC, PE, BO, CL, AR, UY, PY · Brasil (pt): </w:t>
            </w:r>
            <w:r>
              <w:rPr>
                <w:b/>
                <w:color w:val="1A1A1A"/>
                <w:sz w:val="16"/>
              </w:rPr>
              <w:t>maître, maitre</w:t>
            </w:r>
          </w:p>
        </w:tc>
        <w:tc>
          <w:tcPr>
            <w:tcW w:type="dxa" w:w="2016"/>
          </w:tcPr>
          <w:p>
            <w:pPr>
              <w:spacing w:before="0" w:after="0" w:line="240" w:lineRule="auto"/>
            </w:pPr>
            <w:r>
              <w:rPr>
                <w:color w:val="1A1A1A"/>
                <w:sz w:val="16"/>
              </w:rPr>
              <w:t>En MX y Centroamérica el «capitán de meseros» cumple esa función en restaurantes de gama media.</w:t>
            </w:r>
          </w:p>
        </w:tc>
      </w:tr>
      <w:tr>
        <w:trPr>
          <w:cantSplit/>
        </w:trPr>
        <w:tc>
          <w:tcPr>
            <w:tcW w:type="dxa" w:w="2016"/>
            <w:shd w:val="clear" w:color="auto" w:fill="F3EBD8"/>
          </w:tcPr>
          <w:p>
            <w:pPr>
              <w:spacing w:before="0" w:after="0" w:line="240" w:lineRule="auto"/>
            </w:pPr>
            <w:r>
              <w:rPr>
                <w:b/>
                <w:color w:val="1A1A1A"/>
                <w:sz w:val="16"/>
              </w:rPr>
              <w:t>ayudante de cocina</w:t>
            </w:r>
          </w:p>
        </w:tc>
        <w:tc>
          <w:tcPr>
            <w:tcW w:type="dxa" w:w="5040"/>
            <w:shd w:val="clear" w:color="auto" w:fill="FAF7F0"/>
          </w:tcPr>
          <w:p>
            <w:pPr>
              <w:spacing w:before="0" w:after="0" w:line="240" w:lineRule="auto"/>
            </w:pPr>
            <w:r>
              <w:rPr>
                <w:b/>
                <w:color w:val="1A1A1A"/>
                <w:sz w:val="16"/>
              </w:rPr>
              <w:t>auxiliar de cocina</w:t>
            </w:r>
            <w:r>
              <w:rPr>
                <w:color w:val="1A1A1A"/>
                <w:sz w:val="16"/>
              </w:rPr>
              <w:t xml:space="preserve"> (CO, CL) · </w:t>
            </w:r>
            <w:r>
              <w:rPr>
                <w:b/>
                <w:color w:val="1A1A1A"/>
                <w:sz w:val="16"/>
              </w:rPr>
              <w:t>ayudante de cocina; prep cook (cocinero de preparación)</w:t>
            </w:r>
            <w:r>
              <w:rPr>
                <w:color w:val="1A1A1A"/>
                <w:sz w:val="16"/>
              </w:rPr>
              <w:t xml:space="preserve"> (US) · Igual que en España: MX, GT, HN, SV, NI, CR, PA, CU, DO, PR, VE, EC, PE, BO, CL, AR, UY, PY · Brasil (pt): </w:t>
            </w:r>
            <w:r>
              <w:rPr>
                <w:b/>
                <w:color w:val="1A1A1A"/>
                <w:sz w:val="16"/>
              </w:rPr>
              <w:t>ajudante de cozinha, auxiliar de cozinha</w:t>
            </w:r>
          </w:p>
        </w:tc>
        <w:tc>
          <w:tcPr>
            <w:tcW w:type="dxa" w:w="2016"/>
            <w:shd w:val="clear" w:color="auto" w:fill="FAF7F0"/>
          </w:tcPr>
          <w:p>
            <w:pPr>
              <w:spacing w:before="0" w:after="0" w:line="240" w:lineRule="auto"/>
            </w:pPr>
            <w:r>
              <w:rPr>
                <w:color w:val="1A1A1A"/>
                <w:sz w:val="16"/>
              </w:rPr>
              <w:t>En CL conviven «ayudante» y «auxiliar»; en CO se oye casi solo «auxiliar de cocina».</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shd w:val="clear" w:color="auto" w:fill="FAF7F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shd w:val="clear" w:color="auto" w:fill="FAF7F0"/>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shd w:val="clear" w:color="auto" w:fill="FAF7F0"/>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shd w:val="clear" w:color="auto" w:fill="FAF7F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shd w:val="clear" w:color="auto" w:fill="FAF7F0"/>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gastos fijos</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custos fixos, despesas fixas</w:t>
            </w:r>
          </w:p>
        </w:tc>
        <w:tc>
          <w:tcPr>
            <w:tcW w:type="dxa" w:w="2016"/>
            <w:shd w:val="clear" w:color="auto" w:fill="FAF7F0"/>
          </w:tcPr>
          <w:p>
            <w:pPr>
              <w:spacing w:before="0" w:after="0" w:line="240" w:lineRule="auto"/>
            </w:pPr>
            <w:r>
              <w:rPr>
                <w:color w:val="1A1A1A"/>
                <w:sz w:val="16"/>
              </w:rPr>
              <w:t>En LatAm «costos fijos» es igual de habitual que «gastos fijos»; ambas valen.</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shd w:val="clear" w:color="auto" w:fill="FAF7F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shd w:val="clear" w:color="auto" w:fill="FAF7F0"/>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shd w:val="clear" w:color="auto" w:fill="FAF7F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shd w:val="clear" w:color="auto" w:fill="FAF7F0"/>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DNI</w:t>
            </w:r>
          </w:p>
        </w:tc>
        <w:tc>
          <w:tcPr>
            <w:tcW w:type="dxa" w:w="504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alquiler</w:t>
            </w:r>
          </w:p>
        </w:tc>
        <w:tc>
          <w:tcPr>
            <w:tcW w:type="dxa" w:w="5040"/>
          </w:tcPr>
          <w:p>
            <w:pPr>
              <w:spacing w:before="0" w:after="0" w:line="240" w:lineRule="auto"/>
            </w:pPr>
            <w:r>
              <w:rPr>
                <w:b/>
                <w:color w:val="1A1A1A"/>
                <w:sz w:val="16"/>
              </w:rPr>
              <w:t>renta</w:t>
            </w:r>
            <w:r>
              <w:rPr>
                <w:color w:val="1A1A1A"/>
                <w:sz w:val="16"/>
              </w:rPr>
              <w:t xml:space="preserve"> (MX, US) · </w:t>
            </w:r>
            <w:r>
              <w:rPr>
                <w:b/>
                <w:color w:val="1A1A1A"/>
                <w:sz w:val="16"/>
              </w:rPr>
              <w:t>arriendo</w:t>
            </w:r>
            <w:r>
              <w:rPr>
                <w:color w:val="1A1A1A"/>
                <w:sz w:val="16"/>
              </w:rPr>
              <w:t xml:space="preserve"> (CO, EC, CL) · Igual que en España: GT, HN, SV, NI, CR, PA, CU, DO, PR, VE, PE, BO, AR, UY, PY · Brasil (pt): </w:t>
            </w:r>
            <w:r>
              <w:rPr>
                <w:b/>
                <w:color w:val="1A1A1A"/>
                <w:sz w:val="16"/>
              </w:rPr>
              <w:t>aluguel</w:t>
            </w:r>
          </w:p>
        </w:tc>
        <w:tc>
          <w:tcPr>
            <w:tcW w:type="dxa" w:w="2016"/>
          </w:tcPr>
          <w:p>
            <w:pPr>
              <w:spacing w:before="0" w:after="0" w:line="240" w:lineRule="auto"/>
            </w:pPr>
            <w:r>
              <w:rPr>
                <w:color w:val="1A1A1A"/>
                <w:sz w:val="16"/>
              </w:rPr>
              <w:t>En MX «renta» es el alquiler; en PR conviven «renta» y «alquiler»; en BO el «anticrético» es una figura propia.</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shd w:val="clear" w:color="auto" w:fill="FAF7F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shd w:val="clear" w:color="auto" w:fill="FAF7F0"/>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SMI</w:t>
            </w:r>
          </w:p>
        </w:tc>
        <w:tc>
          <w:tcPr>
            <w:tcW w:type="dxa" w:w="5040"/>
            <w:shd w:val="clear" w:color="auto" w:fill="FAF7F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shd w:val="clear" w:color="auto" w:fill="FAF7F0"/>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fianza</w:t>
            </w:r>
          </w:p>
        </w:tc>
        <w:tc>
          <w:tcPr>
            <w:tcW w:type="dxa" w:w="504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shd w:val="clear" w:color="auto" w:fill="FAF7F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shd w:val="clear" w:color="auto" w:fill="FAF7F0"/>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IAE</w:t>
            </w:r>
          </w:p>
        </w:tc>
        <w:tc>
          <w:tcPr>
            <w:tcW w:type="dxa" w:w="5040"/>
            <w:shd w:val="clear" w:color="auto" w:fill="FAF7F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shd w:val="clear" w:color="auto" w:fill="FAF7F0"/>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contrato indefinido</w:t>
            </w:r>
          </w:p>
        </w:tc>
        <w:tc>
          <w:tcPr>
            <w:tcW w:type="dxa" w:w="5040"/>
            <w:shd w:val="clear" w:color="auto" w:fill="FAF7F0"/>
          </w:tcPr>
          <w:p>
            <w:pPr>
              <w:spacing w:before="0" w:after="0" w:line="240" w:lineRule="auto"/>
            </w:pPr>
            <w:r>
              <w:rPr>
                <w:b/>
                <w:color w:val="1A1A1A"/>
                <w:sz w:val="16"/>
              </w:rPr>
              <w:t>contrato por tiempo indeterminado</w:t>
            </w:r>
            <w:r>
              <w:rPr>
                <w:color w:val="1A1A1A"/>
                <w:sz w:val="16"/>
              </w:rPr>
              <w:t xml:space="preserve"> (MX, VE, BO, AR, UY, PY) · </w:t>
            </w:r>
            <w:r>
              <w:rPr>
                <w:b/>
                <w:color w:val="1A1A1A"/>
                <w:sz w:val="16"/>
              </w:rPr>
              <w:t>contrato a término indefinido</w:t>
            </w:r>
            <w:r>
              <w:rPr>
                <w:color w:val="1A1A1A"/>
                <w:sz w:val="16"/>
              </w:rPr>
              <w:t xml:space="preserve"> (CO) · </w:t>
            </w:r>
            <w:r>
              <w:rPr>
                <w:b/>
                <w:color w:val="1A1A1A"/>
                <w:sz w:val="16"/>
              </w:rPr>
              <w:t>contrato a plazo indeterminado</w:t>
            </w:r>
            <w:r>
              <w:rPr>
                <w:color w:val="1A1A1A"/>
                <w:sz w:val="16"/>
              </w:rPr>
              <w:t xml:space="preserve"> (PE) · </w:t>
            </w:r>
            <w:r>
              <w:rPr>
                <w:b/>
                <w:color w:val="1A1A1A"/>
                <w:sz w:val="16"/>
              </w:rPr>
              <w:t>contrato por tiempo indefinido</w:t>
            </w:r>
            <w:r>
              <w:rPr>
                <w:color w:val="1A1A1A"/>
                <w:sz w:val="16"/>
              </w:rPr>
              <w:t xml:space="preserve"> (HN, SV, CR, PA) · </w:t>
            </w:r>
            <w:r>
              <w:rPr>
                <w:b/>
                <w:color w:val="1A1A1A"/>
                <w:sz w:val="16"/>
              </w:rPr>
              <w:t>at-will employment (sin contrato fijo)</w:t>
            </w:r>
            <w:r>
              <w:rPr>
                <w:color w:val="1A1A1A"/>
                <w:sz w:val="16"/>
              </w:rPr>
              <w:t xml:space="preserve"> (US) · Igual que en España: GT, NI, CU, DO, PR, EC, CL · Brasil (pt): </w:t>
            </w:r>
            <w:r>
              <w:rPr>
                <w:b/>
                <w:color w:val="1A1A1A"/>
                <w:sz w:val="16"/>
              </w:rPr>
              <w:t>contrato por prazo indeterminado (CLT)</w:t>
            </w:r>
          </w:p>
        </w:tc>
        <w:tc>
          <w:tcPr>
            <w:tcW w:type="dxa" w:w="2016"/>
            <w:shd w:val="clear" w:color="auto" w:fill="FAF7F0"/>
          </w:tcPr>
          <w:p>
            <w:pPr>
              <w:spacing w:before="0" w:after="0" w:line="240" w:lineRule="auto"/>
            </w:pPr>
            <w:r>
              <w:rPr>
                <w:color w:val="1A1A1A"/>
                <w:sz w:val="16"/>
              </w:rPr>
              <w:t>En CL y EC se llama «contrato indefinido», igual que en España.</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mutua</w:t>
            </w:r>
          </w:p>
        </w:tc>
        <w:tc>
          <w:tcPr>
            <w:tcW w:type="dxa" w:w="5040"/>
            <w:shd w:val="clear" w:color="auto" w:fill="FAF7F0"/>
          </w:tcPr>
          <w:p>
            <w:pPr>
              <w:spacing w:before="0" w:after="0" w:line="240" w:lineRule="auto"/>
            </w:pPr>
            <w:r>
              <w:rPr>
                <w:b/>
                <w:color w:val="1A1A1A"/>
                <w:sz w:val="16"/>
              </w:rPr>
              <w:t>IMSS (riesgos de trabajo)</w:t>
            </w:r>
            <w:r>
              <w:rPr>
                <w:color w:val="1A1A1A"/>
                <w:sz w:val="16"/>
              </w:rPr>
              <w:t xml:space="preserve"> (MX) · </w:t>
            </w:r>
            <w:r>
              <w:rPr>
                <w:b/>
                <w:color w:val="1A1A1A"/>
                <w:sz w:val="16"/>
              </w:rPr>
              <w:t>IGSS</w:t>
            </w:r>
            <w:r>
              <w:rPr>
                <w:color w:val="1A1A1A"/>
                <w:sz w:val="16"/>
              </w:rPr>
              <w:t xml:space="preserve"> (GT) · </w:t>
            </w:r>
            <w:r>
              <w:rPr>
                <w:b/>
                <w:color w:val="1A1A1A"/>
                <w:sz w:val="16"/>
              </w:rPr>
              <w:t>ARL (administradora de riesgos laborales)</w:t>
            </w:r>
            <w:r>
              <w:rPr>
                <w:color w:val="1A1A1A"/>
                <w:sz w:val="16"/>
              </w:rPr>
              <w:t xml:space="preserve"> (CO) · </w:t>
            </w:r>
            <w:r>
              <w:rPr>
                <w:b/>
                <w:color w:val="1A1A1A"/>
                <w:sz w:val="16"/>
              </w:rPr>
              <w:t>ART (aseguradora de riesgos del trabajo)</w:t>
            </w:r>
            <w:r>
              <w:rPr>
                <w:color w:val="1A1A1A"/>
                <w:sz w:val="16"/>
              </w:rPr>
              <w:t xml:space="preserve"> (AR) · </w:t>
            </w:r>
            <w:r>
              <w:rPr>
                <w:b/>
                <w:color w:val="1A1A1A"/>
                <w:sz w:val="16"/>
              </w:rPr>
              <w:t>mutual (ACHS, IST, Mutual de Seguridad)</w:t>
            </w:r>
            <w:r>
              <w:rPr>
                <w:color w:val="1A1A1A"/>
                <w:sz w:val="16"/>
              </w:rPr>
              <w:t xml:space="preserve"> (CL) · </w:t>
            </w:r>
            <w:r>
              <w:rPr>
                <w:b/>
                <w:color w:val="1A1A1A"/>
                <w:sz w:val="16"/>
              </w:rPr>
              <w:t>SCTR / EsSalud</w:t>
            </w:r>
            <w:r>
              <w:rPr>
                <w:color w:val="1A1A1A"/>
                <w:sz w:val="16"/>
              </w:rPr>
              <w:t xml:space="preserve"> (PE) · </w:t>
            </w:r>
            <w:r>
              <w:rPr>
                <w:b/>
                <w:color w:val="1A1A1A"/>
                <w:sz w:val="16"/>
              </w:rPr>
              <w:t>IESS (riesgos del trabajo)</w:t>
            </w:r>
            <w:r>
              <w:rPr>
                <w:color w:val="1A1A1A"/>
                <w:sz w:val="16"/>
              </w:rPr>
              <w:t xml:space="preserve"> (EC) · </w:t>
            </w:r>
            <w:r>
              <w:rPr>
                <w:b/>
                <w:color w:val="1A1A1A"/>
                <w:sz w:val="16"/>
              </w:rPr>
              <w:t>INS (póliza de riesgos del trabajo)</w:t>
            </w:r>
            <w:r>
              <w:rPr>
                <w:color w:val="1A1A1A"/>
                <w:sz w:val="16"/>
              </w:rPr>
              <w:t xml:space="preserve"> (CR) · </w:t>
            </w:r>
            <w:r>
              <w:rPr>
                <w:b/>
                <w:color w:val="1A1A1A"/>
                <w:sz w:val="16"/>
              </w:rPr>
              <w:t>BSE</w:t>
            </w:r>
            <w:r>
              <w:rPr>
                <w:color w:val="1A1A1A"/>
                <w:sz w:val="16"/>
              </w:rPr>
              <w:t xml:space="preserve"> (UY) · </w:t>
            </w:r>
            <w:r>
              <w:rPr>
                <w:b/>
                <w:color w:val="1A1A1A"/>
                <w:sz w:val="16"/>
              </w:rPr>
              <w:t>IPS</w:t>
            </w:r>
            <w:r>
              <w:rPr>
                <w:color w:val="1A1A1A"/>
                <w:sz w:val="16"/>
              </w:rPr>
              <w:t xml:space="preserve"> (PY) · </w:t>
            </w:r>
            <w:r>
              <w:rPr>
                <w:b/>
                <w:color w:val="1A1A1A"/>
                <w:sz w:val="16"/>
              </w:rPr>
              <w:t>seguro de riesgos laborales (TSS)</w:t>
            </w:r>
            <w:r>
              <w:rPr>
                <w:color w:val="1A1A1A"/>
                <w:sz w:val="16"/>
              </w:rPr>
              <w:t xml:space="preserve"> (DO) · </w:t>
            </w:r>
            <w:r>
              <w:rPr>
                <w:b/>
                <w:color w:val="1A1A1A"/>
                <w:sz w:val="16"/>
              </w:rPr>
              <w:t>Fondo del Seguro del Estado</w:t>
            </w:r>
            <w:r>
              <w:rPr>
                <w:color w:val="1A1A1A"/>
                <w:sz w:val="16"/>
              </w:rPr>
              <w:t xml:space="preserve"> (PR) · </w:t>
            </w:r>
            <w:r>
              <w:rPr>
                <w:b/>
                <w:color w:val="1A1A1A"/>
                <w:sz w:val="16"/>
              </w:rPr>
              <w:t>workers' compensation insurance</w:t>
            </w:r>
            <w:r>
              <w:rPr>
                <w:color w:val="1A1A1A"/>
                <w:sz w:val="16"/>
              </w:rPr>
              <w:t xml:space="preserve"> (US) · </w:t>
            </w:r>
            <w:r>
              <w:rPr>
                <w:b/>
                <w:color w:val="1A1A1A"/>
                <w:sz w:val="16"/>
              </w:rPr>
              <w:t>seguro de riesgos del trabajo de la seguridad social (ISSS, INSS, CSS, IVSS, CNS...)</w:t>
            </w:r>
            <w:r>
              <w:rPr>
                <w:color w:val="1A1A1A"/>
                <w:sz w:val="16"/>
              </w:rPr>
              <w:t xml:space="preserve"> (HN, SV, NI, PA, CU, VE, BO) · Brasil (pt): </w:t>
            </w:r>
            <w:r>
              <w:rPr>
                <w:b/>
                <w:color w:val="1A1A1A"/>
                <w:sz w:val="16"/>
              </w:rPr>
              <w:t>seguro de acidente de trabalho (SAT/INSS)</w:t>
            </w:r>
          </w:p>
        </w:tc>
        <w:tc>
          <w:tcPr>
            <w:tcW w:type="dxa" w:w="2016"/>
            <w:shd w:val="clear" w:color="auto" w:fill="FAF7F0"/>
          </w:tcPr>
          <w:p>
            <w:pPr>
              <w:spacing w:before="0" w:after="0" w:line="240" w:lineRule="auto"/>
            </w:pPr>
            <w:r>
              <w:rPr>
                <w:color w:val="1A1A1A"/>
                <w:sz w:val="16"/>
              </w:rPr>
              <w:t>ISSS (SV), INSS (NI), CSS (PA), IVSS (VE) y CNS (BO) cubren el riesgo laboral dentro de la propia seguridad social.</w:t>
            </w:r>
          </w:p>
        </w:tc>
      </w:tr>
      <w:tr>
        <w:trPr>
          <w:cantSplit/>
        </w:trPr>
        <w:tc>
          <w:tcPr>
            <w:tcW w:type="dxa" w:w="2016"/>
            <w:shd w:val="clear" w:color="auto" w:fill="F3EBD8"/>
          </w:tcPr>
          <w:p>
            <w:pPr>
              <w:spacing w:before="0" w:after="0" w:line="240" w:lineRule="auto"/>
            </w:pPr>
            <w:r>
              <w:rPr>
                <w:b/>
                <w:color w:val="1A1A1A"/>
                <w:sz w:val="16"/>
              </w:rPr>
              <w:t>sociedad limitada</w:t>
            </w:r>
          </w:p>
        </w:tc>
        <w:tc>
          <w:tcPr>
            <w:tcW w:type="dxa" w:w="5040"/>
          </w:tcPr>
          <w:p>
            <w:pPr>
              <w:spacing w:before="0" w:after="0" w:line="240" w:lineRule="auto"/>
            </w:pPr>
            <w:r>
              <w:rPr>
                <w:b/>
                <w:color w:val="1A1A1A"/>
                <w:sz w:val="16"/>
              </w:rPr>
              <w:t>S. de R.L. de C.V.</w:t>
            </w:r>
            <w:r>
              <w:rPr>
                <w:color w:val="1A1A1A"/>
                <w:sz w:val="16"/>
              </w:rPr>
              <w:t xml:space="preserve"> (MX) · </w:t>
            </w:r>
            <w:r>
              <w:rPr>
                <w:b/>
                <w:color w:val="1A1A1A"/>
                <w:sz w:val="16"/>
              </w:rPr>
              <w:t>S.R.L. (sociedad de responsabilidad limitada)</w:t>
            </w:r>
            <w:r>
              <w:rPr>
                <w:color w:val="1A1A1A"/>
                <w:sz w:val="16"/>
              </w:rPr>
              <w:t xml:space="preserve"> (GT, HN, SV, NI, CR, PA, CU, DO, VE, PE, BO, AR, UY, PY) · </w:t>
            </w:r>
            <w:r>
              <w:rPr>
                <w:b/>
                <w:color w:val="1A1A1A"/>
                <w:sz w:val="16"/>
              </w:rPr>
              <w:t>S.A.S. o Ltda.</w:t>
            </w:r>
            <w:r>
              <w:rPr>
                <w:color w:val="1A1A1A"/>
                <w:sz w:val="16"/>
              </w:rPr>
              <w:t xml:space="preserve"> (CO) · </w:t>
            </w:r>
            <w:r>
              <w:rPr>
                <w:b/>
                <w:color w:val="1A1A1A"/>
                <w:sz w:val="16"/>
              </w:rPr>
              <w:t>SpA o Limitada</w:t>
            </w:r>
            <w:r>
              <w:rPr>
                <w:color w:val="1A1A1A"/>
                <w:sz w:val="16"/>
              </w:rPr>
              <w:t xml:space="preserve"> (CL) · </w:t>
            </w:r>
            <w:r>
              <w:rPr>
                <w:b/>
                <w:color w:val="1A1A1A"/>
                <w:sz w:val="16"/>
              </w:rPr>
              <w:t>Cía. Ltda.</w:t>
            </w:r>
            <w:r>
              <w:rPr>
                <w:color w:val="1A1A1A"/>
                <w:sz w:val="16"/>
              </w:rPr>
              <w:t xml:space="preserve"> (EC) · </w:t>
            </w:r>
            <w:r>
              <w:rPr>
                <w:b/>
                <w:color w:val="1A1A1A"/>
                <w:sz w:val="16"/>
              </w:rPr>
              <w:t>LLC (limited liability company)</w:t>
            </w:r>
            <w:r>
              <w:rPr>
                <w:color w:val="1A1A1A"/>
                <w:sz w:val="16"/>
              </w:rPr>
              <w:t xml:space="preserve"> (PR, US) · Brasil (pt): </w:t>
            </w:r>
            <w:r>
              <w:rPr>
                <w:b/>
                <w:color w:val="1A1A1A"/>
                <w:sz w:val="16"/>
              </w:rPr>
              <w:t>Ltda.</w:t>
            </w:r>
          </w:p>
        </w:tc>
        <w:tc>
          <w:tcPr>
            <w:tcW w:type="dxa" w:w="2016"/>
          </w:tcPr>
          <w:p>
            <w:pPr>
              <w:spacing w:before="0" w:after="0" w:line="240" w:lineRule="auto"/>
            </w:pPr>
            <w:r>
              <w:rPr>
                <w:color w:val="1A1A1A"/>
                <w:sz w:val="16"/>
              </w:rPr>
              <w:t>En CO y CL la S.A.S./SpA ha desplazado a la sociedad limitada; en MX la más pedida es S.A. de C.V.</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shd w:val="clear" w:color="auto" w:fill="FAF7F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shd w:val="clear" w:color="auto" w:fill="FAF7F0"/>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tcPr>
          <w:p>
            <w:pPr>
              <w:spacing w:before="0" w:after="0" w:line="240" w:lineRule="auto"/>
            </w:pPr>
            <w:r>
              <w:rPr>
                <w:color w:val="1A1A1A"/>
                <w:sz w:val="16"/>
              </w:rPr>
              <w:t>El documento varía: en MX, el curso del Distintivo H; en PE el carné de sanidad ya no es exigible; en EE. UU., el food handler card.</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consumo preferente</w:t>
            </w:r>
          </w:p>
        </w:tc>
        <w:tc>
          <w:tcPr>
            <w:tcW w:type="dxa" w:w="5040"/>
          </w:tcPr>
          <w:p>
            <w:pPr>
              <w:spacing w:before="0" w:after="0" w:line="240" w:lineRule="auto"/>
            </w:pPr>
            <w:r>
              <w:rPr>
                <w:b/>
                <w:color w:val="1A1A1A"/>
                <w:sz w:val="16"/>
              </w:rPr>
              <w:t>best by (mejor antes de)</w:t>
            </w:r>
            <w:r>
              <w:rPr>
                <w:color w:val="1A1A1A"/>
                <w:sz w:val="16"/>
              </w:rPr>
              <w:t xml:space="preserve"> (PR, US) · Igual que en España: MX, GT, HN, SV, NI, CR, PA, CU, DO, CO, VE, EC, PE, BO, CL, AR, UY, PY · Brasil (pt): </w:t>
            </w:r>
            <w:r>
              <w:rPr>
                <w:b/>
                <w:color w:val="1A1A1A"/>
                <w:sz w:val="16"/>
              </w:rPr>
              <w:t>consumir preferentemente antes de</w:t>
            </w:r>
          </w:p>
        </w:tc>
        <w:tc>
          <w:tcPr>
            <w:tcW w:type="dxa" w:w="2016"/>
          </w:tcPr>
          <w:p>
            <w:pPr>
              <w:spacing w:before="0" w:after="0" w:line="240" w:lineRule="auto"/>
            </w:pPr>
            <w:r>
              <w:rPr>
                <w:color w:val="1A1A1A"/>
                <w:sz w:val="16"/>
              </w:rPr>
              <w:t>En la mayoría de países la etiqueta no distingue «caducidad» y «consumo preferente»; se usa «vence» para ambos.</w:t>
            </w:r>
          </w:p>
        </w:tc>
      </w:tr>
      <w:tr>
        <w:trPr>
          <w:cantSplit/>
        </w:trPr>
        <w:tc>
          <w:tcPr>
            <w:tcW w:type="dxa" w:w="2016"/>
            <w:shd w:val="clear" w:color="auto" w:fill="F3EBD8"/>
          </w:tcPr>
          <w:p>
            <w:pPr>
              <w:spacing w:before="0" w:after="0" w:line="240" w:lineRule="auto"/>
            </w:pPr>
            <w:r>
              <w:rPr>
                <w:b/>
                <w:color w:val="1A1A1A"/>
                <w:sz w:val="16"/>
              </w:rPr>
              <w:t>cubo de basura</w:t>
            </w:r>
          </w:p>
        </w:tc>
        <w:tc>
          <w:tcPr>
            <w:tcW w:type="dxa" w:w="5040"/>
            <w:shd w:val="clear" w:color="auto" w:fill="FAF7F0"/>
          </w:tcPr>
          <w:p>
            <w:pPr>
              <w:spacing w:before="0" w:after="0" w:line="240" w:lineRule="auto"/>
            </w:pPr>
            <w:r>
              <w:rPr>
                <w:b/>
                <w:color w:val="1A1A1A"/>
                <w:sz w:val="16"/>
              </w:rPr>
              <w:t>bote de basura</w:t>
            </w:r>
            <w:r>
              <w:rPr>
                <w:color w:val="1A1A1A"/>
                <w:sz w:val="16"/>
              </w:rPr>
              <w:t xml:space="preserve"> (MX, GT, HN, SV) · </w:t>
            </w:r>
            <w:r>
              <w:rPr>
                <w:b/>
                <w:color w:val="1A1A1A"/>
                <w:sz w:val="16"/>
              </w:rPr>
              <w:t>basurero</w:t>
            </w:r>
            <w:r>
              <w:rPr>
                <w:color w:val="1A1A1A"/>
                <w:sz w:val="16"/>
              </w:rPr>
              <w:t xml:space="preserve"> (NI, CR, PA) · </w:t>
            </w:r>
            <w:r>
              <w:rPr>
                <w:b/>
                <w:color w:val="1A1A1A"/>
                <w:sz w:val="16"/>
              </w:rPr>
              <w:t>tacho de basura</w:t>
            </w:r>
            <w:r>
              <w:rPr>
                <w:color w:val="1A1A1A"/>
                <w:sz w:val="16"/>
              </w:rPr>
              <w:t xml:space="preserve"> (EC, PE, BO, CL, AR, UY, PY) · </w:t>
            </w:r>
            <w:r>
              <w:rPr>
                <w:b/>
                <w:color w:val="1A1A1A"/>
                <w:sz w:val="16"/>
              </w:rPr>
              <w:t>caneca</w:t>
            </w:r>
            <w:r>
              <w:rPr>
                <w:color w:val="1A1A1A"/>
                <w:sz w:val="16"/>
              </w:rPr>
              <w:t xml:space="preserve"> (CO) · </w:t>
            </w:r>
            <w:r>
              <w:rPr>
                <w:b/>
                <w:color w:val="1A1A1A"/>
                <w:sz w:val="16"/>
              </w:rPr>
              <w:t>zafacón</w:t>
            </w:r>
            <w:r>
              <w:rPr>
                <w:color w:val="1A1A1A"/>
                <w:sz w:val="16"/>
              </w:rPr>
              <w:t xml:space="preserve"> (DO, PR) · </w:t>
            </w:r>
            <w:r>
              <w:rPr>
                <w:b/>
                <w:color w:val="1A1A1A"/>
                <w:sz w:val="16"/>
              </w:rPr>
              <w:t>papelera, tobo</w:t>
            </w:r>
            <w:r>
              <w:rPr>
                <w:color w:val="1A1A1A"/>
                <w:sz w:val="16"/>
              </w:rPr>
              <w:t xml:space="preserve"> (VE) · </w:t>
            </w:r>
            <w:r>
              <w:rPr>
                <w:b/>
                <w:color w:val="1A1A1A"/>
                <w:sz w:val="16"/>
              </w:rPr>
              <w:t>cesto de basura</w:t>
            </w:r>
            <w:r>
              <w:rPr>
                <w:color w:val="1A1A1A"/>
                <w:sz w:val="16"/>
              </w:rPr>
              <w:t xml:space="preserve"> (CU) · </w:t>
            </w:r>
            <w:r>
              <w:rPr>
                <w:b/>
                <w:color w:val="1A1A1A"/>
                <w:sz w:val="16"/>
              </w:rPr>
              <w:t>trash can, bote de basura</w:t>
            </w:r>
            <w:r>
              <w:rPr>
                <w:color w:val="1A1A1A"/>
                <w:sz w:val="16"/>
              </w:rPr>
              <w:t xml:space="preserve"> (US) · Brasil (pt): </w:t>
            </w:r>
            <w:r>
              <w:rPr>
                <w:b/>
                <w:color w:val="1A1A1A"/>
                <w:sz w:val="16"/>
              </w:rPr>
              <w:t>lixeira</w:t>
            </w:r>
          </w:p>
        </w:tc>
        <w:tc>
          <w:tcPr>
            <w:tcW w:type="dxa" w:w="2016"/>
            <w:shd w:val="clear" w:color="auto" w:fill="FAF7F0"/>
          </w:tcPr>
          <w:p>
            <w:pPr>
              <w:spacing w:before="0" w:after="0" w:line="240" w:lineRule="auto"/>
            </w:pPr>
            <w:r>
              <w:rPr>
                <w:color w:val="1A1A1A"/>
                <w:sz w:val="16"/>
              </w:rPr>
              <w:t>«Cubo de basura» solo se oye en España; «zafacón» es exclusivo de DO y PR y «caneca» de CO.</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fogón</w:t>
            </w:r>
          </w:p>
        </w:tc>
        <w:tc>
          <w:tcPr>
            <w:tcW w:type="dxa" w:w="504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shd w:val="clear" w:color="auto" w:fill="FAF7F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shd w:val="clear" w:color="auto" w:fill="FAF7F0"/>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shd w:val="clear" w:color="auto" w:fill="FAF7F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shd w:val="clear" w:color="auto" w:fill="FAF7F0"/>
          </w:tcPr>
          <w:p>
            <w:pPr>
              <w:spacing w:before="0" w:after="0" w:line="240" w:lineRule="auto"/>
            </w:pPr>
            <w:r>
              <w:rPr>
                <w:color w:val="1A1A1A"/>
                <w:sz w:val="16"/>
              </w:rPr>
              <w:t>En AR y CL «góndola» es el estante de supermercado.</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shd w:val="clear" w:color="auto" w:fill="FAF7F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shd w:val="clear" w:color="auto" w:fill="FAF7F0"/>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montar un negocio</w:t>
            </w:r>
          </w:p>
        </w:tc>
        <w:tc>
          <w:tcPr>
            <w:tcW w:type="dxa" w:w="5040"/>
          </w:tcPr>
          <w:p>
            <w:pPr>
              <w:spacing w:before="0" w:after="0" w:line="240" w:lineRule="auto"/>
            </w:pPr>
            <w:r>
              <w:rPr>
                <w:b/>
                <w:color w:val="1A1A1A"/>
                <w:sz w:val="16"/>
              </w:rPr>
              <w:t>poner un negocio</w:t>
            </w:r>
            <w:r>
              <w:rPr>
                <w:color w:val="1A1A1A"/>
                <w:sz w:val="16"/>
              </w:rPr>
              <w:t xml:space="preserve"> (MX, GT, HN, SV, NI, CR, PA, CU, DO, PR, US) · </w:t>
            </w:r>
            <w:r>
              <w:rPr>
                <w:b/>
                <w:color w:val="1A1A1A"/>
                <w:sz w:val="16"/>
              </w:rPr>
              <w:t>armar un negocio</w:t>
            </w:r>
            <w:r>
              <w:rPr>
                <w:color w:val="1A1A1A"/>
                <w:sz w:val="16"/>
              </w:rPr>
              <w:t xml:space="preserve"> (AR, UY, PY) · </w:t>
            </w:r>
            <w:r>
              <w:rPr>
                <w:b/>
                <w:color w:val="1A1A1A"/>
                <w:sz w:val="16"/>
              </w:rPr>
              <w:t>abrir / montar un negocio</w:t>
            </w:r>
            <w:r>
              <w:rPr>
                <w:color w:val="1A1A1A"/>
                <w:sz w:val="16"/>
              </w:rPr>
              <w:t xml:space="preserve"> (CO, VE, EC, PE, BO, CL) · Brasil (pt): </w:t>
            </w:r>
            <w:r>
              <w:rPr>
                <w:b/>
                <w:color w:val="1A1A1A"/>
                <w:sz w:val="16"/>
              </w:rPr>
              <w:t>abrir um negócio</w:t>
            </w:r>
          </w:p>
        </w:tc>
        <w:tc>
          <w:tcPr>
            <w:tcW w:type="dxa" w:w="2016"/>
          </w:tcPr>
          <w:p>
            <w:pPr>
              <w:spacing w:before="0" w:after="0" w:line="240" w:lineRule="auto"/>
            </w:pPr>
            <w:r>
              <w:rPr>
                <w:color w:val="1A1A1A"/>
                <w:sz w:val="16"/>
              </w:rPr>
              <w:t>En CL se habla de «emprender»; en CO y VE «montar» es muy natural.</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banquetes</w:t>
            </w:r>
          </w:p>
        </w:tc>
        <w:tc>
          <w:tcPr>
            <w:tcW w:type="dxa" w:w="5040"/>
          </w:tcPr>
          <w:p>
            <w:pPr>
              <w:spacing w:before="0" w:after="0" w:line="240" w:lineRule="auto"/>
            </w:pPr>
            <w:r>
              <w:rPr>
                <w:b/>
                <w:color w:val="1A1A1A"/>
                <w:sz w:val="16"/>
              </w:rPr>
              <w:t>banquetes</w:t>
            </w:r>
            <w:r>
              <w:rPr>
                <w:color w:val="1A1A1A"/>
                <w:sz w:val="16"/>
              </w:rPr>
              <w:t xml:space="preserve"> (MX, GT, HN, SV, NI, CR, PA, CU, DO, PR, CO, VE, EC, PE, US) · </w:t>
            </w:r>
            <w:r>
              <w:rPr>
                <w:b/>
                <w:color w:val="1A1A1A"/>
                <w:sz w:val="16"/>
              </w:rPr>
              <w:t>banquetería</w:t>
            </w:r>
            <w:r>
              <w:rPr>
                <w:color w:val="1A1A1A"/>
                <w:sz w:val="16"/>
              </w:rPr>
              <w:t xml:space="preserve"> (BO, CL, AR, UY, PY) · Brasil (pt): </w:t>
            </w:r>
            <w:r>
              <w:rPr>
                <w:b/>
                <w:color w:val="1A1A1A"/>
                <w:sz w:val="16"/>
              </w:rPr>
              <w:t>banquetes / buffet de festas</w:t>
            </w:r>
          </w:p>
        </w:tc>
        <w:tc>
          <w:tcPr>
            <w:tcW w:type="dxa" w:w="2016"/>
          </w:tcPr>
          <w:p>
            <w:pPr>
              <w:spacing w:before="0" w:after="0" w:line="240" w:lineRule="auto"/>
            </w:pP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desechable</w:t>
            </w:r>
          </w:p>
        </w:tc>
        <w:tc>
          <w:tcPr>
            <w:tcW w:type="dxa" w:w="5040"/>
          </w:tcPr>
          <w:p>
            <w:pPr>
              <w:spacing w:before="0" w:after="0" w:line="240" w:lineRule="auto"/>
            </w:pPr>
            <w:r>
              <w:rPr>
                <w:b/>
                <w:color w:val="1A1A1A"/>
                <w:sz w:val="16"/>
              </w:rPr>
              <w:t>descartable</w:t>
            </w:r>
            <w:r>
              <w:rPr>
                <w:color w:val="1A1A1A"/>
                <w:sz w:val="16"/>
              </w:rPr>
              <w:t xml:space="preserve"> (PE, BO, AR, UY, PY) · Igual que en España: MX, GT, HN, SV, NI, CR, PA, CU, DO, PR, CO, VE, EC, CL, US · Brasil (pt): </w:t>
            </w:r>
            <w:r>
              <w:rPr>
                <w:b/>
                <w:color w:val="1A1A1A"/>
                <w:sz w:val="16"/>
              </w:rPr>
              <w:t>descartável</w:t>
            </w:r>
          </w:p>
        </w:tc>
        <w:tc>
          <w:tcPr>
            <w:tcW w:type="dxa" w:w="2016"/>
          </w:tcPr>
          <w:p>
            <w:pPr>
              <w:spacing w:before="0" w:after="0" w:line="240" w:lineRule="auto"/>
            </w:pPr>
          </w:p>
        </w:tc>
      </w:tr>
      <w:tr>
        <w:trPr>
          <w:cantSplit/>
        </w:trPr>
        <w:tc>
          <w:tcPr>
            <w:tcW w:type="dxa" w:w="2016"/>
            <w:shd w:val="clear" w:color="auto" w:fill="F3EBD8"/>
          </w:tcPr>
          <w:p>
            <w:pPr>
              <w:spacing w:before="0" w:after="0" w:line="240" w:lineRule="auto"/>
            </w:pPr>
            <w:r>
              <w:rPr>
                <w:b/>
                <w:color w:val="1A1A1A"/>
                <w:sz w:val="16"/>
              </w:rPr>
              <w:t>bombona</w:t>
            </w:r>
          </w:p>
        </w:tc>
        <w:tc>
          <w:tcPr>
            <w:tcW w:type="dxa" w:w="5040"/>
            <w:shd w:val="clear" w:color="auto" w:fill="FAF7F0"/>
          </w:tcPr>
          <w:p>
            <w:pPr>
              <w:spacing w:before="0" w:after="0" w:line="240" w:lineRule="auto"/>
            </w:pPr>
            <w:r>
              <w:rPr>
                <w:b/>
                <w:color w:val="1A1A1A"/>
                <w:sz w:val="16"/>
              </w:rPr>
              <w:t>tanque de gas / cilindro</w:t>
            </w:r>
            <w:r>
              <w:rPr>
                <w:color w:val="1A1A1A"/>
                <w:sz w:val="16"/>
              </w:rPr>
              <w:t xml:space="preserve"> (MX, GT, HN, SV, NI, CR, PA, CU, PR, EC, US) · </w:t>
            </w:r>
            <w:r>
              <w:rPr>
                <w:b/>
                <w:color w:val="1A1A1A"/>
                <w:sz w:val="16"/>
              </w:rPr>
              <w:t>garrafa</w:t>
            </w:r>
            <w:r>
              <w:rPr>
                <w:color w:val="1A1A1A"/>
                <w:sz w:val="16"/>
              </w:rPr>
              <w:t xml:space="preserve"> (BO, AR, UY, PY) · </w:t>
            </w:r>
            <w:r>
              <w:rPr>
                <w:b/>
                <w:color w:val="1A1A1A"/>
                <w:sz w:val="16"/>
              </w:rPr>
              <w:t>balón de gas</w:t>
            </w:r>
            <w:r>
              <w:rPr>
                <w:color w:val="1A1A1A"/>
                <w:sz w:val="16"/>
              </w:rPr>
              <w:t xml:space="preserve"> (PE, CL) · </w:t>
            </w:r>
            <w:r>
              <w:rPr>
                <w:b/>
                <w:color w:val="1A1A1A"/>
                <w:sz w:val="16"/>
              </w:rPr>
              <w:t>pipeta</w:t>
            </w:r>
            <w:r>
              <w:rPr>
                <w:color w:val="1A1A1A"/>
                <w:sz w:val="16"/>
              </w:rPr>
              <w:t xml:space="preserve"> (CO) · </w:t>
            </w:r>
            <w:r>
              <w:rPr>
                <w:b/>
                <w:color w:val="1A1A1A"/>
                <w:sz w:val="16"/>
              </w:rPr>
              <w:t>bombona</w:t>
            </w:r>
            <w:r>
              <w:rPr>
                <w:color w:val="1A1A1A"/>
                <w:sz w:val="16"/>
              </w:rPr>
              <w:t xml:space="preserve"> (DO, VE) · Brasil (pt): </w:t>
            </w:r>
            <w:r>
              <w:rPr>
                <w:b/>
                <w:color w:val="1A1A1A"/>
                <w:sz w:val="16"/>
              </w:rPr>
              <w:t>botijão de gás</w:t>
            </w:r>
          </w:p>
        </w:tc>
        <w:tc>
          <w:tcPr>
            <w:tcW w:type="dxa" w:w="2016"/>
            <w:shd w:val="clear" w:color="auto" w:fill="FAF7F0"/>
          </w:tcPr>
          <w:p>
            <w:pPr>
              <w:spacing w:before="0" w:after="0" w:line="240" w:lineRule="auto"/>
            </w:pPr>
            <w:r>
              <w:rPr>
                <w:color w:val="1A1A1A"/>
                <w:sz w:val="16"/>
              </w:rPr>
              <w:t>En AR la «garrafa» es la de 10 kg y «bombona» casi no se usa.</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Paellero / Paella Eventos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Paellero / Paella Eventos</dc:title>
  <dc:subject>Vocabulario, impuestos, sanidad, normas laborales y unidades de 20 países para adaptar tu producto</dc:subject>
  <dc:creator>AI Chef Pro</dc:creator>
  <cp:keywords>equivalencias, hostelería, vocabulario, Hispanoamérica, Plan de Negocio Paellero / Paella Eventos</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