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Plan de Negocio Panadería · España ↔ Hispanoamérica, EE. UU. y Brasil</w:t>
      </w:r>
    </w:p>
    <w:p>
      <w:pPr>
        <w:spacing w:before="120"/>
        <w:jc w:val="center"/>
      </w:pPr>
      <w:r>
        <w:rPr>
          <w:rFonts w:ascii="Calibri" w:hAnsi="Calibri"/>
          <w:b/>
          <w:color w:val="1A1A1A"/>
          <w:sz w:val="24"/>
        </w:rPr>
        <w:t>Incluida con tu Plan de Negocio Panadería</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Plan de Negocio Panadería en tu país</w:t>
      </w:r>
    </w:p>
    <w:p>
      <w:pPr>
        <w:keepNext/>
      </w:pPr>
      <w:r>
        <w:rPr>
          <w:color w:val="C6A664"/>
          <w:sz w:val="16"/>
        </w:rPr>
        <w:t>━━━━━━━━━━━━━━━━━━━━━━━━━━━━━━━━━━━━━━━━━━━━━━━━━━</w:t>
      </w:r>
    </w:p>
    <w:p>
      <w:pPr>
        <w:spacing w:line="288" w:lineRule="auto"/>
      </w:pPr>
      <w:r>
        <w:t>Tu plan de negocio nombra impuestos, costes laborales, forma jurídica, licencias y financiación tal como funcionan en España. Antes de enseñárselo a un banco o a un inversor, sustituye esos datos por los de la ficha de tu país (sección 4). Cambia también los precios en euros por los de tu moneda y revisa las cifras del Excel en las celdas verdes. Así tu plan habla el idioma de quien lo va a leer. La tabla siguiente te ayuda con el vocabulario del documento.</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bollería</w:t>
            </w:r>
          </w:p>
        </w:tc>
        <w:tc>
          <w:tcPr>
            <w:tcW w:type="dxa" w:w="5040"/>
          </w:tcPr>
          <w:p>
            <w:pPr>
              <w:spacing w:before="0" w:after="0" w:line="240" w:lineRule="auto"/>
            </w:pPr>
            <w:r>
              <w:rPr>
                <w:b/>
                <w:color w:val="1A1A1A"/>
                <w:sz w:val="16"/>
              </w:rPr>
              <w:t>pan dulce</w:t>
            </w:r>
            <w:r>
              <w:rPr>
                <w:color w:val="1A1A1A"/>
                <w:sz w:val="16"/>
              </w:rPr>
              <w:t xml:space="preserve"> (MX, GT, HN, SV, NI, CR, PA, DO, PR, VE, EC, PE, BO, US) · </w:t>
            </w:r>
            <w:r>
              <w:rPr>
                <w:b/>
                <w:color w:val="1A1A1A"/>
                <w:sz w:val="16"/>
              </w:rPr>
              <w:t>facturas</w:t>
            </w:r>
            <w:r>
              <w:rPr>
                <w:color w:val="1A1A1A"/>
                <w:sz w:val="16"/>
              </w:rPr>
              <w:t xml:space="preserve"> (AR, UY, PY) · </w:t>
            </w:r>
            <w:r>
              <w:rPr>
                <w:b/>
                <w:color w:val="1A1A1A"/>
                <w:sz w:val="16"/>
              </w:rPr>
              <w:t>pastelería, pasteles</w:t>
            </w:r>
            <w:r>
              <w:rPr>
                <w:color w:val="1A1A1A"/>
                <w:sz w:val="16"/>
              </w:rPr>
              <w:t xml:space="preserve"> (CU, CO, CL) · Brasil (pt): </w:t>
            </w:r>
            <w:r>
              <w:rPr>
                <w:b/>
                <w:color w:val="1A1A1A"/>
                <w:sz w:val="16"/>
              </w:rPr>
              <w:t>pães doces e folhados</w:t>
            </w:r>
          </w:p>
        </w:tc>
        <w:tc>
          <w:tcPr>
            <w:tcW w:type="dxa" w:w="2016"/>
          </w:tcPr>
          <w:p>
            <w:pPr>
              <w:spacing w:before="0" w:after="0" w:line="240" w:lineRule="auto"/>
            </w:pPr>
            <w:r>
              <w:rPr>
                <w:color w:val="1A1A1A"/>
                <w:sz w:val="16"/>
              </w:rPr>
              <w:t>En AR «facturas» son medialunas, vigilantes, etc.; en MX «pan dulce» incluye conchas y orejas.</w:t>
            </w:r>
          </w:p>
        </w:tc>
      </w:tr>
      <w:tr>
        <w:trPr>
          <w:cantSplit/>
        </w:trPr>
        <w:tc>
          <w:tcPr>
            <w:tcW w:type="dxa" w:w="2016"/>
            <w:shd w:val="clear" w:color="auto" w:fill="F3EBD8"/>
          </w:tcPr>
          <w:p>
            <w:pPr>
              <w:spacing w:before="0" w:after="0" w:line="240" w:lineRule="auto"/>
            </w:pPr>
            <w:r>
              <w:rPr>
                <w:b/>
                <w:color w:val="1A1A1A"/>
                <w:sz w:val="16"/>
              </w:rPr>
              <w:t>mantequilla</w:t>
            </w:r>
          </w:p>
        </w:tc>
        <w:tc>
          <w:tcPr>
            <w:tcW w:type="dxa" w:w="5040"/>
            <w:shd w:val="clear" w:color="auto" w:fill="FAF7F0"/>
          </w:tcPr>
          <w:p>
            <w:pPr>
              <w:spacing w:before="0" w:after="0" w:line="240" w:lineRule="auto"/>
            </w:pPr>
            <w:r>
              <w:rPr>
                <w:b/>
                <w:color w:val="1A1A1A"/>
                <w:sz w:val="16"/>
              </w:rPr>
              <w:t>manteca</w:t>
            </w:r>
            <w:r>
              <w:rPr>
                <w:color w:val="1A1A1A"/>
                <w:sz w:val="16"/>
              </w:rPr>
              <w:t xml:space="preserve"> (AR, UY, PY) · Igual que en España: MX, GT, HN, SV, NI, CR, PA, CU, DO, PR, CO, VE, EC, PE, BO, CL, US · Brasil (pt): </w:t>
            </w:r>
            <w:r>
              <w:rPr>
                <w:b/>
                <w:color w:val="1A1A1A"/>
                <w:sz w:val="16"/>
              </w:rPr>
              <w:t>manteiga</w:t>
            </w:r>
          </w:p>
        </w:tc>
        <w:tc>
          <w:tcPr>
            <w:tcW w:type="dxa" w:w="2016"/>
            <w:shd w:val="clear" w:color="auto" w:fill="FAF7F0"/>
          </w:tcPr>
          <w:p>
            <w:pPr>
              <w:spacing w:before="0" w:after="0" w:line="240" w:lineRule="auto"/>
            </w:pPr>
            <w:r>
              <w:rPr>
                <w:color w:val="1A1A1A"/>
                <w:sz w:val="16"/>
              </w:rPr>
              <w:t>Falso amigo: «manteca» en MX, CU o VE es grasa de cerdo; en AR/UY/PY es la mantequilla.</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r>
        <w:trPr>
          <w:cantSplit/>
        </w:trPr>
        <w:tc>
          <w:tcPr>
            <w:tcW w:type="dxa" w:w="2016"/>
            <w:shd w:val="clear" w:color="auto" w:fill="F3EBD8"/>
          </w:tcPr>
          <w:p>
            <w:pPr>
              <w:spacing w:before="0" w:after="0" w:line="240" w:lineRule="auto"/>
            </w:pPr>
            <w:r>
              <w:rPr>
                <w:b/>
                <w:color w:val="1A1A1A"/>
                <w:sz w:val="16"/>
              </w:rPr>
              <w:t>cava</w:t>
            </w:r>
          </w:p>
        </w:tc>
        <w:tc>
          <w:tcPr>
            <w:tcW w:type="dxa" w:w="5040"/>
          </w:tcPr>
          <w:p>
            <w:pPr>
              <w:spacing w:before="0" w:after="0" w:line="240" w:lineRule="auto"/>
            </w:pPr>
            <w:r>
              <w:rPr>
                <w:b/>
                <w:color w:val="1A1A1A"/>
                <w:sz w:val="16"/>
              </w:rPr>
              <w:t>espumante</w:t>
            </w:r>
            <w:r>
              <w:rPr>
                <w:color w:val="1A1A1A"/>
                <w:sz w:val="16"/>
              </w:rPr>
              <w:t xml:space="preserve"> (PE, BO, CL, AR, UY, PY) · </w:t>
            </w:r>
            <w:r>
              <w:rPr>
                <w:b/>
                <w:color w:val="1A1A1A"/>
                <w:sz w:val="16"/>
              </w:rPr>
              <w:t>vino espumoso</w:t>
            </w:r>
            <w:r>
              <w:rPr>
                <w:color w:val="1A1A1A"/>
                <w:sz w:val="16"/>
              </w:rPr>
              <w:t xml:space="preserve"> (MX, GT, HN, SV, NI, CR, PA, CO, EC, US) · </w:t>
            </w:r>
            <w:r>
              <w:rPr>
                <w:b/>
                <w:color w:val="1A1A1A"/>
                <w:sz w:val="16"/>
              </w:rPr>
              <w:t>champán / champaña</w:t>
            </w:r>
            <w:r>
              <w:rPr>
                <w:color w:val="1A1A1A"/>
                <w:sz w:val="16"/>
              </w:rPr>
              <w:t xml:space="preserve"> (CU, DO, PR, VE) · Brasil (pt): </w:t>
            </w:r>
            <w:r>
              <w:rPr>
                <w:b/>
                <w:color w:val="1A1A1A"/>
                <w:sz w:val="16"/>
              </w:rPr>
              <w:t>espumante</w:t>
            </w:r>
          </w:p>
        </w:tc>
        <w:tc>
          <w:tcPr>
            <w:tcW w:type="dxa" w:w="2016"/>
          </w:tcPr>
          <w:p>
            <w:pPr>
              <w:spacing w:before="0" w:after="0" w:line="240" w:lineRule="auto"/>
            </w:pPr>
            <w:r>
              <w:rPr>
                <w:color w:val="1A1A1A"/>
                <w:sz w:val="16"/>
              </w:rPr>
              <w:t>Falso amigo: en MX «cava» es la bodega de vinos; «champaña» solo es legalmente de Champagne.</w:t>
            </w:r>
          </w:p>
        </w:tc>
      </w:tr>
      <w:tr>
        <w:trPr>
          <w:cantSplit/>
        </w:trPr>
        <w:tc>
          <w:tcPr>
            <w:tcW w:type="dxa" w:w="2016"/>
            <w:shd w:val="clear" w:color="auto" w:fill="F3EBD8"/>
          </w:tcPr>
          <w:p>
            <w:pPr>
              <w:spacing w:before="0" w:after="0" w:line="240" w:lineRule="auto"/>
            </w:pPr>
            <w:r>
              <w:rPr>
                <w:b/>
                <w:color w:val="1A1A1A"/>
                <w:sz w:val="16"/>
              </w:rPr>
              <w:t>cubata, combinado</w:t>
            </w:r>
          </w:p>
        </w:tc>
        <w:tc>
          <w:tcPr>
            <w:tcW w:type="dxa" w:w="5040"/>
            <w:shd w:val="clear" w:color="auto" w:fill="FAF7F0"/>
          </w:tcPr>
          <w:p>
            <w:pPr>
              <w:spacing w:before="0" w:after="0" w:line="240" w:lineRule="auto"/>
            </w:pPr>
            <w:r>
              <w:rPr>
                <w:b/>
                <w:color w:val="1A1A1A"/>
                <w:sz w:val="16"/>
              </w:rPr>
              <w:t>trago</w:t>
            </w:r>
            <w:r>
              <w:rPr>
                <w:color w:val="1A1A1A"/>
                <w:sz w:val="16"/>
              </w:rPr>
              <w:t xml:space="preserve"> (CO, VE, EC, PE, BO, AR, UY, PY) · </w:t>
            </w:r>
            <w:r>
              <w:rPr>
                <w:b/>
                <w:color w:val="1A1A1A"/>
                <w:sz w:val="16"/>
              </w:rPr>
              <w:t>bebida preparada, jaibol</w:t>
            </w:r>
            <w:r>
              <w:rPr>
                <w:color w:val="1A1A1A"/>
                <w:sz w:val="16"/>
              </w:rPr>
              <w:t xml:space="preserve"> (MX, GT, HN, SV, NI, CR, PA, US) · </w:t>
            </w:r>
            <w:r>
              <w:rPr>
                <w:b/>
                <w:color w:val="1A1A1A"/>
                <w:sz w:val="16"/>
              </w:rPr>
              <w:t>combinado</w:t>
            </w:r>
            <w:r>
              <w:rPr>
                <w:color w:val="1A1A1A"/>
                <w:sz w:val="16"/>
              </w:rPr>
              <w:t xml:space="preserve"> (CU, DO, PR, CL) · Brasil (pt): </w:t>
            </w:r>
            <w:r>
              <w:rPr>
                <w:b/>
                <w:color w:val="1A1A1A"/>
                <w:sz w:val="16"/>
              </w:rPr>
              <w:t>drink / destilado com refrigerante</w:t>
            </w:r>
          </w:p>
        </w:tc>
        <w:tc>
          <w:tcPr>
            <w:tcW w:type="dxa" w:w="2016"/>
            <w:shd w:val="clear" w:color="auto" w:fill="FAF7F0"/>
          </w:tcPr>
          <w:p>
            <w:pPr>
              <w:spacing w:before="0" w:after="0" w:line="240" w:lineRule="auto"/>
            </w:pPr>
            <w:r>
              <w:rPr>
                <w:color w:val="1A1A1A"/>
                <w:sz w:val="16"/>
              </w:rPr>
              <w:t>«Cubata» no se entiende fuera de ES; pedir por nombre (ron cola, whisky cola).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carta</w:t>
            </w:r>
          </w:p>
        </w:tc>
        <w:tc>
          <w:tcPr>
            <w:tcW w:type="dxa" w:w="5040"/>
            <w:shd w:val="clear" w:color="auto" w:fill="FAF7F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shd w:val="clear" w:color="auto" w:fill="FAF7F0"/>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tcPr>
          <w:p>
            <w:pPr>
              <w:spacing w:before="0" w:after="0" w:line="240" w:lineRule="auto"/>
            </w:pPr>
            <w:r>
              <w:rPr>
                <w:color w:val="1A1A1A"/>
                <w:sz w:val="16"/>
              </w:rPr>
              <w:t>En US se usa también «to go»; en AR y CL, «take away» en cadenas.</w:t>
            </w:r>
          </w:p>
        </w:tc>
      </w:tr>
      <w:tr>
        <w:trPr>
          <w:cantSplit/>
        </w:trPr>
        <w:tc>
          <w:tcPr>
            <w:tcW w:type="dxa" w:w="2016"/>
            <w:shd w:val="clear" w:color="auto" w:fill="F3EBD8"/>
          </w:tcPr>
          <w:p>
            <w:pPr>
              <w:spacing w:before="0" w:after="0" w:line="240" w:lineRule="auto"/>
            </w:pPr>
            <w:r>
              <w:rPr>
                <w:b/>
                <w:color w:val="1A1A1A"/>
                <w:sz w:val="16"/>
              </w:rPr>
              <w:t>a domicilio</w:t>
            </w:r>
          </w:p>
        </w:tc>
        <w:tc>
          <w:tcPr>
            <w:tcW w:type="dxa" w:w="5040"/>
            <w:shd w:val="clear" w:color="auto" w:fill="FAF7F0"/>
          </w:tcPr>
          <w:p>
            <w:pPr>
              <w:spacing w:before="0" w:after="0" w:line="240" w:lineRule="auto"/>
            </w:pPr>
            <w:r>
              <w:rPr>
                <w:b/>
                <w:color w:val="1A1A1A"/>
                <w:sz w:val="16"/>
              </w:rPr>
              <w:t>a domicilio</w:t>
            </w:r>
            <w:r>
              <w:rPr>
                <w:color w:val="1A1A1A"/>
                <w:sz w:val="16"/>
              </w:rPr>
              <w:t xml:space="preserve"> (MX, GT, HN, SV, NI, CR, PA, CU, EC) · </w:t>
            </w:r>
            <w:r>
              <w:rPr>
                <w:b/>
                <w:color w:val="1A1A1A"/>
                <w:sz w:val="16"/>
              </w:rPr>
              <w:t>domicilios</w:t>
            </w:r>
            <w:r>
              <w:rPr>
                <w:color w:val="1A1A1A"/>
                <w:sz w:val="16"/>
              </w:rPr>
              <w:t xml:space="preserve"> (CO) · </w:t>
            </w:r>
            <w:r>
              <w:rPr>
                <w:b/>
                <w:color w:val="1A1A1A"/>
                <w:sz w:val="16"/>
              </w:rPr>
              <w:t>delivery</w:t>
            </w:r>
            <w:r>
              <w:rPr>
                <w:color w:val="1A1A1A"/>
                <w:sz w:val="16"/>
              </w:rPr>
              <w:t xml:space="preserve"> (DO, PR, VE, PE, BO, CL, AR, UY, PY, US) · Brasil (pt): </w:t>
            </w:r>
            <w:r>
              <w:rPr>
                <w:b/>
                <w:color w:val="1A1A1A"/>
                <w:sz w:val="16"/>
              </w:rPr>
              <w:t>entrega / delivery</w:t>
            </w:r>
          </w:p>
        </w:tc>
        <w:tc>
          <w:tcPr>
            <w:tcW w:type="dxa" w:w="2016"/>
            <w:shd w:val="clear" w:color="auto" w:fill="FAF7F0"/>
          </w:tcPr>
          <w:p>
            <w:pPr>
              <w:spacing w:before="0" w:after="0" w:line="240" w:lineRule="auto"/>
            </w:pPr>
            <w:r>
              <w:rPr>
                <w:color w:val="1A1A1A"/>
                <w:sz w:val="16"/>
              </w:rPr>
              <w:t>En CO «un domicilio» es el pedido y el domiciliario quien lo lleva.</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turno partido</w:t>
            </w:r>
          </w:p>
        </w:tc>
        <w:tc>
          <w:tcPr>
            <w:tcW w:type="dxa" w:w="5040"/>
          </w:tcPr>
          <w:p>
            <w:pPr>
              <w:spacing w:before="0" w:after="0" w:line="240" w:lineRule="auto"/>
            </w:pPr>
            <w:r>
              <w:rPr>
                <w:b/>
                <w:color w:val="1A1A1A"/>
                <w:sz w:val="16"/>
              </w:rPr>
              <w:t>turno cortado, horario cortado</w:t>
            </w:r>
            <w:r>
              <w:rPr>
                <w:color w:val="1A1A1A"/>
                <w:sz w:val="16"/>
              </w:rPr>
              <w:t xml:space="preserve"> (MX, CO, VE, EC, PE, BO, CL, AR, UY, PY) · </w:t>
            </w:r>
            <w:r>
              <w:rPr>
                <w:b/>
                <w:color w:val="1A1A1A"/>
                <w:sz w:val="16"/>
              </w:rPr>
              <w:t>split shift</w:t>
            </w:r>
            <w:r>
              <w:rPr>
                <w:color w:val="1A1A1A"/>
                <w:sz w:val="16"/>
              </w:rPr>
              <w:t xml:space="preserve"> (US) · Igual que en España: GT, HN, SV, NI, CR, PA, CU, DO, PR · Brasil (pt): </w:t>
            </w:r>
            <w:r>
              <w:rPr>
                <w:b/>
                <w:color w:val="1A1A1A"/>
                <w:sz w:val="16"/>
              </w:rPr>
              <w:t>turno dividido / intervalo</w:t>
            </w:r>
          </w:p>
        </w:tc>
        <w:tc>
          <w:tcPr>
            <w:tcW w:type="dxa" w:w="2016"/>
          </w:tcPr>
          <w:p>
            <w:pPr>
              <w:spacing w:before="0" w:after="0" w:line="240" w:lineRule="auto"/>
            </w:pPr>
            <w:r>
              <w:rPr>
                <w:color w:val="1A1A1A"/>
                <w:sz w:val="16"/>
              </w:rPr>
              <w:t>En MX, «turno» puede ser el tramo (matutino/vespertino), no el horario con pausa.</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shd w:val="clear" w:color="auto" w:fill="FAF7F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shd w:val="clear" w:color="auto" w:fill="FAF7F0"/>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tcPr>
          <w:p>
            <w:pPr>
              <w:spacing w:before="0" w:after="0" w:line="240" w:lineRule="auto"/>
            </w:pPr>
            <w:r>
              <w:rPr>
                <w:color w:val="1A1A1A"/>
                <w:sz w:val="16"/>
              </w:rPr>
              <w:t>En EE. UU. el personal de gestión dice también «break-even».</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tesorería</w:t>
            </w:r>
          </w:p>
        </w:tc>
        <w:tc>
          <w:tcPr>
            <w:tcW w:type="dxa" w:w="5040"/>
          </w:tcPr>
          <w:p>
            <w:pPr>
              <w:spacing w:before="0" w:after="0" w:line="240" w:lineRule="auto"/>
            </w:pPr>
            <w:r>
              <w:rPr>
                <w:b/>
                <w:color w:val="1A1A1A"/>
                <w:sz w:val="16"/>
              </w:rPr>
              <w:t>flujo de efectivo</w:t>
            </w:r>
            <w:r>
              <w:rPr>
                <w:color w:val="1A1A1A"/>
                <w:sz w:val="16"/>
              </w:rPr>
              <w:t xml:space="preserve"> (MX, GT, HN, SV, NI) · </w:t>
            </w:r>
            <w:r>
              <w:rPr>
                <w:b/>
                <w:color w:val="1A1A1A"/>
                <w:sz w:val="16"/>
              </w:rPr>
              <w:t>flujo de caja</w:t>
            </w:r>
            <w:r>
              <w:rPr>
                <w:color w:val="1A1A1A"/>
                <w:sz w:val="16"/>
              </w:rPr>
              <w:t xml:space="preserve"> (CR, PA, CU, DO, PR, CO, VE, EC, PE, BO, CL, AR, UY, PY, US) · Brasil (pt): </w:t>
            </w:r>
            <w:r>
              <w:rPr>
                <w:b/>
                <w:color w:val="1A1A1A"/>
                <w:sz w:val="16"/>
              </w:rPr>
              <w:t>fluxo de caixa</w:t>
            </w:r>
          </w:p>
        </w:tc>
        <w:tc>
          <w:tcPr>
            <w:tcW w:type="dxa" w:w="2016"/>
          </w:tcPr>
          <w:p>
            <w:pPr>
              <w:spacing w:before="0" w:after="0" w:line="240" w:lineRule="auto"/>
            </w:pPr>
            <w:r>
              <w:rPr>
                <w:color w:val="1A1A1A"/>
                <w:sz w:val="16"/>
              </w:rPr>
              <w:t>«Tesorería» se entiende como área financiera; lo que se mide en un negocio pequeño es el «flujo de caja/efectivo».</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shd w:val="clear" w:color="auto" w:fill="FAF7F0"/>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TPV</w:t>
            </w:r>
          </w:p>
        </w:tc>
        <w:tc>
          <w:tcPr>
            <w:tcW w:type="dxa" w:w="5040"/>
            <w:shd w:val="clear" w:color="auto" w:fill="FAF7F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shd w:val="clear" w:color="auto" w:fill="FAF7F0"/>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shd w:val="clear" w:color="auto" w:fill="FAF7F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shd w:val="clear" w:color="auto" w:fill="FAF7F0"/>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subvención</w:t>
            </w:r>
          </w:p>
        </w:tc>
        <w:tc>
          <w:tcPr>
            <w:tcW w:type="dxa" w:w="5040"/>
          </w:tcPr>
          <w:p>
            <w:pPr>
              <w:spacing w:before="0" w:after="0" w:line="240" w:lineRule="auto"/>
            </w:pPr>
            <w:r>
              <w:rPr>
                <w:b/>
                <w:color w:val="1A1A1A"/>
                <w:sz w:val="16"/>
              </w:rPr>
              <w:t>subsidio, apoyo económico</w:t>
            </w:r>
            <w:r>
              <w:rPr>
                <w:color w:val="1A1A1A"/>
                <w:sz w:val="16"/>
              </w:rPr>
              <w:t xml:space="preserve"> (MX, GT, HN, SV, NI, CR, PA, CU, DO, PR, CO, VE, EC, PE, BO, AR, UY, PY) · </w:t>
            </w:r>
            <w:r>
              <w:rPr>
                <w:b/>
                <w:color w:val="1A1A1A"/>
                <w:sz w:val="16"/>
              </w:rPr>
              <w:t>fondo concursable, subsidio</w:t>
            </w:r>
            <w:r>
              <w:rPr>
                <w:color w:val="1A1A1A"/>
                <w:sz w:val="16"/>
              </w:rPr>
              <w:t xml:space="preserve"> (CL) · </w:t>
            </w:r>
            <w:r>
              <w:rPr>
                <w:b/>
                <w:color w:val="1A1A1A"/>
                <w:sz w:val="16"/>
              </w:rPr>
              <w:t>grant, subsidio</w:t>
            </w:r>
            <w:r>
              <w:rPr>
                <w:color w:val="1A1A1A"/>
                <w:sz w:val="16"/>
              </w:rPr>
              <w:t xml:space="preserve"> (US) · Brasil (pt): </w:t>
            </w:r>
            <w:r>
              <w:rPr>
                <w:b/>
                <w:color w:val="1A1A1A"/>
                <w:sz w:val="16"/>
              </w:rPr>
              <w:t>subvenção, subsídio</w:t>
            </w:r>
          </w:p>
        </w:tc>
        <w:tc>
          <w:tcPr>
            <w:tcW w:type="dxa" w:w="2016"/>
          </w:tcPr>
          <w:p>
            <w:pPr>
              <w:spacing w:before="0" w:after="0" w:line="240" w:lineRule="auto"/>
            </w:pPr>
            <w:r>
              <w:rPr>
                <w:color w:val="1A1A1A"/>
                <w:sz w:val="16"/>
              </w:rPr>
              <w:t>Los fondos nombran la institución: SERCOTEC (CL), Fondo Emprender/SENA (CO), INADEM antes (MX, ya extinto).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impuesto de sociedades</w:t>
            </w:r>
          </w:p>
        </w:tc>
        <w:tc>
          <w:tcPr>
            <w:tcW w:type="dxa" w:w="5040"/>
            <w:shd w:val="clear" w:color="auto" w:fill="FAF7F0"/>
          </w:tcPr>
          <w:p>
            <w:pPr>
              <w:spacing w:before="0" w:after="0" w:line="240" w:lineRule="auto"/>
            </w:pPr>
            <w:r>
              <w:rPr>
                <w:b/>
                <w:color w:val="1A1A1A"/>
                <w:sz w:val="16"/>
              </w:rPr>
              <w:t>ISR (personas morales)</w:t>
            </w:r>
            <w:r>
              <w:rPr>
                <w:color w:val="1A1A1A"/>
                <w:sz w:val="16"/>
              </w:rPr>
              <w:t xml:space="preserve"> (MX) · </w:t>
            </w:r>
            <w:r>
              <w:rPr>
                <w:b/>
                <w:color w:val="1A1A1A"/>
                <w:sz w:val="16"/>
              </w:rPr>
              <w:t>impuesto sobre la renta</w:t>
            </w:r>
            <w:r>
              <w:rPr>
                <w:color w:val="1A1A1A"/>
                <w:sz w:val="16"/>
              </w:rPr>
              <w:t xml:space="preserve"> (GT, HN, SV, NI, CR, PA, DO, PR) · </w:t>
            </w:r>
            <w:r>
              <w:rPr>
                <w:b/>
                <w:color w:val="1A1A1A"/>
                <w:sz w:val="16"/>
              </w:rPr>
              <w:t>impuesto de renta</w:t>
            </w:r>
            <w:r>
              <w:rPr>
                <w:color w:val="1A1A1A"/>
                <w:sz w:val="16"/>
              </w:rPr>
              <w:t xml:space="preserve"> (CO) · </w:t>
            </w:r>
            <w:r>
              <w:rPr>
                <w:b/>
                <w:color w:val="1A1A1A"/>
                <w:sz w:val="16"/>
              </w:rPr>
              <w:t>impuesto a la renta</w:t>
            </w:r>
            <w:r>
              <w:rPr>
                <w:color w:val="1A1A1A"/>
                <w:sz w:val="16"/>
              </w:rPr>
              <w:t xml:space="preserve"> (EC, PE) · </w:t>
            </w:r>
            <w:r>
              <w:rPr>
                <w:b/>
                <w:color w:val="1A1A1A"/>
                <w:sz w:val="16"/>
              </w:rPr>
              <w:t>impuesto a las ganancias</w:t>
            </w:r>
            <w:r>
              <w:rPr>
                <w:color w:val="1A1A1A"/>
                <w:sz w:val="16"/>
              </w:rPr>
              <w:t xml:space="preserve"> (AR) · </w:t>
            </w:r>
            <w:r>
              <w:rPr>
                <w:b/>
                <w:color w:val="1A1A1A"/>
                <w:sz w:val="16"/>
              </w:rPr>
              <w:t>impuesto de primera categoría</w:t>
            </w:r>
            <w:r>
              <w:rPr>
                <w:color w:val="1A1A1A"/>
                <w:sz w:val="16"/>
              </w:rPr>
              <w:t xml:space="preserve"> (CL) · </w:t>
            </w:r>
            <w:r>
              <w:rPr>
                <w:b/>
                <w:color w:val="1A1A1A"/>
                <w:sz w:val="16"/>
              </w:rPr>
              <w:t>IRAE</w:t>
            </w:r>
            <w:r>
              <w:rPr>
                <w:color w:val="1A1A1A"/>
                <w:sz w:val="16"/>
              </w:rPr>
              <w:t xml:space="preserve"> (UY) · </w:t>
            </w:r>
            <w:r>
              <w:rPr>
                <w:b/>
                <w:color w:val="1A1A1A"/>
                <w:sz w:val="16"/>
              </w:rPr>
              <w:t>IRE</w:t>
            </w:r>
            <w:r>
              <w:rPr>
                <w:color w:val="1A1A1A"/>
                <w:sz w:val="16"/>
              </w:rPr>
              <w:t xml:space="preserve"> (PY) · </w:t>
            </w:r>
            <w:r>
              <w:rPr>
                <w:b/>
                <w:color w:val="1A1A1A"/>
                <w:sz w:val="16"/>
              </w:rPr>
              <w:t>IUE</w:t>
            </w:r>
            <w:r>
              <w:rPr>
                <w:color w:val="1A1A1A"/>
                <w:sz w:val="16"/>
              </w:rPr>
              <w:t xml:space="preserve"> (BO) · </w:t>
            </w:r>
            <w:r>
              <w:rPr>
                <w:b/>
                <w:color w:val="1A1A1A"/>
                <w:sz w:val="16"/>
              </w:rPr>
              <w:t>ISLR</w:t>
            </w:r>
            <w:r>
              <w:rPr>
                <w:color w:val="1A1A1A"/>
                <w:sz w:val="16"/>
              </w:rPr>
              <w:t xml:space="preserve"> (VE) · </w:t>
            </w:r>
            <w:r>
              <w:rPr>
                <w:b/>
                <w:color w:val="1A1A1A"/>
                <w:sz w:val="16"/>
              </w:rPr>
              <w:t>impuesto sobre utilidades</w:t>
            </w:r>
            <w:r>
              <w:rPr>
                <w:color w:val="1A1A1A"/>
                <w:sz w:val="16"/>
              </w:rPr>
              <w:t xml:space="preserve"> (CU) · </w:t>
            </w:r>
            <w:r>
              <w:rPr>
                <w:b/>
                <w:color w:val="1A1A1A"/>
                <w:sz w:val="16"/>
              </w:rPr>
              <w:t>corporate income tax</w:t>
            </w:r>
            <w:r>
              <w:rPr>
                <w:color w:val="1A1A1A"/>
                <w:sz w:val="16"/>
              </w:rPr>
              <w:t xml:space="preserve"> (US) · Brasil (pt): </w:t>
            </w:r>
            <w:r>
              <w:rPr>
                <w:b/>
                <w:color w:val="1A1A1A"/>
                <w:sz w:val="16"/>
              </w:rPr>
              <w:t>IRPJ / CSLL</w:t>
            </w:r>
          </w:p>
        </w:tc>
        <w:tc>
          <w:tcPr>
            <w:tcW w:type="dxa" w:w="2016"/>
            <w:shd w:val="clear" w:color="auto" w:fill="FAF7F0"/>
          </w:tcPr>
          <w:p>
            <w:pPr>
              <w:spacing w:before="0" w:after="0" w:line="240" w:lineRule="auto"/>
            </w:pPr>
            <w:r>
              <w:rPr>
                <w:color w:val="1A1A1A"/>
                <w:sz w:val="16"/>
              </w:rPr>
              <w:t>En CL el régimen Pro Pyme reduce esa tasa para pymes; en PE el régimen MYPE tributario.</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paga extra</w:t>
            </w:r>
          </w:p>
        </w:tc>
        <w:tc>
          <w:tcPr>
            <w:tcW w:type="dxa" w:w="5040"/>
            <w:shd w:val="clear" w:color="auto" w:fill="FAF7F0"/>
          </w:tcPr>
          <w:p>
            <w:pPr>
              <w:spacing w:before="0" w:after="0" w:line="240" w:lineRule="auto"/>
            </w:pPr>
            <w:r>
              <w:rPr>
                <w:b/>
                <w:color w:val="1A1A1A"/>
                <w:sz w:val="16"/>
              </w:rPr>
              <w:t>aguinaldo</w:t>
            </w:r>
            <w:r>
              <w:rPr>
                <w:color w:val="1A1A1A"/>
                <w:sz w:val="16"/>
              </w:rPr>
              <w:t xml:space="preserve"> (MX, GT, SV, CR, BO, AR, UY, PY) · </w:t>
            </w:r>
            <w:r>
              <w:rPr>
                <w:b/>
                <w:color w:val="1A1A1A"/>
                <w:sz w:val="16"/>
              </w:rPr>
              <w:t>décimo tercer mes (y cuarto)</w:t>
            </w:r>
            <w:r>
              <w:rPr>
                <w:color w:val="1A1A1A"/>
                <w:sz w:val="16"/>
              </w:rPr>
              <w:t xml:space="preserve"> (HN, NI, PA, EC) · </w:t>
            </w:r>
            <w:r>
              <w:rPr>
                <w:b/>
                <w:color w:val="1A1A1A"/>
                <w:sz w:val="16"/>
              </w:rPr>
              <w:t>regalía pascual</w:t>
            </w:r>
            <w:r>
              <w:rPr>
                <w:color w:val="1A1A1A"/>
                <w:sz w:val="16"/>
              </w:rPr>
              <w:t xml:space="preserve"> (DO) · </w:t>
            </w:r>
            <w:r>
              <w:rPr>
                <w:b/>
                <w:color w:val="1A1A1A"/>
                <w:sz w:val="16"/>
              </w:rPr>
              <w:t>bono de Navidad</w:t>
            </w:r>
            <w:r>
              <w:rPr>
                <w:color w:val="1A1A1A"/>
                <w:sz w:val="16"/>
              </w:rPr>
              <w:t xml:space="preserve"> (PR) · </w:t>
            </w:r>
            <w:r>
              <w:rPr>
                <w:b/>
                <w:color w:val="1A1A1A"/>
                <w:sz w:val="16"/>
              </w:rPr>
              <w:t>prima de servicios</w:t>
            </w:r>
            <w:r>
              <w:rPr>
                <w:color w:val="1A1A1A"/>
                <w:sz w:val="16"/>
              </w:rPr>
              <w:t xml:space="preserve"> (CO) · </w:t>
            </w:r>
            <w:r>
              <w:rPr>
                <w:b/>
                <w:color w:val="1A1A1A"/>
                <w:sz w:val="16"/>
              </w:rPr>
              <w:t>gratificaciones (julio y diciembre)</w:t>
            </w:r>
            <w:r>
              <w:rPr>
                <w:color w:val="1A1A1A"/>
                <w:sz w:val="16"/>
              </w:rPr>
              <w:t xml:space="preserve"> (PE) · </w:t>
            </w:r>
            <w:r>
              <w:rPr>
                <w:b/>
                <w:color w:val="1A1A1A"/>
                <w:sz w:val="16"/>
              </w:rPr>
              <w:t>aguinaldo, utilidades</w:t>
            </w:r>
            <w:r>
              <w:rPr>
                <w:color w:val="1A1A1A"/>
                <w:sz w:val="16"/>
              </w:rPr>
              <w:t xml:space="preserve"> (VE) · </w:t>
            </w:r>
            <w:r>
              <w:rPr>
                <w:b/>
                <w:color w:val="1A1A1A"/>
                <w:sz w:val="16"/>
              </w:rPr>
              <w:t>gratificación legal</w:t>
            </w:r>
            <w:r>
              <w:rPr>
                <w:color w:val="1A1A1A"/>
                <w:sz w:val="16"/>
              </w:rPr>
              <w:t xml:space="preserve"> (CL) · </w:t>
            </w:r>
            <w:r>
              <w:rPr>
                <w:b/>
                <w:color w:val="1A1A1A"/>
                <w:sz w:val="16"/>
              </w:rPr>
              <w:t>bono o aguinaldo (no obligatorio)</w:t>
            </w:r>
            <w:r>
              <w:rPr>
                <w:color w:val="1A1A1A"/>
                <w:sz w:val="16"/>
              </w:rPr>
              <w:t xml:space="preserve"> (CU, US) · Brasil (pt): </w:t>
            </w:r>
            <w:r>
              <w:rPr>
                <w:b/>
                <w:color w:val="1A1A1A"/>
                <w:sz w:val="16"/>
              </w:rPr>
              <w:t>13º salário</w:t>
            </w:r>
          </w:p>
        </w:tc>
        <w:tc>
          <w:tcPr>
            <w:tcW w:type="dxa" w:w="2016"/>
            <w:shd w:val="clear" w:color="auto" w:fill="FAF7F0"/>
          </w:tcPr>
          <w:p>
            <w:pPr>
              <w:spacing w:before="0" w:after="0" w:line="240" w:lineRule="auto"/>
            </w:pPr>
            <w:r>
              <w:rPr>
                <w:color w:val="1A1A1A"/>
                <w:sz w:val="16"/>
              </w:rPr>
              <w:t>En GT hay aguinaldo y Bono 14; en HN y EC décimo tercero y cuarto; en CO la prima se paga en junio y diciembre.</w:t>
            </w:r>
          </w:p>
        </w:tc>
      </w:tr>
      <w:tr>
        <w:trPr>
          <w:cantSplit/>
        </w:trPr>
        <w:tc>
          <w:tcPr>
            <w:tcW w:type="dxa" w:w="2016"/>
            <w:shd w:val="clear" w:color="auto" w:fill="F3EBD8"/>
          </w:tcPr>
          <w:p>
            <w:pPr>
              <w:spacing w:before="0" w:after="0" w:line="240" w:lineRule="auto"/>
            </w:pPr>
            <w:r>
              <w:rPr>
                <w:b/>
                <w:color w:val="1A1A1A"/>
                <w:sz w:val="16"/>
              </w:rPr>
              <w:t>SMI</w:t>
            </w:r>
          </w:p>
        </w:tc>
        <w:tc>
          <w:tcPr>
            <w:tcW w:type="dxa" w:w="5040"/>
          </w:tcPr>
          <w:p>
            <w:pPr>
              <w:spacing w:before="0" w:after="0" w:line="240" w:lineRule="auto"/>
            </w:pPr>
            <w:r>
              <w:rPr>
                <w:b/>
                <w:color w:val="1A1A1A"/>
                <w:sz w:val="16"/>
              </w:rPr>
              <w:t>salario mínimo</w:t>
            </w:r>
            <w:r>
              <w:rPr>
                <w:color w:val="1A1A1A"/>
                <w:sz w:val="16"/>
              </w:rPr>
              <w:t xml:space="preserve"> (MX, GT, HN, SV, NI, CR, PA, CU, DO, VE, BO, UY, PY) · </w:t>
            </w:r>
            <w:r>
              <w:rPr>
                <w:b/>
                <w:color w:val="1A1A1A"/>
                <w:sz w:val="16"/>
              </w:rPr>
              <w:t>SMMLV</w:t>
            </w:r>
            <w:r>
              <w:rPr>
                <w:color w:val="1A1A1A"/>
                <w:sz w:val="16"/>
              </w:rPr>
              <w:t xml:space="preserve"> (CO) · </w:t>
            </w:r>
            <w:r>
              <w:rPr>
                <w:b/>
                <w:color w:val="1A1A1A"/>
                <w:sz w:val="16"/>
              </w:rPr>
              <w:t>SMVM</w:t>
            </w:r>
            <w:r>
              <w:rPr>
                <w:color w:val="1A1A1A"/>
                <w:sz w:val="16"/>
              </w:rPr>
              <w:t xml:space="preserve"> (AR) · </w:t>
            </w:r>
            <w:r>
              <w:rPr>
                <w:b/>
                <w:color w:val="1A1A1A"/>
                <w:sz w:val="16"/>
              </w:rPr>
              <w:t>ingreso mínimo mensual</w:t>
            </w:r>
            <w:r>
              <w:rPr>
                <w:color w:val="1A1A1A"/>
                <w:sz w:val="16"/>
              </w:rPr>
              <w:t xml:space="preserve"> (CL) · </w:t>
            </w:r>
            <w:r>
              <w:rPr>
                <w:b/>
                <w:color w:val="1A1A1A"/>
                <w:sz w:val="16"/>
              </w:rPr>
              <w:t>RMV</w:t>
            </w:r>
            <w:r>
              <w:rPr>
                <w:color w:val="1A1A1A"/>
                <w:sz w:val="16"/>
              </w:rPr>
              <w:t xml:space="preserve"> (PE) · </w:t>
            </w:r>
            <w:r>
              <w:rPr>
                <w:b/>
                <w:color w:val="1A1A1A"/>
                <w:sz w:val="16"/>
              </w:rPr>
              <w:t>SBU</w:t>
            </w:r>
            <w:r>
              <w:rPr>
                <w:color w:val="1A1A1A"/>
                <w:sz w:val="16"/>
              </w:rPr>
              <w:t xml:space="preserve"> (EC) · </w:t>
            </w:r>
            <w:r>
              <w:rPr>
                <w:b/>
                <w:color w:val="1A1A1A"/>
                <w:sz w:val="16"/>
              </w:rPr>
              <w:t>minimum wage</w:t>
            </w:r>
            <w:r>
              <w:rPr>
                <w:color w:val="1A1A1A"/>
                <w:sz w:val="16"/>
              </w:rPr>
              <w:t xml:space="preserve"> (PR, US) · Brasil (pt): </w:t>
            </w:r>
            <w:r>
              <w:rPr>
                <w:b/>
                <w:color w:val="1A1A1A"/>
                <w:sz w:val="16"/>
              </w:rPr>
              <w:t>salário mínimo</w:t>
            </w:r>
          </w:p>
        </w:tc>
        <w:tc>
          <w:tcPr>
            <w:tcW w:type="dxa" w:w="2016"/>
          </w:tcPr>
          <w:p>
            <w:pPr>
              <w:spacing w:before="0" w:after="0" w:line="240" w:lineRule="auto"/>
            </w:pPr>
            <w:r>
              <w:rPr>
                <w:color w:val="1A1A1A"/>
                <w:sz w:val="16"/>
              </w:rPr>
              <w:t>El valor cambia cada año y por región (MX frontera, EE. UU. por estado); consúltalo en el ministerio de trabajo local.</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shd w:val="clear" w:color="auto" w:fill="FAF7F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shd w:val="clear" w:color="auto" w:fill="FAF7F0"/>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IAE</w:t>
            </w:r>
          </w:p>
        </w:tc>
        <w:tc>
          <w:tcPr>
            <w:tcW w:type="dxa" w:w="504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cotización</w:t>
            </w:r>
          </w:p>
        </w:tc>
        <w:tc>
          <w:tcPr>
            <w:tcW w:type="dxa" w:w="5040"/>
            <w:shd w:val="clear" w:color="auto" w:fill="FAF7F0"/>
          </w:tcPr>
          <w:p>
            <w:pPr>
              <w:spacing w:before="0" w:after="0" w:line="240" w:lineRule="auto"/>
            </w:pPr>
            <w:r>
              <w:rPr>
                <w:b/>
                <w:color w:val="1A1A1A"/>
                <w:sz w:val="16"/>
              </w:rPr>
              <w:t>cuotas obrero-patronales</w:t>
            </w:r>
            <w:r>
              <w:rPr>
                <w:color w:val="1A1A1A"/>
                <w:sz w:val="16"/>
              </w:rPr>
              <w:t xml:space="preserve"> (MX) · </w:t>
            </w:r>
            <w:r>
              <w:rPr>
                <w:b/>
                <w:color w:val="1A1A1A"/>
                <w:sz w:val="16"/>
              </w:rPr>
              <w:t>aportes</w:t>
            </w:r>
            <w:r>
              <w:rPr>
                <w:color w:val="1A1A1A"/>
                <w:sz w:val="16"/>
              </w:rPr>
              <w:t xml:space="preserve"> (GT, HN, SV, NI, CR, PA, CU, DO, CO, VE, EC, PE, BO, AR, UY, PY) · </w:t>
            </w:r>
            <w:r>
              <w:rPr>
                <w:b/>
                <w:color w:val="1A1A1A"/>
                <w:sz w:val="16"/>
              </w:rPr>
              <w:t>cotizaciones previsionales</w:t>
            </w:r>
            <w:r>
              <w:rPr>
                <w:color w:val="1A1A1A"/>
                <w:sz w:val="16"/>
              </w:rPr>
              <w:t xml:space="preserve"> (CL) · </w:t>
            </w:r>
            <w:r>
              <w:rPr>
                <w:b/>
                <w:color w:val="1A1A1A"/>
                <w:sz w:val="16"/>
              </w:rPr>
              <w:t>payroll taxes (FICA)</w:t>
            </w:r>
            <w:r>
              <w:rPr>
                <w:color w:val="1A1A1A"/>
                <w:sz w:val="16"/>
              </w:rPr>
              <w:t xml:space="preserve"> (PR, US) · Brasil (pt): </w:t>
            </w:r>
            <w:r>
              <w:rPr>
                <w:b/>
                <w:color w:val="1A1A1A"/>
                <w:sz w:val="16"/>
              </w:rPr>
              <w:t>contribuições previdenciárias</w:t>
            </w:r>
          </w:p>
        </w:tc>
        <w:tc>
          <w:tcPr>
            <w:tcW w:type="dxa" w:w="2016"/>
            <w:shd w:val="clear" w:color="auto" w:fill="FAF7F0"/>
          </w:tcPr>
          <w:p>
            <w:pPr>
              <w:spacing w:before="0" w:after="0" w:line="240" w:lineRule="auto"/>
            </w:pPr>
            <w:r>
              <w:rPr>
                <w:color w:val="1A1A1A"/>
                <w:sz w:val="16"/>
              </w:rPr>
              <w:t>Se paga a la institución local (IMSS, IGSS, BPS...); en CL «cotización» se mantiene igual que en España.</w:t>
            </w:r>
          </w:p>
        </w:tc>
      </w:tr>
      <w:tr>
        <w:trPr>
          <w:cantSplit/>
        </w:trPr>
        <w:tc>
          <w:tcPr>
            <w:tcW w:type="dxa" w:w="2016"/>
            <w:shd w:val="clear" w:color="auto" w:fill="F3EBD8"/>
          </w:tcPr>
          <w:p>
            <w:pPr>
              <w:spacing w:before="0" w:after="0" w:line="240" w:lineRule="auto"/>
            </w:pPr>
            <w:r>
              <w:rPr>
                <w:b/>
                <w:color w:val="1A1A1A"/>
                <w:sz w:val="16"/>
              </w:rPr>
              <w:t>fianza</w:t>
            </w:r>
          </w:p>
        </w:tc>
        <w:tc>
          <w:tcPr>
            <w:tcW w:type="dxa" w:w="5040"/>
          </w:tcPr>
          <w:p>
            <w:pPr>
              <w:spacing w:before="0" w:after="0" w:line="240" w:lineRule="auto"/>
            </w:pPr>
            <w:r>
              <w:rPr>
                <w:b/>
                <w:color w:val="1A1A1A"/>
                <w:sz w:val="16"/>
              </w:rPr>
              <w:t>depósito (en garantía)</w:t>
            </w:r>
            <w:r>
              <w:rPr>
                <w:color w:val="1A1A1A"/>
                <w:sz w:val="16"/>
              </w:rPr>
              <w:t xml:space="preserve"> (MX, GT, HN, SV, NI, CR, PA, CU, DO, PR, CO, VE, EC, BO, AR, UY, PY) · </w:t>
            </w:r>
            <w:r>
              <w:rPr>
                <w:b/>
                <w:color w:val="1A1A1A"/>
                <w:sz w:val="16"/>
              </w:rPr>
              <w:t>garantía, mes de garantía</w:t>
            </w:r>
            <w:r>
              <w:rPr>
                <w:color w:val="1A1A1A"/>
                <w:sz w:val="16"/>
              </w:rPr>
              <w:t xml:space="preserve"> (PE, CL) · </w:t>
            </w:r>
            <w:r>
              <w:rPr>
                <w:b/>
                <w:color w:val="1A1A1A"/>
                <w:sz w:val="16"/>
              </w:rPr>
              <w:t>security deposit (depósito de seguridad)</w:t>
            </w:r>
            <w:r>
              <w:rPr>
                <w:color w:val="1A1A1A"/>
                <w:sz w:val="16"/>
              </w:rPr>
              <w:t xml:space="preserve"> (US) · Brasil (pt): </w:t>
            </w:r>
            <w:r>
              <w:rPr>
                <w:b/>
                <w:color w:val="1A1A1A"/>
                <w:sz w:val="16"/>
              </w:rPr>
              <w:t>caução</w:t>
            </w:r>
          </w:p>
        </w:tc>
        <w:tc>
          <w:tcPr>
            <w:tcW w:type="dxa" w:w="2016"/>
          </w:tcPr>
          <w:p>
            <w:pPr>
              <w:spacing w:before="0" w:after="0" w:line="240" w:lineRule="auto"/>
            </w:pPr>
            <w:r>
              <w:rPr>
                <w:color w:val="1A1A1A"/>
                <w:sz w:val="16"/>
              </w:rPr>
              <w:t>En MX y CO «fianza» es una póliza afianzadora; el dinero que dejas al arrendador es el «depósito». En AR «garantía» es el garante.</w:t>
            </w:r>
          </w:p>
        </w:tc>
      </w:tr>
      <w:tr>
        <w:trPr>
          <w:cantSplit/>
        </w:trPr>
        <w:tc>
          <w:tcPr>
            <w:tcW w:type="dxa" w:w="2016"/>
            <w:shd w:val="clear" w:color="auto" w:fill="F3EBD8"/>
          </w:tcPr>
          <w:p>
            <w:pPr>
              <w:spacing w:before="0" w:after="0" w:line="240" w:lineRule="auto"/>
            </w:pPr>
            <w:r>
              <w:rPr>
                <w:b/>
                <w:color w:val="1A1A1A"/>
                <w:sz w:val="16"/>
              </w:rPr>
              <w:t>licencia de actividad</w:t>
            </w:r>
          </w:p>
        </w:tc>
        <w:tc>
          <w:tcPr>
            <w:tcW w:type="dxa" w:w="5040"/>
            <w:shd w:val="clear" w:color="auto" w:fill="FAF7F0"/>
          </w:tcPr>
          <w:p>
            <w:pPr>
              <w:spacing w:before="0" w:after="0" w:line="240" w:lineRule="auto"/>
            </w:pPr>
            <w:r>
              <w:rPr>
                <w:b/>
                <w:color w:val="1A1A1A"/>
                <w:sz w:val="16"/>
              </w:rPr>
              <w:t>licencia de funcionamiento</w:t>
            </w:r>
            <w:r>
              <w:rPr>
                <w:color w:val="1A1A1A"/>
                <w:sz w:val="16"/>
              </w:rPr>
              <w:t xml:space="preserve"> (MX, HN, SV, NI, CU, DO, PE, BO) · </w:t>
            </w:r>
            <w:r>
              <w:rPr>
                <w:b/>
                <w:color w:val="1A1A1A"/>
                <w:sz w:val="16"/>
              </w:rPr>
              <w:t>habilitación comercial (municipal)</w:t>
            </w:r>
            <w:r>
              <w:rPr>
                <w:color w:val="1A1A1A"/>
                <w:sz w:val="16"/>
              </w:rPr>
              <w:t xml:space="preserve"> (AR, UY, PY) · </w:t>
            </w:r>
            <w:r>
              <w:rPr>
                <w:b/>
                <w:color w:val="1A1A1A"/>
                <w:sz w:val="16"/>
              </w:rPr>
              <w:t>patente comercial</w:t>
            </w:r>
            <w:r>
              <w:rPr>
                <w:color w:val="1A1A1A"/>
                <w:sz w:val="16"/>
              </w:rPr>
              <w:t xml:space="preserve"> (GT, CR, CL) · </w:t>
            </w:r>
            <w:r>
              <w:rPr>
                <w:b/>
                <w:color w:val="1A1A1A"/>
                <w:sz w:val="16"/>
              </w:rPr>
              <w:t>aviso de operación</w:t>
            </w:r>
            <w:r>
              <w:rPr>
                <w:color w:val="1A1A1A"/>
                <w:sz w:val="16"/>
              </w:rPr>
              <w:t xml:space="preserve"> (PA) · </w:t>
            </w:r>
            <w:r>
              <w:rPr>
                <w:b/>
                <w:color w:val="1A1A1A"/>
                <w:sz w:val="16"/>
              </w:rPr>
              <w:t>LUAF (Licencia Única de Actividades Económicas)</w:t>
            </w:r>
            <w:r>
              <w:rPr>
                <w:color w:val="1A1A1A"/>
                <w:sz w:val="16"/>
              </w:rPr>
              <w:t xml:space="preserve"> (EC) · </w:t>
            </w:r>
            <w:r>
              <w:rPr>
                <w:b/>
                <w:color w:val="1A1A1A"/>
                <w:sz w:val="16"/>
              </w:rPr>
              <w:t>registro mercantil + concepto sanitario + uso de suelo</w:t>
            </w:r>
            <w:r>
              <w:rPr>
                <w:color w:val="1A1A1A"/>
                <w:sz w:val="16"/>
              </w:rPr>
              <w:t xml:space="preserve"> (CO) · </w:t>
            </w:r>
            <w:r>
              <w:rPr>
                <w:b/>
                <w:color w:val="1A1A1A"/>
                <w:sz w:val="16"/>
              </w:rPr>
              <w:t>licencia de actividades económicas</w:t>
            </w:r>
            <w:r>
              <w:rPr>
                <w:color w:val="1A1A1A"/>
                <w:sz w:val="16"/>
              </w:rPr>
              <w:t xml:space="preserve"> (VE) · </w:t>
            </w:r>
            <w:r>
              <w:rPr>
                <w:b/>
                <w:color w:val="1A1A1A"/>
                <w:sz w:val="16"/>
              </w:rPr>
              <w:t>Permiso Único</w:t>
            </w:r>
            <w:r>
              <w:rPr>
                <w:color w:val="1A1A1A"/>
                <w:sz w:val="16"/>
              </w:rPr>
              <w:t xml:space="preserve"> (PR) · </w:t>
            </w:r>
            <w:r>
              <w:rPr>
                <w:b/>
                <w:color w:val="1A1A1A"/>
                <w:sz w:val="16"/>
              </w:rPr>
              <w:t>business license + health permit</w:t>
            </w:r>
            <w:r>
              <w:rPr>
                <w:color w:val="1A1A1A"/>
                <w:sz w:val="16"/>
              </w:rPr>
              <w:t xml:space="preserve"> (US) · Brasil (pt): </w:t>
            </w:r>
            <w:r>
              <w:rPr>
                <w:b/>
                <w:color w:val="1A1A1A"/>
                <w:sz w:val="16"/>
              </w:rPr>
              <w:t>alvará de funcionamento</w:t>
            </w:r>
          </w:p>
        </w:tc>
        <w:tc>
          <w:tcPr>
            <w:tcW w:type="dxa" w:w="2016"/>
            <w:shd w:val="clear" w:color="auto" w:fill="FAF7F0"/>
          </w:tcPr>
          <w:p>
            <w:pPr>
              <w:spacing w:before="0" w:after="0" w:line="240" w:lineRule="auto"/>
            </w:pPr>
            <w:r>
              <w:rPr>
                <w:color w:val="1A1A1A"/>
                <w:sz w:val="16"/>
              </w:rPr>
              <w:t>En MX se pide además el aviso de funcionamiento (COFEPRIS). En EC la LUAF se tramita en el municipio.</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tcPr>
          <w:p>
            <w:pPr>
              <w:spacing w:before="0" w:after="0" w:line="240" w:lineRule="auto"/>
            </w:pPr>
            <w:r>
              <w:rPr>
                <w:color w:val="1A1A1A"/>
                <w:sz w:val="16"/>
              </w:rPr>
              <w:t>En MX se oye «checador»; en AR el «libro de asistencia» es obligatorio para empleadores en algunas provincias.</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shd w:val="clear" w:color="auto" w:fill="FAF7F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shd w:val="clear" w:color="auto" w:fill="FAF7F0"/>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alquiler</w:t>
            </w:r>
          </w:p>
        </w:tc>
        <w:tc>
          <w:tcPr>
            <w:tcW w:type="dxa" w:w="5040"/>
          </w:tcPr>
          <w:p>
            <w:pPr>
              <w:spacing w:before="0" w:after="0" w:line="240" w:lineRule="auto"/>
            </w:pPr>
            <w:r>
              <w:rPr>
                <w:b/>
                <w:color w:val="1A1A1A"/>
                <w:sz w:val="16"/>
              </w:rPr>
              <w:t>renta</w:t>
            </w:r>
            <w:r>
              <w:rPr>
                <w:color w:val="1A1A1A"/>
                <w:sz w:val="16"/>
              </w:rPr>
              <w:t xml:space="preserve"> (MX, US) · </w:t>
            </w:r>
            <w:r>
              <w:rPr>
                <w:b/>
                <w:color w:val="1A1A1A"/>
                <w:sz w:val="16"/>
              </w:rPr>
              <w:t>arriendo</w:t>
            </w:r>
            <w:r>
              <w:rPr>
                <w:color w:val="1A1A1A"/>
                <w:sz w:val="16"/>
              </w:rPr>
              <w:t xml:space="preserve"> (CO, EC, CL) · Igual que en España: GT, HN, SV, NI, CR, PA, CU, DO, PR, VE, PE, BO, AR, UY, PY · Brasil (pt): </w:t>
            </w:r>
            <w:r>
              <w:rPr>
                <w:b/>
                <w:color w:val="1A1A1A"/>
                <w:sz w:val="16"/>
              </w:rPr>
              <w:t>aluguel</w:t>
            </w:r>
          </w:p>
        </w:tc>
        <w:tc>
          <w:tcPr>
            <w:tcW w:type="dxa" w:w="2016"/>
          </w:tcPr>
          <w:p>
            <w:pPr>
              <w:spacing w:before="0" w:after="0" w:line="240" w:lineRule="auto"/>
            </w:pPr>
            <w:r>
              <w:rPr>
                <w:color w:val="1A1A1A"/>
                <w:sz w:val="16"/>
              </w:rPr>
              <w:t>En MX «renta» es el alquiler; en PR conviven «renta» y «alquiler»; en BO el «anticrético» es una figura propia.</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shd w:val="clear" w:color="auto" w:fill="FAF7F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shd w:val="clear" w:color="auto" w:fill="FAF7F0"/>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contrato indefinido</w:t>
            </w:r>
          </w:p>
        </w:tc>
        <w:tc>
          <w:tcPr>
            <w:tcW w:type="dxa" w:w="5040"/>
          </w:tcPr>
          <w:p>
            <w:pPr>
              <w:spacing w:before="0" w:after="0" w:line="240" w:lineRule="auto"/>
            </w:pPr>
            <w:r>
              <w:rPr>
                <w:b/>
                <w:color w:val="1A1A1A"/>
                <w:sz w:val="16"/>
              </w:rPr>
              <w:t>contrato por tiempo indeterminado</w:t>
            </w:r>
            <w:r>
              <w:rPr>
                <w:color w:val="1A1A1A"/>
                <w:sz w:val="16"/>
              </w:rPr>
              <w:t xml:space="preserve"> (MX, VE, BO, AR, UY, PY) · </w:t>
            </w:r>
            <w:r>
              <w:rPr>
                <w:b/>
                <w:color w:val="1A1A1A"/>
                <w:sz w:val="16"/>
              </w:rPr>
              <w:t>contrato a término indefinido</w:t>
            </w:r>
            <w:r>
              <w:rPr>
                <w:color w:val="1A1A1A"/>
                <w:sz w:val="16"/>
              </w:rPr>
              <w:t xml:space="preserve"> (CO) · </w:t>
            </w:r>
            <w:r>
              <w:rPr>
                <w:b/>
                <w:color w:val="1A1A1A"/>
                <w:sz w:val="16"/>
              </w:rPr>
              <w:t>contrato a plazo indeterminado</w:t>
            </w:r>
            <w:r>
              <w:rPr>
                <w:color w:val="1A1A1A"/>
                <w:sz w:val="16"/>
              </w:rPr>
              <w:t xml:space="preserve"> (PE) · </w:t>
            </w:r>
            <w:r>
              <w:rPr>
                <w:b/>
                <w:color w:val="1A1A1A"/>
                <w:sz w:val="16"/>
              </w:rPr>
              <w:t>contrato por tiempo indefinido</w:t>
            </w:r>
            <w:r>
              <w:rPr>
                <w:color w:val="1A1A1A"/>
                <w:sz w:val="16"/>
              </w:rPr>
              <w:t xml:space="preserve"> (HN, SV, CR, PA) · </w:t>
            </w:r>
            <w:r>
              <w:rPr>
                <w:b/>
                <w:color w:val="1A1A1A"/>
                <w:sz w:val="16"/>
              </w:rPr>
              <w:t>at-will employment (sin contrato fijo)</w:t>
            </w:r>
            <w:r>
              <w:rPr>
                <w:color w:val="1A1A1A"/>
                <w:sz w:val="16"/>
              </w:rPr>
              <w:t xml:space="preserve"> (US) · Igual que en España: GT, NI, CU, DO, PR, EC, CL · Brasil (pt): </w:t>
            </w:r>
            <w:r>
              <w:rPr>
                <w:b/>
                <w:color w:val="1A1A1A"/>
                <w:sz w:val="16"/>
              </w:rPr>
              <w:t>contrato por prazo indeterminado (CLT)</w:t>
            </w:r>
          </w:p>
        </w:tc>
        <w:tc>
          <w:tcPr>
            <w:tcW w:type="dxa" w:w="2016"/>
          </w:tcPr>
          <w:p>
            <w:pPr>
              <w:spacing w:before="0" w:after="0" w:line="240" w:lineRule="auto"/>
            </w:pPr>
            <w:r>
              <w:rPr>
                <w:color w:val="1A1A1A"/>
                <w:sz w:val="16"/>
              </w:rPr>
              <w:t>En CL y EC se llama «contrato indefinido», igual que en España.</w:t>
            </w:r>
          </w:p>
        </w:tc>
      </w:tr>
      <w:tr>
        <w:trPr>
          <w:cantSplit/>
        </w:trPr>
        <w:tc>
          <w:tcPr>
            <w:tcW w:type="dxa" w:w="2016"/>
            <w:shd w:val="clear" w:color="auto" w:fill="F3EBD8"/>
          </w:tcPr>
          <w:p>
            <w:pPr>
              <w:spacing w:before="0" w:after="0" w:line="240" w:lineRule="auto"/>
            </w:pPr>
            <w:r>
              <w:rPr>
                <w:b/>
                <w:color w:val="1A1A1A"/>
                <w:sz w:val="16"/>
              </w:rPr>
              <w:t>convenio colectivo</w:t>
            </w:r>
          </w:p>
        </w:tc>
        <w:tc>
          <w:tcPr>
            <w:tcW w:type="dxa" w:w="5040"/>
            <w:shd w:val="clear" w:color="auto" w:fill="FAF7F0"/>
          </w:tcPr>
          <w:p>
            <w:pPr>
              <w:spacing w:before="0" w:after="0" w:line="240" w:lineRule="auto"/>
            </w:pPr>
            <w:r>
              <w:rPr>
                <w:b/>
                <w:color w:val="1A1A1A"/>
                <w:sz w:val="16"/>
              </w:rPr>
              <w:t>contrato colectivo (de trabajo)</w:t>
            </w:r>
            <w:r>
              <w:rPr>
                <w:color w:val="1A1A1A"/>
                <w:sz w:val="16"/>
              </w:rPr>
              <w:t xml:space="preserve"> (MX, HN, SV, EC, CL, PY) · </w:t>
            </w:r>
            <w:r>
              <w:rPr>
                <w:b/>
                <w:color w:val="1A1A1A"/>
                <w:sz w:val="16"/>
              </w:rPr>
              <w:t>convención colectiva</w:t>
            </w:r>
            <w:r>
              <w:rPr>
                <w:color w:val="1A1A1A"/>
                <w:sz w:val="16"/>
              </w:rPr>
              <w:t xml:space="preserve"> (CR, PA, CO, VE, PE) · </w:t>
            </w:r>
            <w:r>
              <w:rPr>
                <w:b/>
                <w:color w:val="1A1A1A"/>
                <w:sz w:val="16"/>
              </w:rPr>
              <w:t>pacto colectivo de condiciones de trabajo</w:t>
            </w:r>
            <w:r>
              <w:rPr>
                <w:color w:val="1A1A1A"/>
                <w:sz w:val="16"/>
              </w:rPr>
              <w:t xml:space="preserve"> (GT, DO) · </w:t>
            </w:r>
            <w:r>
              <w:rPr>
                <w:b/>
                <w:color w:val="1A1A1A"/>
                <w:sz w:val="16"/>
              </w:rPr>
              <w:t>convenio colectivo de trabajo</w:t>
            </w:r>
            <w:r>
              <w:rPr>
                <w:color w:val="1A1A1A"/>
                <w:sz w:val="16"/>
              </w:rPr>
              <w:t xml:space="preserve"> (NI, PR, BO, AR, UY) · </w:t>
            </w:r>
            <w:r>
              <w:rPr>
                <w:b/>
                <w:color w:val="1A1A1A"/>
                <w:sz w:val="16"/>
              </w:rPr>
              <w:t>union contract (convenio sindical)</w:t>
            </w:r>
            <w:r>
              <w:rPr>
                <w:color w:val="1A1A1A"/>
                <w:sz w:val="16"/>
              </w:rPr>
              <w:t xml:space="preserve"> (US) · Igual que en España: CU · Brasil (pt): </w:t>
            </w:r>
            <w:r>
              <w:rPr>
                <w:b/>
                <w:color w:val="1A1A1A"/>
                <w:sz w:val="16"/>
              </w:rPr>
              <w:t>convenção coletiva</w:t>
            </w:r>
          </w:p>
        </w:tc>
        <w:tc>
          <w:tcPr>
            <w:tcW w:type="dxa" w:w="2016"/>
            <w:shd w:val="clear" w:color="auto" w:fill="FAF7F0"/>
          </w:tcPr>
          <w:p>
            <w:pPr>
              <w:spacing w:before="0" w:after="0" w:line="240" w:lineRule="auto"/>
            </w:pPr>
            <w:r>
              <w:rPr>
                <w:color w:val="1A1A1A"/>
                <w:sz w:val="16"/>
              </w:rPr>
              <w:t>AR: hostelería = CCT UTHGRA; UY: Consejo de Salarios, grupo 13 (hoteles, restaurantes y bares).</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tcPr>
          <w:p>
            <w:pPr>
              <w:spacing w:before="0" w:after="0" w:line="240" w:lineRule="auto"/>
            </w:pPr>
            <w:r>
              <w:rPr>
                <w:color w:val="1A1A1A"/>
                <w:sz w:val="16"/>
              </w:rPr>
              <w:t>En CO el SG-SST es obligatorio para toda empresa; en MX las reglas son NOM de la STPS; en EE. UU., OSHA.</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DDD</w:t>
            </w:r>
          </w:p>
        </w:tc>
        <w:tc>
          <w:tcPr>
            <w:tcW w:type="dxa" w:w="5040"/>
            <w:shd w:val="clear" w:color="auto" w:fill="FAF7F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shd w:val="clear" w:color="auto" w:fill="FAF7F0"/>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tcPr>
          <w:p>
            <w:pPr>
              <w:spacing w:before="0" w:after="0" w:line="240" w:lineRule="auto"/>
            </w:pPr>
            <w:r>
              <w:rPr>
                <w:color w:val="1A1A1A"/>
                <w:sz w:val="16"/>
              </w:rPr>
              <w:t>En EE. UU. se dice «el walk-in» (cooler para frío, freezer para congelado).</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shd w:val="clear" w:color="auto" w:fill="FAF7F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shd w:val="clear" w:color="auto" w:fill="FAF7F0"/>
          </w:tcPr>
          <w:p>
            <w:pPr>
              <w:spacing w:before="0" w:after="0" w:line="240" w:lineRule="auto"/>
            </w:pPr>
            <w:r>
              <w:rPr>
                <w:color w:val="1A1A1A"/>
                <w:sz w:val="16"/>
              </w:rPr>
              <w:t>El documento varía: en MX, el curso del Distintivo H; en PE el carné de sanidad ya no es exigible; en EE. UU., el food handler card.</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shd w:val="clear" w:color="auto" w:fill="FAF7F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shd w:val="clear" w:color="auto" w:fill="FAF7F0"/>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shd w:val="clear" w:color="auto" w:fill="FAF7F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shd w:val="clear" w:color="auto" w:fill="FAF7F0"/>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salida de humos</w:t>
            </w:r>
          </w:p>
        </w:tc>
        <w:tc>
          <w:tcPr>
            <w:tcW w:type="dxa" w:w="5040"/>
          </w:tcPr>
          <w:p>
            <w:pPr>
              <w:spacing w:before="0" w:after="0" w:line="240" w:lineRule="auto"/>
            </w:pPr>
            <w:r>
              <w:rPr>
                <w:b/>
                <w:color w:val="1A1A1A"/>
                <w:sz w:val="16"/>
              </w:rPr>
              <w:t>ducto de extracción, chimenea</w:t>
            </w:r>
            <w:r>
              <w:rPr>
                <w:color w:val="1A1A1A"/>
                <w:sz w:val="16"/>
              </w:rPr>
              <w:t xml:space="preserve"> (MX, GT, HN, SV, NI, CR, PA, CU, DO, PR, CO, VE, EC, PE, BO, CL, US) · </w:t>
            </w:r>
            <w:r>
              <w:rPr>
                <w:b/>
                <w:color w:val="1A1A1A"/>
                <w:sz w:val="16"/>
              </w:rPr>
              <w:t>conducto de extracción, salida de humos</w:t>
            </w:r>
            <w:r>
              <w:rPr>
                <w:color w:val="1A1A1A"/>
                <w:sz w:val="16"/>
              </w:rPr>
              <w:t xml:space="preserve"> (AR, UY, PY) · Brasil (pt): </w:t>
            </w:r>
            <w:r>
              <w:rPr>
                <w:b/>
                <w:color w:val="1A1A1A"/>
                <w:sz w:val="16"/>
              </w:rPr>
              <w:t>duto de exaustão</w:t>
            </w:r>
          </w:p>
        </w:tc>
        <w:tc>
          <w:tcPr>
            <w:tcW w:type="dxa" w:w="2016"/>
          </w:tcPr>
          <w:p>
            <w:pPr>
              <w:spacing w:before="0" w:after="0" w:line="240" w:lineRule="auto"/>
            </w:pPr>
            <w:r>
              <w:rPr>
                <w:color w:val="1A1A1A"/>
                <w:sz w:val="16"/>
              </w:rPr>
              <w:t>El conducto de la campana al exterior; en AR «conducto» y en el resto «ducto».</w:t>
            </w:r>
          </w:p>
        </w:tc>
      </w:tr>
      <w:tr>
        <w:trPr>
          <w:cantSplit/>
        </w:trPr>
        <w:tc>
          <w:tcPr>
            <w:tcW w:type="dxa" w:w="2016"/>
            <w:shd w:val="clear" w:color="auto" w:fill="F3EBD8"/>
          </w:tcPr>
          <w:p>
            <w:pPr>
              <w:spacing w:before="0" w:after="0" w:line="240" w:lineRule="auto"/>
            </w:pPr>
            <w:r>
              <w:rPr>
                <w:b/>
                <w:color w:val="1A1A1A"/>
                <w:sz w:val="16"/>
              </w:rPr>
              <w:t>vestuario</w:t>
            </w:r>
          </w:p>
        </w:tc>
        <w:tc>
          <w:tcPr>
            <w:tcW w:type="dxa" w:w="5040"/>
            <w:shd w:val="clear" w:color="auto" w:fill="FAF7F0"/>
          </w:tcPr>
          <w:p>
            <w:pPr>
              <w:spacing w:before="0" w:after="0" w:line="240" w:lineRule="auto"/>
            </w:pPr>
            <w:r>
              <w:rPr>
                <w:b/>
                <w:color w:val="1A1A1A"/>
                <w:sz w:val="16"/>
              </w:rPr>
              <w:t>vestidor(es)</w:t>
            </w:r>
            <w:r>
              <w:rPr>
                <w:color w:val="1A1A1A"/>
                <w:sz w:val="16"/>
              </w:rPr>
              <w:t xml:space="preserve"> (MX, GT, HN, SV, NI, CR, PA, DO, PR, EC, PE, BO) · </w:t>
            </w:r>
            <w:r>
              <w:rPr>
                <w:b/>
                <w:color w:val="1A1A1A"/>
                <w:sz w:val="16"/>
              </w:rPr>
              <w:t>vestier</w:t>
            </w:r>
            <w:r>
              <w:rPr>
                <w:color w:val="1A1A1A"/>
                <w:sz w:val="16"/>
              </w:rPr>
              <w:t xml:space="preserve"> (CO, VE) · </w:t>
            </w:r>
            <w:r>
              <w:rPr>
                <w:b/>
                <w:color w:val="1A1A1A"/>
                <w:sz w:val="16"/>
              </w:rPr>
              <w:t>camarín</w:t>
            </w:r>
            <w:r>
              <w:rPr>
                <w:color w:val="1A1A1A"/>
                <w:sz w:val="16"/>
              </w:rPr>
              <w:t xml:space="preserve"> (CL) · </w:t>
            </w:r>
            <w:r>
              <w:rPr>
                <w:b/>
                <w:color w:val="1A1A1A"/>
                <w:sz w:val="16"/>
              </w:rPr>
              <w:t>vestuario</w:t>
            </w:r>
            <w:r>
              <w:rPr>
                <w:color w:val="1A1A1A"/>
                <w:sz w:val="16"/>
              </w:rPr>
              <w:t xml:space="preserve"> (CU, AR, UY, PY) · </w:t>
            </w:r>
            <w:r>
              <w:rPr>
                <w:b/>
                <w:color w:val="1A1A1A"/>
                <w:sz w:val="16"/>
              </w:rPr>
              <w:t>locker room, vestidor</w:t>
            </w:r>
            <w:r>
              <w:rPr>
                <w:color w:val="1A1A1A"/>
                <w:sz w:val="16"/>
              </w:rPr>
              <w:t xml:space="preserve"> (US) · Brasil (pt): </w:t>
            </w:r>
            <w:r>
              <w:rPr>
                <w:b/>
                <w:color w:val="1A1A1A"/>
                <w:sz w:val="16"/>
              </w:rPr>
              <w:t>vestiário</w:t>
            </w:r>
          </w:p>
        </w:tc>
        <w:tc>
          <w:tcPr>
            <w:tcW w:type="dxa" w:w="2016"/>
            <w:shd w:val="clear" w:color="auto" w:fill="FAF7F0"/>
          </w:tcPr>
          <w:p>
            <w:pPr>
              <w:spacing w:before="0" w:after="0" w:line="240" w:lineRule="auto"/>
            </w:pPr>
            <w:r>
              <w:rPr>
                <w:color w:val="1A1A1A"/>
                <w:sz w:val="16"/>
              </w:rPr>
              <w:t>En CO «vestier» es el cuarto de cambio del personal.</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tcPr>
          <w:p>
            <w:pPr>
              <w:spacing w:before="0" w:after="0" w:line="240" w:lineRule="auto"/>
            </w:pPr>
            <w:r>
              <w:rPr>
                <w:color w:val="1A1A1A"/>
                <w:sz w:val="16"/>
              </w:rPr>
              <w:t>Falso amigo: «restauración» en LatAm se entiende como restaurar (arte, edificios); el sector se llama gastronomía.</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shd w:val="clear" w:color="auto" w:fill="FAF7F0"/>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pastelería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confeitaria</w:t>
            </w:r>
          </w:p>
        </w:tc>
        <w:tc>
          <w:tcPr>
            <w:tcW w:type="dxa" w:w="2016"/>
          </w:tcPr>
          <w:p>
            <w:pPr>
              <w:spacing w:before="0" w:after="0" w:line="240" w:lineRule="auto"/>
            </w:pPr>
            <w:r>
              <w:rPr>
                <w:color w:val="1A1A1A"/>
                <w:sz w:val="16"/>
              </w:rPr>
              <w:t>Falso amigo: «pastel» es tarta en MX pero pastel salado en CL.</w:t>
            </w:r>
          </w:p>
        </w:tc>
      </w:tr>
      <w:tr>
        <w:trPr>
          <w:cantSplit/>
        </w:trPr>
        <w:tc>
          <w:tcPr>
            <w:tcW w:type="dxa" w:w="2016"/>
            <w:shd w:val="clear" w:color="auto" w:fill="F3EBD8"/>
          </w:tcPr>
          <w:p>
            <w:pPr>
              <w:spacing w:before="0" w:after="0" w:line="240" w:lineRule="auto"/>
            </w:pPr>
            <w:r>
              <w:rPr>
                <w:b/>
                <w:color w:val="1A1A1A"/>
                <w:sz w:val="16"/>
              </w:rPr>
              <w:t>cafetería</w:t>
            </w:r>
          </w:p>
        </w:tc>
        <w:tc>
          <w:tcPr>
            <w:tcW w:type="dxa" w:w="5040"/>
            <w:shd w:val="clear" w:color="auto" w:fill="FAF7F0"/>
          </w:tcPr>
          <w:p>
            <w:pPr>
              <w:spacing w:before="0" w:after="0" w:line="240" w:lineRule="auto"/>
            </w:pPr>
            <w:r>
              <w:rPr>
                <w:b/>
                <w:color w:val="1A1A1A"/>
                <w:sz w:val="16"/>
              </w:rPr>
              <w:t>confitería, café</w:t>
            </w:r>
            <w:r>
              <w:rPr>
                <w:color w:val="1A1A1A"/>
                <w:sz w:val="16"/>
              </w:rPr>
              <w:t xml:space="preserve"> (AR, UY) · Igual que en España: MX, GT, HN, SV, NI, CR, PA, CU, DO, PR, CO, VE, EC, PE, BO, CL, PY, US · Brasil (pt): </w:t>
            </w:r>
            <w:r>
              <w:rPr>
                <w:b/>
                <w:color w:val="1A1A1A"/>
                <w:sz w:val="16"/>
              </w:rPr>
              <w:t>cafeteria / café</w:t>
            </w:r>
          </w:p>
        </w:tc>
        <w:tc>
          <w:tcPr>
            <w:tcW w:type="dxa" w:w="2016"/>
            <w:shd w:val="clear" w:color="auto" w:fill="FAF7F0"/>
          </w:tcPr>
          <w:p>
            <w:pPr>
              <w:spacing w:before="0" w:after="0" w:line="240" w:lineRule="auto"/>
            </w:pPr>
            <w:r>
              <w:rPr>
                <w:color w:val="1A1A1A"/>
                <w:sz w:val="16"/>
              </w:rPr>
              <w:t>En AR «confitería» es el local con pastelería; en US el local de café es «coffee shop» o «cafecito».</w:t>
            </w:r>
          </w:p>
        </w:tc>
      </w:tr>
      <w:tr>
        <w:trPr>
          <w:cantSplit/>
        </w:trPr>
        <w:tc>
          <w:tcPr>
            <w:tcW w:type="dxa" w:w="2016"/>
            <w:shd w:val="clear" w:color="auto" w:fill="F3EBD8"/>
          </w:tcPr>
          <w:p>
            <w:pPr>
              <w:spacing w:before="0" w:after="0" w:line="240" w:lineRule="auto"/>
            </w:pPr>
            <w:r>
              <w:rPr>
                <w:b/>
                <w:color w:val="1A1A1A"/>
                <w:sz w:val="16"/>
              </w:rPr>
              <w:t>hostelero</w:t>
            </w:r>
          </w:p>
        </w:tc>
        <w:tc>
          <w:tcPr>
            <w:tcW w:type="dxa" w:w="5040"/>
          </w:tcPr>
          <w:p>
            <w:pPr>
              <w:spacing w:before="0" w:after="0" w:line="240" w:lineRule="auto"/>
            </w:pPr>
            <w:r>
              <w:rPr>
                <w:b/>
                <w:color w:val="1A1A1A"/>
                <w:sz w:val="16"/>
              </w:rPr>
              <w:t>restaurantero</w:t>
            </w:r>
            <w:r>
              <w:rPr>
                <w:color w:val="1A1A1A"/>
                <w:sz w:val="16"/>
              </w:rPr>
              <w:t xml:space="preserve"> (MX, GT, US) · </w:t>
            </w:r>
            <w:r>
              <w:rPr>
                <w:b/>
                <w:color w:val="1A1A1A"/>
                <w:sz w:val="16"/>
              </w:rPr>
              <w:t>empresario gastronómico</w:t>
            </w:r>
            <w:r>
              <w:rPr>
                <w:color w:val="1A1A1A"/>
                <w:sz w:val="16"/>
              </w:rPr>
              <w:t xml:space="preserve"> (CO, VE, EC, PE, BO, CL, AR, UY, PY) · </w:t>
            </w:r>
            <w:r>
              <w:rPr>
                <w:b/>
                <w:color w:val="1A1A1A"/>
                <w:sz w:val="16"/>
              </w:rPr>
              <w:t>dueño de restaurante / bar</w:t>
            </w:r>
            <w:r>
              <w:rPr>
                <w:color w:val="1A1A1A"/>
                <w:sz w:val="16"/>
              </w:rPr>
              <w:t xml:space="preserve"> (HN, SV, NI, CR, PA, CU, DO, PR) · Brasil (pt): </w:t>
            </w:r>
            <w:r>
              <w:rPr>
                <w:b/>
                <w:color w:val="1A1A1A"/>
                <w:sz w:val="16"/>
              </w:rPr>
              <w:t>empresário do setor de alimentação</w:t>
            </w:r>
          </w:p>
        </w:tc>
        <w:tc>
          <w:tcPr>
            <w:tcW w:type="dxa" w:w="2016"/>
          </w:tcPr>
          <w:p>
            <w:pPr>
              <w:spacing w:before="0" w:after="0" w:line="240" w:lineRule="auto"/>
            </w:pPr>
            <w:r>
              <w:rPr>
                <w:color w:val="1A1A1A"/>
                <w:sz w:val="16"/>
              </w:rPr>
              <w:t>Falso amigo: «hostelero» no se usa fuera de ES; «gastronómico» como sustantivo es de AR.</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r>
        <w:trPr>
          <w:cantSplit/>
        </w:trPr>
        <w:tc>
          <w:tcPr>
            <w:tcW w:type="dxa" w:w="2016"/>
            <w:shd w:val="clear" w:color="auto" w:fill="F3EBD8"/>
          </w:tcPr>
          <w:p>
            <w:pPr>
              <w:spacing w:before="0" w:after="0" w:line="240" w:lineRule="auto"/>
            </w:pPr>
            <w:r>
              <w:rPr>
                <w:b/>
                <w:color w:val="1A1A1A"/>
                <w:sz w:val="16"/>
              </w:rPr>
              <w:t>tercio</w:t>
            </w:r>
          </w:p>
        </w:tc>
        <w:tc>
          <w:tcPr>
            <w:tcW w:type="dxa" w:w="5040"/>
            <w:shd w:val="clear" w:color="auto" w:fill="FAF7F0"/>
          </w:tcPr>
          <w:p>
            <w:pPr>
              <w:spacing w:before="0" w:after="0" w:line="240" w:lineRule="auto"/>
            </w:pPr>
            <w:r>
              <w:rPr>
                <w:b/>
                <w:color w:val="1A1A1A"/>
                <w:sz w:val="16"/>
              </w:rPr>
              <w:t>botella de 330 ml / botellita</w:t>
            </w:r>
            <w:r>
              <w:rPr>
                <w:color w:val="1A1A1A"/>
                <w:sz w:val="16"/>
              </w:rPr>
              <w:t xml:space="preserve"> (MX, GT, HN, SV, NI, CR, PA, CU, DO, PR, CO, EC, PE, BO, CL, AR, UY, PY, US) · </w:t>
            </w:r>
            <w:r>
              <w:rPr>
                <w:b/>
                <w:color w:val="1A1A1A"/>
                <w:sz w:val="16"/>
              </w:rPr>
              <w:t>tercio</w:t>
            </w:r>
            <w:r>
              <w:rPr>
                <w:color w:val="1A1A1A"/>
                <w:sz w:val="16"/>
              </w:rPr>
              <w:t xml:space="preserve"> (VE) · Brasil (pt): </w:t>
            </w:r>
            <w:r>
              <w:rPr>
                <w:b/>
                <w:color w:val="1A1A1A"/>
                <w:sz w:val="16"/>
              </w:rPr>
              <w:t>garrafinha de 330 ml</w:t>
            </w:r>
          </w:p>
        </w:tc>
        <w:tc>
          <w:tcPr>
            <w:tcW w:type="dxa" w:w="2016"/>
            <w:shd w:val="clear" w:color="auto" w:fill="FAF7F0"/>
          </w:tcPr>
          <w:p>
            <w:pPr>
              <w:spacing w:before="0" w:after="0" w:line="240" w:lineRule="auto"/>
            </w:pPr>
            <w:r>
              <w:rPr>
                <w:color w:val="1A1A1A"/>
                <w:sz w:val="16"/>
              </w:rPr>
              <w:t>Falso amigo: en ES «tercio» es 33 cl. En AR «porrón»; en MX «caguama» (940 ml) y «cuartito».</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Plan de Negocio Panadería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Plan de Negocio Panadería</dc:title>
  <dc:subject>Vocabulario, impuestos, sanidad, normas laborales y unidades de 20 países para adaptar tu producto</dc:subject>
  <dc:creator>AI Chef Pro</dc:creator>
  <cp:keywords>equivalencias, hostelería, vocabulario, Hispanoamérica, Plan de Negocio Panadería</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