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Situaciones Resueltas del Manager de Restaurante</w:t>
      </w:r>
    </w:p>
    <w:p>
      <w:r>
        <w:rPr>
          <w:b/>
          <w:i w:val="0"/>
        </w:rPr>
        <w:t>Bonus del pack «Manual del Manager de Restaurante» · con los datos de las siete herramientas Excel</w:t>
      </w:r>
    </w:p>
    <w:p>
      <w:pPr>
        <w:jc w:val="center"/>
      </w:pPr>
      <w:r>
        <w:rPr>
          <w:i/>
          <w:color w:val="444444"/>
        </w:rPr>
        <w:t>John Guerrero · AI Chef Pro · aichef.pro</w:t>
      </w:r>
    </w:p>
    <w:p>
      <w:r>
        <w:rPr>
          <w:b w:val="0"/>
          <w:i w:val="0"/>
        </w:rPr>
        <w:t>Doce situaciones que le pasan a cualquier manager: una baja a dos horas del servicio, la caja que no cuadra, un cliente que pide la hoja de reclamaciones, una inspección sin avisar, un despido que hay que hacer bien. Cada una con los datos del caso, lo que NO hay que hacer, el protocolo paso a paso, la norma que aplica con su artículo y la herramienta del pack que se usa; y cuando hay que hablar con alguien, el guion literal de la conversación. No hay ninguna cifra inventada: cada número sale de una celda que puedes abrir y comprobar.</w:t>
      </w:r>
    </w:p>
    <w:p>
      <w:r>
        <w:rPr>
          <w:b/>
          <w:i w:val="0"/>
        </w:rPr>
        <w:t>Versión 1.0 · septiembre de 2026 · aichef.pro/manual-manager-restaurante</w:t>
      </w:r>
    </w:p>
    <w:p>
      <w:r>
        <w:br w:type="page"/>
      </w:r>
    </w:p>
    <w:p>
      <w:pPr>
        <w:pStyle w:val="Heading1"/>
      </w:pPr>
      <w:r>
        <w:t>Índice</w:t>
      </w:r>
    </w:p>
    <w:p>
      <w:pPr>
        <w:pStyle w:val="ListNumber"/>
      </w:pPr>
      <w:r>
        <w:rPr>
          <w:b/>
          <w:i w:val="0"/>
        </w:rPr>
        <w:t>Una Baja a Dos Horas del Servicio del Viernes</w:t>
      </w:r>
      <w:r>
        <w:rPr>
          <w:b w:val="0"/>
          <w:i w:val="0"/>
        </w:rPr>
        <w:t xml:space="preserve"> - quién puede cubrir la estación que se queda vacía, y qué se hace cuando la respuesta es «nadie».</w:t>
      </w:r>
    </w:p>
    <w:p>
      <w:pPr>
        <w:pStyle w:val="ListNumber"/>
      </w:pPr>
      <w:r>
        <w:rPr>
          <w:b/>
          <w:i w:val="0"/>
        </w:rPr>
        <w:t>La Caja Descuadra 40 Euros Tres Días Seguidos</w:t>
      </w:r>
      <w:r>
        <w:rPr>
          <w:b w:val="0"/>
          <w:i w:val="0"/>
        </w:rPr>
        <w:t xml:space="preserve"> - cómo se acota un descuadre repetido sin acusar a nadie, y en qué orden se descartan las causas.</w:t>
      </w:r>
    </w:p>
    <w:p>
      <w:pPr>
        <w:pStyle w:val="ListNumber"/>
      </w:pPr>
      <w:r>
        <w:rPr>
          <w:b/>
          <w:i w:val="0"/>
        </w:rPr>
        <w:t>Un Cliente Pide la Hoja de Reclamaciones</w:t>
      </w:r>
      <w:r>
        <w:rPr>
          <w:b w:val="0"/>
          <w:i w:val="0"/>
        </w:rPr>
        <w:t xml:space="preserve"> - qué hay que entregar, en qué plazo hay que contestar y por qué eso depende de tu comunidad.</w:t>
      </w:r>
    </w:p>
    <w:p>
      <w:pPr>
        <w:pStyle w:val="ListNumber"/>
      </w:pPr>
      <w:r>
        <w:rPr>
          <w:b/>
          <w:i w:val="0"/>
        </w:rPr>
        <w:t>Una Reseña de Una Estrella Acusa al Local de una Intoxicación</w:t>
      </w:r>
      <w:r>
        <w:rPr>
          <w:b w:val="0"/>
          <w:i w:val="0"/>
        </w:rPr>
        <w:t xml:space="preserve"> - la respuesta pública, la investigación interna y por qué las dos son cosas distintas.</w:t>
      </w:r>
    </w:p>
    <w:p>
      <w:pPr>
        <w:pStyle w:val="ListNumber"/>
      </w:pPr>
      <w:r>
        <w:rPr>
          <w:b/>
          <w:i w:val="0"/>
        </w:rPr>
        <w:t>Un Camarero Lleva 19 Meses Encadenando Contratos Temporales</w:t>
      </w:r>
      <w:r>
        <w:rPr>
          <w:b w:val="0"/>
          <w:i w:val="0"/>
        </w:rPr>
        <w:t xml:space="preserve"> - qué ha pasado ya, qué se puede hacer todavía y cuánto cuesta no hacerlo.</w:t>
      </w:r>
    </w:p>
    <w:p>
      <w:pPr>
        <w:pStyle w:val="ListNumber"/>
      </w:pPr>
      <w:r>
        <w:rPr>
          <w:b/>
          <w:i w:val="0"/>
        </w:rPr>
        <w:t>La Semana Cierra con un Prime Cost del 71 Por Ciento</w:t>
      </w:r>
      <w:r>
        <w:rPr>
          <w:b w:val="0"/>
          <w:i w:val="0"/>
        </w:rPr>
        <w:t xml:space="preserve"> - las tres preguntas del lunes por la mañana cuando el semáforo se pone en rojo.</w:t>
      </w:r>
    </w:p>
    <w:p>
      <w:pPr>
        <w:pStyle w:val="ListNumber"/>
      </w:pPr>
      <w:r>
        <w:rPr>
          <w:b/>
          <w:i w:val="0"/>
        </w:rPr>
        <w:t>Una Reducción de Jornada por Guarda Legal Justo en el Viernes Noche</w:t>
      </w:r>
      <w:r>
        <w:rPr>
          <w:b w:val="0"/>
          <w:i w:val="0"/>
        </w:rPr>
        <w:t xml:space="preserve"> - quién elige el horario, qué margen tiene la empresa y cómo se recompone el cuadrante.</w:t>
      </w:r>
    </w:p>
    <w:p>
      <w:pPr>
        <w:pStyle w:val="ListNumber"/>
      </w:pPr>
      <w:r>
        <w:rPr>
          <w:b/>
          <w:i w:val="0"/>
        </w:rPr>
        <w:t>Se Presenta una Inspección de Sanidad sin Avisar</w:t>
      </w:r>
      <w:r>
        <w:rPr>
          <w:b w:val="0"/>
          <w:i w:val="0"/>
        </w:rPr>
        <w:t xml:space="preserve"> - qué se enseña, quién acompaña, qué se firma y qué se hace con el acta.</w:t>
      </w:r>
    </w:p>
    <w:p>
      <w:pPr>
        <w:pStyle w:val="ListNumber"/>
      </w:pPr>
      <w:r>
        <w:rPr>
          <w:b/>
          <w:i w:val="0"/>
        </w:rPr>
        <w:t>Una Empleada Comunica una Situación de Acoso</w:t>
      </w:r>
      <w:r>
        <w:rPr>
          <w:b w:val="0"/>
          <w:i w:val="0"/>
        </w:rPr>
        <w:t xml:space="preserve"> - qué se activa en el momento, qué NO se hace nunca y por qué el protocolo tiene que existir antes.</w:t>
      </w:r>
    </w:p>
    <w:p>
      <w:pPr>
        <w:pStyle w:val="ListNumber"/>
      </w:pPr>
      <w:r>
        <w:rPr>
          <w:b/>
          <w:i w:val="0"/>
        </w:rPr>
        <w:t>El Cocinero Clave se Va y Sólo Él Sabe Hacer la Partida Fría</w:t>
      </w:r>
      <w:r>
        <w:rPr>
          <w:b w:val="0"/>
          <w:i w:val="0"/>
        </w:rPr>
        <w:t xml:space="preserve"> - las dos semanas de preaviso, lo que se puede transferir en ese tiempo y lo que ya no.</w:t>
      </w:r>
    </w:p>
    <w:p>
      <w:pPr>
        <w:pStyle w:val="ListNumber"/>
      </w:pPr>
      <w:r>
        <w:rPr>
          <w:b/>
          <w:i w:val="0"/>
        </w:rPr>
        <w:t>El Propietario Quiere Subir la Carta un 10 Por Ciento y Tú Tienes los Números</w:t>
      </w:r>
      <w:r>
        <w:rPr>
          <w:b w:val="0"/>
          <w:i w:val="0"/>
        </w:rPr>
        <w:t xml:space="preserve"> - qué dicen tus cifras antes de tocar un precio, y cómo se lleva esa conversación con datos.</w:t>
      </w:r>
    </w:p>
    <w:p>
      <w:pPr>
        <w:pStyle w:val="ListNumber"/>
      </w:pPr>
      <w:r>
        <w:rPr>
          <w:b/>
          <w:i w:val="0"/>
        </w:rPr>
        <w:t>Hay que Despedir por Causas Disciplinarias</w:t>
      </w:r>
      <w:r>
        <w:rPr>
          <w:b w:val="0"/>
          <w:i w:val="0"/>
        </w:rPr>
        <w:t xml:space="preserve"> - la audiencia previa de dos días, qué se escribe en la carta y qué pasa si te saltas el procedimiento.</w:t>
      </w:r>
    </w:p>
    <w:p>
      <w:r>
        <w:br w:type="page"/>
      </w:r>
    </w:p>
    <w:p>
      <w:pPr>
        <w:pStyle w:val="Heading1"/>
      </w:pPr>
      <w:r>
        <w:t>1. Una Baja a Dos Horas del Servicio del Viernes</w:t>
      </w:r>
    </w:p>
    <w:p>
      <w:pPr>
        <w:pStyle w:val="Heading2"/>
      </w:pPr>
      <w:r>
        <w:t>La situación</w:t>
      </w:r>
    </w:p>
    <w:p>
      <w:r>
        <w:rPr>
          <w:b w:val="0"/>
          <w:i w:val="0"/>
        </w:rPr>
        <w:t>Son las seis y cuarto de la tarde de un viernes y suena el teléfono: el camarero (mesero) de fríos y entrantes avisa de que no puede venir esta noche. El servicio empieza a las ocho, hay reservas confirmadas para toda la sala y el equipo de La Encina son 12 personas repartidas entre 6 estaciones de trabajo. Fríos y entrantes la sostiene una sola persona, y esa misma persona es también la única que sabe enseñarla: su cobertura es del 8,3 %, la más baja de la casa, y es la única estación marcada como punto único de fallo. Pase y caliente, en cambio, tiene un 33,3 % de cobertura: ahí sí hay margen. Lo que se decide ahora no es a quién se llama primero, es si esta noche se sirve la carta completa o no.</w:t>
      </w:r>
    </w:p>
    <w:p>
      <w:pPr>
        <w:pStyle w:val="Heading2"/>
      </w:pPr>
      <w:r>
        <w:t>Qué no hacer</w:t>
      </w:r>
    </w:p>
    <w:p>
      <w:r>
        <w:rPr>
          <w:b w:val="0"/>
          <w:i w:val="0"/>
        </w:rPr>
        <w:t>Escribir al grupo del equipo pidiendo que «quien pueda» se acerque reparte la decisión entre doce personas y la retrasa hasta que alguien conteste, o hasta que nadie lo haga: a las siete y media ya no hay margen para elegir con calma. Pedirle a quien cerró anoche que doble turno sin mirar cuántas horas han pasado desde el final de esa jornada suma un problema legal al operativo. Y decidir a ojo, por quién parece que se le da bien fríos y entrantes, ignora la única fuente fiable, que es la matriz de formación y polivalencia: el manager (gerente/encargado) no tiene por qué recordar quién pasó esa prueba y quién no.</w:t>
      </w:r>
    </w:p>
    <w:p>
      <w:pPr>
        <w:pStyle w:val="Heading2"/>
      </w:pPr>
      <w:r>
        <w:t>Protocolo paso a paso</w:t>
      </w:r>
    </w:p>
    <w:p>
      <w:pPr>
        <w:pStyle w:val="ListBullet"/>
      </w:pPr>
      <w:r>
        <w:rPr>
          <w:b w:val="0"/>
          <w:i w:val="0"/>
        </w:rPr>
        <w:t>Abrir la matriz de formación y polivalencia y mirar la fila de fríos y entrantes: quién la sostiene, quién puede enseñarla y qué otra estación puede prestar a alguien sin quedarse descubierta.</w:t>
      </w:r>
    </w:p>
    <w:p>
      <w:pPr>
        <w:pStyle w:val="ListBullet"/>
      </w:pPr>
      <w:r>
        <w:rPr>
          <w:b w:val="0"/>
          <w:i w:val="0"/>
        </w:rPr>
        <w:t>Llamar por el orden de nivel que marca la matriz, no por orden de confianza o de amistad: el segundo nombre de la lista, no el primero que contesta al chat.</w:t>
      </w:r>
    </w:p>
    <w:p>
      <w:pPr>
        <w:pStyle w:val="ListBullet"/>
      </w:pPr>
      <w:r>
        <w:rPr>
          <w:b w:val="0"/>
          <w:i w:val="0"/>
        </w:rPr>
        <w:t>Antes de proponer nada, comprobar el descanso entre jornadas de esa persona. Si no llega a las doce horas desde el final de su último turno, queda fuera de la propuesta, sin excepción.</w:t>
      </w:r>
    </w:p>
    <w:p>
      <w:pPr>
        <w:pStyle w:val="ListBullet"/>
      </w:pPr>
      <w:r>
        <w:rPr>
          <w:b w:val="0"/>
          <w:i w:val="0"/>
        </w:rPr>
        <w:t>Si nadie de la matriz cumple las dos condiciones -saber la estación y tener el descanso hecho-, la pregunta deja de ser a quién se llama y pasa a ser qué se retira: reducir la oferta de la carta a lo que pase y caliente puede sostener sola, o limitar los cubiertos que se aceptan esta noche. Servir con una estación sin cobertura real sale más caro que un plato menos en la carta.</w:t>
      </w:r>
    </w:p>
    <w:p>
      <w:pPr>
        <w:pStyle w:val="Heading2"/>
      </w:pPr>
      <w:r>
        <w:t>La norma que aplica</w:t>
      </w:r>
    </w:p>
    <w:p>
      <w:r>
        <w:rPr>
          <w:b w:val="0"/>
          <w:i w:val="0"/>
        </w:rPr>
        <w:t>El descanso mínimo entre el fin de una jornada y el inicio de la siguiente es de 12 horas, la jornada ordinaria tiene un máximo de 9 horas diarias salvo pacto, y el descanso semanal es de día y medio ininterrumpido, acumulable por periodos de hasta 14 días: 12 h / 9 h / 1,5 días acumulables en 14 (arts. 34.3 y 37.1 del Estatuto de los Trabajadores, verificado el 4 de septiembre de 2026). Ninguna urgencia de viernes lo suspende. Y si la cobertura de esa urgencia acaba generando horas extra, hay un tope anual que vigilar aparte: salvar una noche no puede convertirse en la excusa para agotarlo.</w:t>
      </w:r>
    </w:p>
    <w:p>
      <w:pPr>
        <w:pStyle w:val="Heading2"/>
      </w:pPr>
      <w:r>
        <w:t>La herramienta y el guion</w:t>
      </w:r>
    </w:p>
    <w:p>
      <w:r>
        <w:rPr>
          <w:b w:val="0"/>
          <w:i w:val="0"/>
        </w:rPr>
        <w:t>La matriz de formación y polivalencia responde en segundos a quién puede cubrir esto hoy; la hoja de coste de una baja pone precio a la decisión que se tome, con un impacto estimado total de 3.075,87 € para esta plantilla. Y la llamada no empieza por «te necesito», que no dice qué se le está pidiendo a la otra persona. Empieza así: «¿Puedes entrar hoy a las siete y media y salir a la una? Te lo compenso con un día libre la semana que viene, tú eliges cuál.» Con la hora de entrada, la hora de salida y la compensación dichas en la misma frase, la respuesta que se obtiene es un sí o un no real, no un silencio que hay que interpretar.</w:t>
      </w:r>
    </w:p>
    <w:p>
      <w:r>
        <w:rPr>
          <w:b/>
          <w:i w:val="0"/>
        </w:rPr>
        <w:t>Quién puede cubrir cada estación, hoy (matriz-formacion-polivalencia.xlsx, hoja «Cobertura por Estación»)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Estación</w:t>
            </w:r>
          </w:p>
        </w:tc>
        <w:tc>
          <w:tcPr>
            <w:tcW w:type="dxa" w:w="1949"/>
          </w:tcPr>
          <w:p>
            <w:r/>
            <w:r>
              <w:rPr>
                <w:b/>
                <w:i w:val="0"/>
              </w:rPr>
              <w:t>Personas que la sostienen</w:t>
            </w:r>
          </w:p>
        </w:tc>
        <w:tc>
          <w:tcPr>
            <w:tcW w:type="dxa" w:w="1949"/>
          </w:tcPr>
          <w:p>
            <w:r/>
            <w:r>
              <w:rPr>
                <w:b/>
                <w:i w:val="0"/>
              </w:rPr>
              <w:t>Personas que pueden enseñarla</w:t>
            </w:r>
          </w:p>
        </w:tc>
        <w:tc>
          <w:tcPr>
            <w:tcW w:type="dxa" w:w="1949"/>
          </w:tcPr>
          <w:p>
            <w:r/>
            <w:r>
              <w:rPr>
                <w:b/>
                <w:i w:val="0"/>
              </w:rPr>
              <w:t>Cobertura (%)</w:t>
            </w:r>
          </w:p>
        </w:tc>
        <w:tc>
          <w:tcPr>
            <w:tcW w:type="dxa" w:w="1949"/>
          </w:tcPr>
          <w:p>
            <w:r/>
            <w:r>
              <w:rPr>
                <w:b/>
                <w:i w:val="0"/>
              </w:rPr>
              <w:t>Alerta</w:t>
            </w:r>
          </w:p>
        </w:tc>
      </w:tr>
      <w:tr>
        <w:tc>
          <w:tcPr>
            <w:tcW w:type="dxa" w:w="1949"/>
          </w:tcPr>
          <w:p>
            <w:r/>
            <w:r>
              <w:rPr>
                <w:b w:val="0"/>
                <w:i w:val="0"/>
              </w:rPr>
              <w:t>Pase y caliente</w:t>
            </w:r>
          </w:p>
        </w:tc>
        <w:tc>
          <w:tcPr>
            <w:tcW w:type="dxa" w:w="1949"/>
          </w:tcPr>
          <w:p>
            <w:r/>
            <w:r>
              <w:rPr>
                <w:b w:val="0"/>
                <w:i w:val="0"/>
              </w:rPr>
              <w:t>4</w:t>
            </w:r>
          </w:p>
        </w:tc>
        <w:tc>
          <w:tcPr>
            <w:tcW w:type="dxa" w:w="1949"/>
          </w:tcPr>
          <w:p>
            <w:r/>
            <w:r>
              <w:rPr>
                <w:b w:val="0"/>
                <w:i w:val="0"/>
              </w:rPr>
              <w:t>2</w:t>
            </w:r>
          </w:p>
        </w:tc>
        <w:tc>
          <w:tcPr>
            <w:tcW w:type="dxa" w:w="1949"/>
          </w:tcPr>
          <w:p>
            <w:r/>
            <w:r>
              <w:rPr>
                <w:b w:val="0"/>
                <w:i w:val="0"/>
              </w:rPr>
              <w:t>33,3 %</w:t>
            </w:r>
          </w:p>
        </w:tc>
        <w:tc>
          <w:tcPr>
            <w:tcW w:type="dxa" w:w="1949"/>
          </w:tcPr>
          <w:p>
            <w:r/>
            <w:r>
              <w:rPr>
                <w:b w:val="0"/>
                <w:i w:val="0"/>
              </w:rPr>
              <w:t>Cobertura suficiente</w:t>
            </w:r>
          </w:p>
        </w:tc>
      </w:tr>
      <w:tr>
        <w:tc>
          <w:tcPr>
            <w:tcW w:type="dxa" w:w="1949"/>
          </w:tcPr>
          <w:p>
            <w:r/>
            <w:r>
              <w:rPr>
                <w:b w:val="0"/>
                <w:i w:val="0"/>
              </w:rPr>
              <w:t>Fríos y entrantes</w:t>
            </w:r>
          </w:p>
        </w:tc>
        <w:tc>
          <w:tcPr>
            <w:tcW w:type="dxa" w:w="1949"/>
          </w:tcPr>
          <w:p>
            <w:r/>
            <w:r>
              <w:rPr>
                <w:b w:val="0"/>
                <w:i w:val="0"/>
              </w:rPr>
              <w:t>1</w:t>
            </w:r>
          </w:p>
        </w:tc>
        <w:tc>
          <w:tcPr>
            <w:tcW w:type="dxa" w:w="1949"/>
          </w:tcPr>
          <w:p>
            <w:r/>
            <w:r>
              <w:rPr>
                <w:b w:val="0"/>
                <w:i w:val="0"/>
              </w:rPr>
              <w:t>1</w:t>
            </w:r>
          </w:p>
        </w:tc>
        <w:tc>
          <w:tcPr>
            <w:tcW w:type="dxa" w:w="1949"/>
          </w:tcPr>
          <w:p>
            <w:r/>
            <w:r>
              <w:rPr>
                <w:b w:val="0"/>
                <w:i w:val="0"/>
              </w:rPr>
              <w:t>8,3 %</w:t>
            </w:r>
          </w:p>
        </w:tc>
        <w:tc>
          <w:tcPr>
            <w:tcW w:type="dxa" w:w="1949"/>
          </w:tcPr>
          <w:p>
            <w:r/>
            <w:r>
              <w:rPr>
                <w:b w:val="0"/>
                <w:i w:val="0"/>
              </w:rPr>
              <w:t>RIESGO: punto único de fallo, solo 1 persona puede sostener esta estación</w:t>
            </w:r>
          </w:p>
        </w:tc>
      </w:tr>
      <w:tr>
        <w:tc>
          <w:tcPr>
            <w:tcW w:type="dxa" w:w="1949"/>
          </w:tcPr>
          <w:p>
            <w:r/>
            <w:r>
              <w:rPr>
                <w:b w:val="0"/>
                <w:i w:val="0"/>
              </w:rPr>
              <w:t>Postres y panadería</w:t>
            </w:r>
          </w:p>
        </w:tc>
        <w:tc>
          <w:tcPr>
            <w:tcW w:type="dxa" w:w="1949"/>
          </w:tcPr>
          <w:p>
            <w:r/>
            <w:r>
              <w:rPr>
                <w:b w:val="0"/>
                <w:i w:val="0"/>
              </w:rPr>
              <w:t>3</w:t>
            </w:r>
          </w:p>
        </w:tc>
        <w:tc>
          <w:tcPr>
            <w:tcW w:type="dxa" w:w="1949"/>
          </w:tcPr>
          <w:p>
            <w:r/>
            <w:r>
              <w:rPr>
                <w:b w:val="0"/>
                <w:i w:val="0"/>
              </w:rPr>
              <w:t>1</w:t>
            </w:r>
          </w:p>
        </w:tc>
        <w:tc>
          <w:tcPr>
            <w:tcW w:type="dxa" w:w="1949"/>
          </w:tcPr>
          <w:p>
            <w:r/>
            <w:r>
              <w:rPr>
                <w:b w:val="0"/>
                <w:i w:val="0"/>
              </w:rPr>
              <w:t>25,0 %</w:t>
            </w:r>
          </w:p>
        </w:tc>
        <w:tc>
          <w:tcPr>
            <w:tcW w:type="dxa" w:w="1949"/>
          </w:tcPr>
          <w:p>
            <w:r/>
            <w:r>
              <w:rPr>
                <w:b w:val="0"/>
                <w:i w:val="0"/>
              </w:rPr>
              <w:t>Cobertura suficiente</w:t>
            </w:r>
          </w:p>
        </w:tc>
      </w:tr>
      <w:tr>
        <w:tc>
          <w:tcPr>
            <w:tcW w:type="dxa" w:w="1949"/>
          </w:tcPr>
          <w:p>
            <w:r/>
            <w:r>
              <w:rPr>
                <w:b w:val="0"/>
                <w:i w:val="0"/>
              </w:rPr>
              <w:t>Barra y bebidas</w:t>
            </w:r>
          </w:p>
        </w:tc>
        <w:tc>
          <w:tcPr>
            <w:tcW w:type="dxa" w:w="1949"/>
          </w:tcPr>
          <w:p>
            <w:r/>
            <w:r>
              <w:rPr>
                <w:b w:val="0"/>
                <w:i w:val="0"/>
              </w:rPr>
              <w:t>4</w:t>
            </w:r>
          </w:p>
        </w:tc>
        <w:tc>
          <w:tcPr>
            <w:tcW w:type="dxa" w:w="1949"/>
          </w:tcPr>
          <w:p>
            <w:r/>
            <w:r>
              <w:rPr>
                <w:b w:val="0"/>
                <w:i w:val="0"/>
              </w:rPr>
              <w:t>2</w:t>
            </w:r>
          </w:p>
        </w:tc>
        <w:tc>
          <w:tcPr>
            <w:tcW w:type="dxa" w:w="1949"/>
          </w:tcPr>
          <w:p>
            <w:r/>
            <w:r>
              <w:rPr>
                <w:b w:val="0"/>
                <w:i w:val="0"/>
              </w:rPr>
              <w:t>33,3 %</w:t>
            </w:r>
          </w:p>
        </w:tc>
        <w:tc>
          <w:tcPr>
            <w:tcW w:type="dxa" w:w="1949"/>
          </w:tcPr>
          <w:p>
            <w:r/>
            <w:r>
              <w:rPr>
                <w:b w:val="0"/>
                <w:i w:val="0"/>
              </w:rPr>
              <w:t>Cobertura suficiente</w:t>
            </w:r>
          </w:p>
        </w:tc>
      </w:tr>
      <w:tr>
        <w:tc>
          <w:tcPr>
            <w:tcW w:type="dxa" w:w="1949"/>
          </w:tcPr>
          <w:p>
            <w:r/>
            <w:r>
              <w:rPr>
                <w:b w:val="0"/>
                <w:i w:val="0"/>
              </w:rPr>
              <w:t>Sala y servicio</w:t>
            </w:r>
          </w:p>
        </w:tc>
        <w:tc>
          <w:tcPr>
            <w:tcW w:type="dxa" w:w="1949"/>
          </w:tcPr>
          <w:p>
            <w:r/>
            <w:r>
              <w:rPr>
                <w:b w:val="0"/>
                <w:i w:val="0"/>
              </w:rPr>
              <w:t>5</w:t>
            </w:r>
          </w:p>
        </w:tc>
        <w:tc>
          <w:tcPr>
            <w:tcW w:type="dxa" w:w="1949"/>
          </w:tcPr>
          <w:p>
            <w:r/>
            <w:r>
              <w:rPr>
                <w:b w:val="0"/>
                <w:i w:val="0"/>
              </w:rPr>
              <w:t>4</w:t>
            </w:r>
          </w:p>
        </w:tc>
        <w:tc>
          <w:tcPr>
            <w:tcW w:type="dxa" w:w="1949"/>
          </w:tcPr>
          <w:p>
            <w:r/>
            <w:r>
              <w:rPr>
                <w:b w:val="0"/>
                <w:i w:val="0"/>
              </w:rPr>
              <w:t>41,7 %</w:t>
            </w:r>
          </w:p>
        </w:tc>
        <w:tc>
          <w:tcPr>
            <w:tcW w:type="dxa" w:w="1949"/>
          </w:tcPr>
          <w:p>
            <w:r/>
            <w:r>
              <w:rPr>
                <w:b w:val="0"/>
                <w:i w:val="0"/>
              </w:rPr>
              <w:t>Cobertura suficiente</w:t>
            </w:r>
          </w:p>
        </w:tc>
      </w:tr>
      <w:tr>
        <w:tc>
          <w:tcPr>
            <w:tcW w:type="dxa" w:w="1949"/>
          </w:tcPr>
          <w:p>
            <w:r/>
            <w:r>
              <w:rPr>
                <w:b w:val="0"/>
                <w:i w:val="0"/>
              </w:rPr>
              <w:t>Caja y cierre</w:t>
            </w:r>
          </w:p>
        </w:tc>
        <w:tc>
          <w:tcPr>
            <w:tcW w:type="dxa" w:w="1949"/>
          </w:tcPr>
          <w:p>
            <w:r/>
            <w:r>
              <w:rPr>
                <w:b w:val="0"/>
                <w:i w:val="0"/>
              </w:rPr>
              <w:t>3</w:t>
            </w:r>
          </w:p>
        </w:tc>
        <w:tc>
          <w:tcPr>
            <w:tcW w:type="dxa" w:w="1949"/>
          </w:tcPr>
          <w:p>
            <w:r/>
            <w:r>
              <w:rPr>
                <w:b w:val="0"/>
                <w:i w:val="0"/>
              </w:rPr>
              <w:t>2</w:t>
            </w:r>
          </w:p>
        </w:tc>
        <w:tc>
          <w:tcPr>
            <w:tcW w:type="dxa" w:w="1949"/>
          </w:tcPr>
          <w:p>
            <w:r/>
            <w:r>
              <w:rPr>
                <w:b w:val="0"/>
                <w:i w:val="0"/>
              </w:rPr>
              <w:t>25,0 %</w:t>
            </w:r>
          </w:p>
        </w:tc>
        <w:tc>
          <w:tcPr>
            <w:tcW w:type="dxa" w:w="1949"/>
          </w:tcPr>
          <w:p>
            <w:r/>
            <w:r>
              <w:rPr>
                <w:b w:val="0"/>
                <w:i w:val="0"/>
              </w:rPr>
              <w:t>Cobertura suficiente</w:t>
            </w:r>
          </w:p>
        </w:tc>
      </w:tr>
    </w:tbl>
    <w:p/>
    <w:p>
      <w:r>
        <w:br w:type="page"/>
      </w:r>
    </w:p>
    <w:p>
      <w:pPr>
        <w:pStyle w:val="Heading1"/>
      </w:pPr>
      <w:r>
        <w:t>2. La Caja Descuadra 40 Euros Tres Días Seguidos</w:t>
      </w:r>
    </w:p>
    <w:p>
      <w:pPr>
        <w:pStyle w:val="Heading2"/>
      </w:pPr>
      <w:r>
        <w:t>La situación</w:t>
      </w:r>
    </w:p>
    <w:p>
      <w:r>
        <w:rPr>
          <w:b w:val="0"/>
          <w:i w:val="0"/>
        </w:rPr>
        <w:t>Tres cierres seguidos, mismo turno, mismo descuadre: 40 euros de menos en el arqueo (corte de caja) de los tres últimos días. En una casa con un ticket medio de 55,10 € y 22.263 tickets al año, cuarenta euros parecen una cifra menor, y es justo esa apariencia la que permite que el descuadre sobreviva sin que nadie lo persiga: sobre unas ventas netas de 1.226.661 € y un margen tras prime cost de 456.666 €, nadie mira una diferencia de 40 € como si fuera relevante. Lo que la hace significativa no es el importe, es que se repite: la misma cantidad, tres noches, el mismo turno.</w:t>
      </w:r>
    </w:p>
    <w:p>
      <w:pPr>
        <w:pStyle w:val="Heading2"/>
      </w:pPr>
      <w:r>
        <w:t>Qué no hacer</w:t>
      </w:r>
    </w:p>
    <w:p>
      <w:r>
        <w:rPr>
          <w:b w:val="0"/>
          <w:i w:val="0"/>
        </w:rPr>
        <w:t>Preguntar en el grupo del equipo si alguien sabe algo de la caja de esos días avisa a quien lo esté haciendo, si es que hay alguien haciéndolo, y no aporta ningún dato nuevo. Cambiar a la persona de ese turno «por si acaso», sin haber revisado nada del sistema ni del proceso, castiga a alguien que puede ser inocente y deja intacta la causa real. Y dar el descuadre por bueno porque «total, es poco dinero» convierte una anomalía detectable en un hábito: la próxima vez no habrá tres días de aviso, habrá cuarenta. Las tres reacciones tienen algo en común: sustituyen el análisis por la sospecha, y una sospecha sin dato no se cierra nunca, se arrastra.</w:t>
      </w:r>
    </w:p>
    <w:p>
      <w:pPr>
        <w:pStyle w:val="Heading2"/>
      </w:pPr>
      <w:r>
        <w:t>Protocolo paso a paso</w:t>
      </w:r>
    </w:p>
    <w:p>
      <w:pPr>
        <w:pStyle w:val="ListBullet"/>
      </w:pPr>
      <w:r>
        <w:rPr>
          <w:b w:val="0"/>
          <w:i w:val="0"/>
        </w:rPr>
        <w:t>Primera pasada, el sistema: revisar en el TPV las anulaciones del turno, comprobando que cada una lleva su motivo anotado, las invitaciones registradas, los cambios de forma de pago de efectivo a tarjeta o al revés, y las propinas cobradas por tarjeta que puedan haberse mezclado con la venta.</w:t>
      </w:r>
    </w:p>
    <w:p>
      <w:pPr>
        <w:pStyle w:val="ListBullet"/>
      </w:pPr>
      <w:r>
        <w:rPr>
          <w:b w:val="0"/>
          <w:i w:val="0"/>
        </w:rPr>
        <w:t>Segunda pasada, el proceso: comprobar el fondo de caja de apertura, si hubo cambios de turno sin corte intermedio y si se registraron cobros con el cajón abierto fuera de una venta.</w:t>
      </w:r>
    </w:p>
    <w:p>
      <w:pPr>
        <w:pStyle w:val="ListBullet"/>
      </w:pPr>
      <w:r>
        <w:rPr>
          <w:b w:val="0"/>
          <w:i w:val="0"/>
        </w:rPr>
        <w:t>Sólo entonces, la conversación: se tiene en privado, con el dato delante -qué días, qué importe, qué turno- y nunca en el pasillo ni delante del resto del equipo. Empieza por el proceso, no por la persona: «Llevamos tres cierres con la misma diferencia en tu turno y quiero repasar contigo el corte paso a paso, no estoy dando nada por hecho.»</w:t>
      </w:r>
    </w:p>
    <w:p>
      <w:pPr>
        <w:pStyle w:val="ListBullet"/>
      </w:pPr>
      <w:r>
        <w:rPr>
          <w:b w:val="0"/>
          <w:i w:val="0"/>
        </w:rPr>
        <w:t>Mientras se revisa, el manager (gerente/encargado) puede apoyarse en el cuadro de mando semanal para ver si esos 40 € por noche están moviendo el margen de la semana o se quedan dentro del ruido habitual del negocio.</w:t>
      </w:r>
    </w:p>
    <w:p>
      <w:pPr>
        <w:pStyle w:val="Heading2"/>
      </w:pPr>
      <w:r>
        <w:t>La norma que aplica</w:t>
      </w:r>
    </w:p>
    <w:p>
      <w:r>
        <w:rPr>
          <w:b w:val="0"/>
          <w:i w:val="0"/>
        </w:rPr>
        <w:t>Para el procedimiento de arqueo en sí no hay una norma que obligue a un protocolo concreto: es criterio de gestión de la casa, no obligación legal, y así hay que tratarlo mientras dura la investigación. Lo que sí existe, si la revisión termina destapando una conducta tipificada, es el régimen disciplinario del convenio, que exige seguir el procedimiento del manual con su trámite de audiencia previa a la persona afectada antes de resolver nada. Que no haya una norma para el arqueo no significa que valga cualquier manera de hacerlo: significa que el orden de las tres pasadas lo fija la casa, y conviene dejarlo escrito antes de que aparezca el siguiente descuadre, no mientras se está investigando este.</w:t>
      </w:r>
    </w:p>
    <w:p>
      <w:pPr>
        <w:pStyle w:val="Heading2"/>
      </w:pPr>
      <w:r>
        <w:t>La herramienta y el guion</w:t>
      </w:r>
    </w:p>
    <w:p>
      <w:r>
        <w:rPr>
          <w:b w:val="0"/>
          <w:i w:val="0"/>
        </w:rPr>
        <w:t>El cuadro de mando semanal confirma si el descuadre está afectando al margen real o si sigue siendo ruido de tres noches; el registro de quejas por cobro incorrecto suele contar la mitad de la historia que el arqueo por sí solo no cuenta. Sobre 30 quejas registradas en el trimestre, 2 son por cobro incorrecto: un 6,7 % del total, que no es una cifra alta, pero que cruzada con tres cierres descuadrados en la misma semana deja de ser casualidad. La conversación con la persona del turno no empieza acusando: empieza con el proceso por delante y el dato en la mesa, y sólo se cierra cuando las dos pasadas anteriores -sistema y proceso- ya se han hecho.</w:t>
      </w:r>
    </w:p>
    <w:p>
      <w:r>
        <w:rPr>
          <w:b/>
          <w:i w:val="0"/>
        </w:rPr>
        <w:t>El orden de descarte de un descuadre que se repite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Pasada</w:t>
            </w:r>
          </w:p>
        </w:tc>
        <w:tc>
          <w:tcPr>
            <w:tcW w:type="dxa" w:w="2436"/>
          </w:tcPr>
          <w:p>
            <w:r/>
            <w:r>
              <w:rPr>
                <w:b/>
                <w:i w:val="0"/>
              </w:rPr>
              <w:t>Qué se revisa</w:t>
            </w:r>
          </w:p>
        </w:tc>
        <w:tc>
          <w:tcPr>
            <w:tcW w:type="dxa" w:w="2436"/>
          </w:tcPr>
          <w:p>
            <w:r/>
            <w:r>
              <w:rPr>
                <w:b/>
                <w:i w:val="0"/>
              </w:rPr>
              <w:t>Qué lo delata</w:t>
            </w:r>
          </w:p>
        </w:tc>
        <w:tc>
          <w:tcPr>
            <w:tcW w:type="dxa" w:w="2436"/>
          </w:tcPr>
          <w:p>
            <w:r/>
            <w:r>
              <w:rPr>
                <w:b/>
                <w:i w:val="0"/>
              </w:rPr>
              <w:t>Si aparece aquí...</w:t>
            </w:r>
          </w:p>
        </w:tc>
      </w:tr>
      <w:tr>
        <w:tc>
          <w:tcPr>
            <w:tcW w:type="dxa" w:w="2436"/>
          </w:tcPr>
          <w:p>
            <w:r/>
            <w:r>
              <w:rPr>
                <w:b w:val="0"/>
                <w:i w:val="0"/>
              </w:rPr>
              <w:t>1. Sistema</w:t>
            </w:r>
          </w:p>
        </w:tc>
        <w:tc>
          <w:tcPr>
            <w:tcW w:type="dxa" w:w="2436"/>
          </w:tcPr>
          <w:p>
            <w:r/>
            <w:r>
              <w:rPr>
                <w:b w:val="0"/>
                <w:i w:val="0"/>
              </w:rPr>
              <w:t>Anulaciones, invitaciones, cambios de forma de pago y propinas cobradas por tarjeta</w:t>
            </w:r>
          </w:p>
        </w:tc>
        <w:tc>
          <w:tcPr>
            <w:tcW w:type="dxa" w:w="2436"/>
          </w:tcPr>
          <w:p>
            <w:r/>
            <w:r>
              <w:rPr>
                <w:b w:val="0"/>
                <w:i w:val="0"/>
              </w:rPr>
              <w:t>La diferencia coincide con una operación concreta del informe del TPV</w:t>
            </w:r>
          </w:p>
        </w:tc>
        <w:tc>
          <w:tcPr>
            <w:tcW w:type="dxa" w:w="2436"/>
          </w:tcPr>
          <w:p>
            <w:r/>
            <w:r>
              <w:rPr>
                <w:b w:val="0"/>
                <w:i w:val="0"/>
              </w:rPr>
              <w:t>Se corrige el procedimiento de anulación y se acabó</w:t>
            </w:r>
          </w:p>
        </w:tc>
      </w:tr>
      <w:tr>
        <w:tc>
          <w:tcPr>
            <w:tcW w:type="dxa" w:w="2436"/>
          </w:tcPr>
          <w:p>
            <w:r/>
            <w:r>
              <w:rPr>
                <w:b w:val="0"/>
                <w:i w:val="0"/>
              </w:rPr>
              <w:t>2. Proceso</w:t>
            </w:r>
          </w:p>
        </w:tc>
        <w:tc>
          <w:tcPr>
            <w:tcW w:type="dxa" w:w="2436"/>
          </w:tcPr>
          <w:p>
            <w:r/>
            <w:r>
              <w:rPr>
                <w:b w:val="0"/>
                <w:i w:val="0"/>
              </w:rPr>
              <w:t>Fondo de caja, cortes de turno sin contar, cobros con la caja abierta, vueltas a ojo</w:t>
            </w:r>
          </w:p>
        </w:tc>
        <w:tc>
          <w:tcPr>
            <w:tcW w:type="dxa" w:w="2436"/>
          </w:tcPr>
          <w:p>
            <w:r/>
            <w:r>
              <w:rPr>
                <w:b w:val="0"/>
                <w:i w:val="0"/>
              </w:rPr>
              <w:t>La diferencia aparece siempre en el mismo momento del servicio</w:t>
            </w:r>
          </w:p>
        </w:tc>
        <w:tc>
          <w:tcPr>
            <w:tcW w:type="dxa" w:w="2436"/>
          </w:tcPr>
          <w:p>
            <w:r/>
            <w:r>
              <w:rPr>
                <w:b w:val="0"/>
                <w:i w:val="0"/>
              </w:rPr>
              <w:t>Se cambia el momento del corte y se vuelve a medir una semana</w:t>
            </w:r>
          </w:p>
        </w:tc>
      </w:tr>
      <w:tr>
        <w:tc>
          <w:tcPr>
            <w:tcW w:type="dxa" w:w="2436"/>
          </w:tcPr>
          <w:p>
            <w:r/>
            <w:r>
              <w:rPr>
                <w:b w:val="0"/>
                <w:i w:val="0"/>
              </w:rPr>
              <w:t>3. Personas</w:t>
            </w:r>
          </w:p>
        </w:tc>
        <w:tc>
          <w:tcPr>
            <w:tcW w:type="dxa" w:w="2436"/>
          </w:tcPr>
          <w:p>
            <w:r/>
            <w:r>
              <w:rPr>
                <w:b w:val="0"/>
                <w:i w:val="0"/>
              </w:rPr>
              <w:t>Coincidencia sostenida con un turno y una persona, con los dos pasos anteriores descartados</w:t>
            </w:r>
          </w:p>
        </w:tc>
        <w:tc>
          <w:tcPr>
            <w:tcW w:type="dxa" w:w="2436"/>
          </w:tcPr>
          <w:p>
            <w:r/>
            <w:r>
              <w:rPr>
                <w:b w:val="0"/>
                <w:i w:val="0"/>
              </w:rPr>
              <w:t>La diferencia sólo ocurre en los cierres de esa persona</w:t>
            </w:r>
          </w:p>
        </w:tc>
        <w:tc>
          <w:tcPr>
            <w:tcW w:type="dxa" w:w="2436"/>
          </w:tcPr>
          <w:p>
            <w:r/>
            <w:r>
              <w:rPr>
                <w:b w:val="0"/>
                <w:i w:val="0"/>
              </w:rPr>
              <w:t>Conversación en privado, con el dato delante y sin acusación</w:t>
            </w:r>
          </w:p>
        </w:tc>
      </w:tr>
    </w:tbl>
    <w:p/>
    <w:p>
      <w:pPr>
        <w:jc w:val="center"/>
      </w:pPr>
      <w:r>
        <w:rPr>
          <w:i/>
          <w:color w:val="444444"/>
        </w:rPr>
        <w:t>Las dos primeras pasadas resuelven la mayoría de los descuadres repetidos, y no cuestan una conversación incómoda. Saltárselas es lo que rompe equipos por cuarenta euros.</w:t>
      </w:r>
    </w:p>
    <w:p>
      <w:r>
        <w:br w:type="page"/>
      </w:r>
    </w:p>
    <w:p>
      <w:pPr>
        <w:pStyle w:val="Heading1"/>
      </w:pPr>
      <w:r>
        <w:t>3. Un Cliente Pide la Hoja de Reclamaciones</w:t>
      </w:r>
    </w:p>
    <w:p>
      <w:pPr>
        <w:pStyle w:val="Heading2"/>
      </w:pPr>
      <w:r>
        <w:t>La situación</w:t>
      </w:r>
    </w:p>
    <w:p>
      <w:r>
        <w:rPr>
          <w:b w:val="0"/>
          <w:i w:val="0"/>
        </w:rPr>
        <w:t>Un cliente pide la hoja de reclamaciones en mitad del servicio, de pie, con dos mesas vecinas mirando. Lo que está en juego en ese momento no es la reclamación en sí -eso se resuelve después, con calma-, es el minuto siguiente: cómo se comporta la sala (salón) mientras el resto de comensales observa la escena. La reacción del manager (gerente/encargado) en ese minuto pesa más que el contenido de la reclamación, porque es lo único que las mesas vecinas van a ver y recordar.</w:t>
      </w:r>
    </w:p>
    <w:p>
      <w:pPr>
        <w:pStyle w:val="Heading2"/>
      </w:pPr>
      <w:r>
        <w:t>Qué no hacer</w:t>
      </w:r>
    </w:p>
    <w:p>
      <w:r>
        <w:rPr>
          <w:b w:val="0"/>
          <w:i w:val="0"/>
        </w:rPr>
        <w:t>Decir que no hay hojas en el local es una infracción que se suma a la que motivó la petición. Decir que hay que pedirla por internet traslada al cliente una gestión que la ley pone de tu lado del mostrador, no del suyo. Intentar convencerlo de que no la rellene, ofreciendo una invitación o una disculpa a cambio, se lee como presión y empeora cualquier reclamación posterior. Y rellenar la parte del establecimiento con prisa, sin fecha, sin datos o con una frase escrita de mal humor, es entregarle al cliente el único argumento que necesita para llevar el caso más lejos.</w:t>
      </w:r>
    </w:p>
    <w:p>
      <w:pPr>
        <w:pStyle w:val="Heading2"/>
      </w:pPr>
      <w:r>
        <w:t>Protocolo paso a paso</w:t>
      </w:r>
    </w:p>
    <w:p>
      <w:pPr>
        <w:pStyle w:val="ListBullet"/>
      </w:pPr>
      <w:r>
        <w:rPr>
          <w:b w:val="0"/>
          <w:i w:val="0"/>
        </w:rPr>
        <w:t>Entregar la hoja en el momento, sin pedir explicaciones ni condicionarla a nada: es un derecho del cliente, no un favor de la casa.</w:t>
      </w:r>
    </w:p>
    <w:p>
      <w:pPr>
        <w:pStyle w:val="ListBullet"/>
      </w:pPr>
      <w:r>
        <w:rPr>
          <w:b w:val="0"/>
          <w:i w:val="0"/>
        </w:rPr>
        <w:t>Retirar la conversación de la sala: acompañar al cliente a un punto donde pueda rellenarla sin público y sin que el resto del servicio se resienta.</w:t>
      </w:r>
    </w:p>
    <w:p>
      <w:pPr>
        <w:pStyle w:val="ListBullet"/>
      </w:pPr>
      <w:r>
        <w:rPr>
          <w:b w:val="0"/>
          <w:i w:val="0"/>
        </w:rPr>
        <w:t>Cumplimentar la parte del establecimiento con hechos -hora, mesa, lo ocurrido, quién atendió- y no con adjetivos ni valoraciones sobre el cliente.</w:t>
      </w:r>
    </w:p>
    <w:p>
      <w:pPr>
        <w:pStyle w:val="ListBullet"/>
      </w:pPr>
      <w:r>
        <w:rPr>
          <w:b w:val="0"/>
          <w:i w:val="0"/>
        </w:rPr>
        <w:t>Quedarse con la copia que corresponde al establecimiento y anotar el día de entrega en el registro: el plazo de respuesta se cuenta desde esa fecha, no desde el día en que se decide contestar.</w:t>
      </w:r>
    </w:p>
    <w:p>
      <w:pPr>
        <w:pStyle w:val="ListBullet"/>
      </w:pPr>
      <w:r>
        <w:rPr>
          <w:b w:val="0"/>
          <w:i w:val="0"/>
        </w:rPr>
        <w:t>Trasladar la reclamación al responsable de darle respuesta esa misma jornada, sin dejarla en un cajón hasta que alguien se acuerde: cada día que pasa sin anotarla es un día menos de los que da la normativa autonómica para contestar.</w:t>
      </w:r>
    </w:p>
    <w:p>
      <w:pPr>
        <w:pStyle w:val="Heading2"/>
      </w:pPr>
      <w:r>
        <w:t>La norma que aplica</w:t>
      </w:r>
    </w:p>
    <w:p>
      <w:r>
        <w:rPr>
          <w:b w:val="0"/>
          <w:i w:val="0"/>
        </w:rPr>
        <w:t>La hoja de reclamaciones es competencia autonómica: hay obligación de tenerla a disposición del cliente, de anunciar con un cartel visible que existe, y de contestar por escrito dentro del plazo que fije cada comunidad -de 10 días en Andalucía a 28 en Cataluña, según recoge la tabla siguiente-, contados como naturales o como hábiles según lo que fije cada normativa autonómica. Negarse a entregarla es, por sí misma, una infracción, con independencia de lo que diga después la reclamación. El régimen sancionador del TRLGDCU (RDLeg 1/2007), arts. 48 a 50 (verificado el 4 de septiembre de 2026), tipifica las infracciones leves de 150 € a 10.000 €, las graves de 10.001 € a 100.000 € y las muy graves de 100.001 € a 1.000.000 €, con la posibilidad de sobrepasar esas cuantías hasta entre dos y ocho veces el beneficio ilícito obtenido, y con el comiso, la publicidad de la sanción y el cierre de hasta 5 años como sanciones accesorias.</w:t>
      </w:r>
    </w:p>
    <w:p>
      <w:pPr>
        <w:pStyle w:val="Heading2"/>
      </w:pPr>
      <w:r>
        <w:t>La herramienta y el guion</w:t>
      </w:r>
    </w:p>
    <w:p>
      <w:r>
        <w:rPr>
          <w:b w:val="0"/>
          <w:i w:val="0"/>
        </w:rPr>
        <w:t>La hoja de reclamaciones formales del libro de quejas calcula sola los días transcurridos desde la entrega y avisa cuando el plazo está a punto de cumplirse: sobre 3 reclamaciones formales registradas, 2 se contestaron dentro de plazo y 1 fuera de plazo, con 39 días transcurridos frente a un plazo aplicable de 28. Y la frase con la que se entrega la hoja es una sola, sin improvisación: «Por supuesto, aquí tiene la hoja de reclamaciones. Le ayudo a rellenar la parte del establecimiento y se queda usted con su copia.» No se justifica, no se disculpa de más y no discute el fondo del asunto en ese momento: entrega, acompaña y sigue con el servicio. Guardar la copia sellada y la fecha de entrega es lo que permite demostrar después, si hiciera falta, en qué momento exacto empezó a correr el plazo, y es precisamente lo que faltó en la reclamación que se contestó tarde: sin esa fecha anotada desde el primer día, los 39 días transcurridos se descubrieron demasiado avanzados para reaccionar a tiempo.</w:t>
      </w:r>
    </w:p>
    <w:p>
      <w:r>
        <w:rPr>
          <w:b/>
          <w:i w:val="0"/>
        </w:rPr>
        <w:t>El plazo de respuesta depende de tu comunidad (quejas-reclamaciones-resenas.xlsx, hoja «Parámetros»)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Comunidad</w:t>
            </w:r>
          </w:p>
        </w:tc>
        <w:tc>
          <w:tcPr>
            <w:tcW w:type="dxa" w:w="2436"/>
          </w:tcPr>
          <w:p>
            <w:r/>
            <w:r>
              <w:rPr>
                <w:b/>
                <w:i w:val="0"/>
              </w:rPr>
              <w:t>Plazo legal</w:t>
            </w:r>
          </w:p>
        </w:tc>
        <w:tc>
          <w:tcPr>
            <w:tcW w:type="dxa" w:w="2436"/>
          </w:tcPr>
          <w:p>
            <w:r/>
            <w:r>
              <w:rPr>
                <w:b/>
                <w:i w:val="0"/>
              </w:rPr>
              <w:t>Días para el aviso</w:t>
            </w:r>
          </w:p>
        </w:tc>
        <w:tc>
          <w:tcPr>
            <w:tcW w:type="dxa" w:w="2436"/>
          </w:tcPr>
          <w:p>
            <w:r/>
            <w:r>
              <w:rPr>
                <w:b/>
                <w:i w:val="0"/>
              </w:rPr>
              <w:t>Se cuentan</w:t>
            </w:r>
          </w:p>
        </w:tc>
      </w:tr>
      <w:tr>
        <w:tc>
          <w:tcPr>
            <w:tcW w:type="dxa" w:w="2436"/>
          </w:tcPr>
          <w:p>
            <w:r/>
            <w:r>
              <w:rPr>
                <w:b w:val="0"/>
                <w:i w:val="0"/>
              </w:rPr>
              <w:t>Cataluña</w:t>
            </w:r>
          </w:p>
        </w:tc>
        <w:tc>
          <w:tcPr>
            <w:tcW w:type="dxa" w:w="2436"/>
          </w:tcPr>
          <w:p>
            <w:r/>
            <w:r>
              <w:rPr>
                <w:b w:val="0"/>
                <w:i w:val="0"/>
              </w:rPr>
              <w:t>1 mes</w:t>
            </w:r>
          </w:p>
        </w:tc>
        <w:tc>
          <w:tcPr>
            <w:tcW w:type="dxa" w:w="2436"/>
          </w:tcPr>
          <w:p>
            <w:r/>
            <w:r>
              <w:rPr>
                <w:b w:val="0"/>
                <w:i w:val="0"/>
              </w:rPr>
              <w:t>28</w:t>
            </w:r>
          </w:p>
        </w:tc>
        <w:tc>
          <w:tcPr>
            <w:tcW w:type="dxa" w:w="2436"/>
          </w:tcPr>
          <w:p>
            <w:r/>
            <w:r>
              <w:rPr>
                <w:b w:val="0"/>
                <w:i w:val="0"/>
              </w:rPr>
              <w:t>Naturales</w:t>
            </w:r>
          </w:p>
        </w:tc>
      </w:tr>
      <w:tr>
        <w:tc>
          <w:tcPr>
            <w:tcW w:type="dxa" w:w="2436"/>
          </w:tcPr>
          <w:p>
            <w:r/>
            <w:r>
              <w:rPr>
                <w:b w:val="0"/>
                <w:i w:val="0"/>
              </w:rPr>
              <w:t>Andalucía</w:t>
            </w:r>
          </w:p>
        </w:tc>
        <w:tc>
          <w:tcPr>
            <w:tcW w:type="dxa" w:w="2436"/>
          </w:tcPr>
          <w:p>
            <w:r/>
            <w:r>
              <w:rPr>
                <w:b w:val="0"/>
                <w:i w:val="0"/>
              </w:rPr>
              <w:t>10 días hábiles</w:t>
            </w:r>
          </w:p>
        </w:tc>
        <w:tc>
          <w:tcPr>
            <w:tcW w:type="dxa" w:w="2436"/>
          </w:tcPr>
          <w:p>
            <w:r/>
            <w:r>
              <w:rPr>
                <w:b w:val="0"/>
                <w:i w:val="0"/>
              </w:rPr>
              <w:t>10</w:t>
            </w:r>
          </w:p>
        </w:tc>
        <w:tc>
          <w:tcPr>
            <w:tcW w:type="dxa" w:w="2436"/>
          </w:tcPr>
          <w:p>
            <w:r/>
            <w:r>
              <w:rPr>
                <w:b w:val="0"/>
                <w:i w:val="0"/>
              </w:rPr>
              <w:t>Hábiles</w:t>
            </w:r>
          </w:p>
        </w:tc>
      </w:tr>
      <w:tr>
        <w:tc>
          <w:tcPr>
            <w:tcW w:type="dxa" w:w="2436"/>
          </w:tcPr>
          <w:p>
            <w:r/>
            <w:r>
              <w:rPr>
                <w:b w:val="0"/>
                <w:i w:val="0"/>
              </w:rPr>
              <w:t>Otras comunidades</w:t>
            </w:r>
          </w:p>
        </w:tc>
        <w:tc>
          <w:tcPr>
            <w:tcW w:type="dxa" w:w="2436"/>
          </w:tcPr>
          <w:p>
            <w:r/>
          </w:p>
        </w:tc>
        <w:tc>
          <w:tcPr>
            <w:tcW w:type="dxa" w:w="2436"/>
          </w:tcPr>
          <w:p>
            <w:r/>
          </w:p>
        </w:tc>
        <w:tc>
          <w:tcPr>
            <w:tcW w:type="dxa" w:w="2436"/>
          </w:tcPr>
          <w:p>
            <w:r/>
          </w:p>
        </w:tc>
      </w:tr>
    </w:tbl>
    <w:p/>
    <w:p>
      <w:pPr>
        <w:jc w:val="center"/>
      </w:pPr>
      <w:r>
        <w:rPr>
          <w:i/>
          <w:color w:val="444444"/>
        </w:rPr>
        <w:t>Verificado el 04-09-2026 · Cataluña: Decret 121/2013 y art. 126-9 de la Llei 22/2010; Andalucía: Decreto 82/2022, arts. 4, 7 y 12 · https://www.boe.es/buscar/act.php?id=BOE-A-2015-11430 - la tercera fila es una casilla editable para tu comunidad.</w:t>
      </w:r>
    </w:p>
    <w:p>
      <w:r>
        <w:br w:type="page"/>
      </w:r>
    </w:p>
    <w:p>
      <w:pPr>
        <w:pStyle w:val="Heading1"/>
      </w:pPr>
      <w:r>
        <w:t>4. Una Reseña de Una Estrella Acusa al Local de una Intoxicación</w:t>
      </w:r>
    </w:p>
    <w:p>
      <w:pPr>
        <w:pStyle w:val="Heading2"/>
      </w:pPr>
      <w:r>
        <w:t>La situación</w:t>
      </w:r>
    </w:p>
    <w:p>
      <w:r>
        <w:rPr>
          <w:b w:val="0"/>
          <w:i w:val="0"/>
        </w:rPr>
        <w:t>A las nueve y cuarenta llega la notificación de Google: una reseña de una sola estrella, sin fecha de la visita ni dato que identifique la mesa, afirma que el cliente «se intoxicó» en La Encina. No hay foto, ni ticket, ni nombre de plato. El comentario aterriza sobre 40 reseñas registradas y una media de 4,08 estrellas, por debajo de las 4,3 fijadas como objetivo, y sobre 30 reseñas ya respondidas, un 75,0 % del total, todavía por debajo del 90 % objetivo. En el trimestre en curso consta una sola queja por producto en mal estado, y ese dato -recogido en la hoja «Resumen» del libro de quejas, reclamaciones y reseñas- es lo primero que hay que cruzar contra lo que dice el comentario.</w:t>
      </w:r>
    </w:p>
    <w:p>
      <w:pPr>
        <w:pStyle w:val="Heading2"/>
      </w:pPr>
      <w:r>
        <w:t>Qué no hacer</w:t>
      </w:r>
    </w:p>
    <w:p>
      <w:r>
        <w:rPr>
          <w:b w:val="0"/>
          <w:i w:val="0"/>
        </w:rPr>
        <w:t>Responder en caliente, en el mismo minuto en que se lee, es la primera tentación y la más cara: lo escrito en una respuesta pública queda ahí para siempre. Negar el hecho sin haber revisado un solo registro convierte cualquier prueba que aparezca después en papel mojado. Insinuar, aunque sea con una frase suave, que quien firma la reseña miente transforma un comentario de una estrella en una discusión pública que leerán clientes que todavía no han reservado. Pedir la retirada de la reseña -por privado o, peor, dejando constancia de la petición en la propia respuesta- se lee como presión y resta credibilidad a las respuestas anteriores. Y contestar con la hora exacta, el nombre de la mesa o cualquier detalle que permita reconocer al comensal expone datos personales de un cliente ante cualquiera que consulte la ficha del negocio.</w:t>
      </w:r>
    </w:p>
    <w:p>
      <w:pPr>
        <w:pStyle w:val="Heading2"/>
      </w:pPr>
      <w:r>
        <w:t>Protocolo paso a paso</w:t>
      </w:r>
    </w:p>
    <w:p>
      <w:r>
        <w:rPr>
          <w:b w:val="0"/>
          <w:i w:val="0"/>
        </w:rPr>
        <w:t>Hacia fuera, en la respuesta pública, el plazo es corto -uno o dos días como máximo- y el texto tiene que ser breve: reconoce la preocupación, ofrece un canal privado (teléfono o correo del propio local) y no admite ni niega el hecho, porque en el momento de contestar todavía no se sabe qué ocurrió. Hacia dentro, en paralelo, se abre la revisión interna: los registros de temperatura del día señalado, la trazabilidad de los lotes que salieron en ese servicio y el parte de incidencias, si lo hubo. Esa revisión se anota en la misma hoja «Resumen», con la fecha real de la respuesta y el resultado de la comprobación, para que la próxima reseña parecida encuentre un histórico y no memoria suelta. Sólo cuando la revisión interna está cerrada, con hallazgo o sin él, se valora un segundo contacto con el cliente, siempre por el canal privado.</w:t>
      </w:r>
    </w:p>
    <w:p>
      <w:pPr>
        <w:pStyle w:val="Heading2"/>
      </w:pPr>
      <w:r>
        <w:t>La norma que aplica</w:t>
      </w:r>
    </w:p>
    <w:p>
      <w:r>
        <w:rPr>
          <w:b w:val="0"/>
          <w:i w:val="0"/>
        </w:rPr>
        <w:t>No existe obligación legal de responder a una reseña, y conviene decirlo con esas palabras: contestar en público es una decisión de gestión, no un trámite que exija ninguna norma. Lo que sí es obligatorio es tener en marcha el procedimiento de autocontrol basado en los principios del APPCC, con una persona responsable designada y una trazabilidad capaz de reconstruir qué pasó en un servicio concreto (Reglamento (CE) 852/2004, art. 5 y Anexo II Cap. XI bis; RD 1021/2022, art. 20; verificado el 4 de septiembre de 2026). Ese sistema -no la respuesta en Google- es lo que de verdad protege al negocio si la reclamación va a más. Y la respuesta pública tiene un límite propio: no puede incluir ningún dato personal del cliente que permita identificarlo ante terceros.</w:t>
      </w:r>
    </w:p>
    <w:p>
      <w:pPr>
        <w:pStyle w:val="Heading2"/>
      </w:pPr>
      <w:r>
        <w:t>La herramienta y el guion</w:t>
      </w:r>
    </w:p>
    <w:p>
      <w:r>
        <w:rPr>
          <w:b w:val="0"/>
          <w:i w:val="0"/>
        </w:rPr>
        <w:t>La hoja «Resumen» del libro de quejas, reclamaciones y reseñas es donde vive el conjunto -reseñas registradas, media de estrellas, cuántas están respondidas y a qué porcentaje-, y el objetivo de reseñas respondidas de la casa, ese 90 % que hoy sólo se cubre al 75,0 %, es la cifra que hay que perseguir cada semana. La respuesta pública puede ser esta, adaptada al nombre del negocio: «Sentimos mucho leer esto: cualquier aviso sobre seguridad alimentaria lo tomamos muy en serio.» «No podemos identificar la visita con los datos de la reseña, así que preferimos hablarlo directamente contigo.» «Escríbenos a [correo] o llámanos al [teléfono] y lo revisamos con calma.» «Gracias por avisarnos.» Cuatro frases, ningún dato de mesa, ningún «pero», y un canal abierto para que la conversación real ocurra donde no la lea todo el que busque el restaurante.</w:t>
      </w:r>
    </w:p>
    <w:p>
      <w:r>
        <w:rPr>
          <w:b/>
          <w:i w:val="0"/>
        </w:rPr>
        <w:t>Las tres gravedades y el plazo de cierre que se ha puesto la casa (quejas-reclamaciones-resenas.xlsx, hoja «Resumen»)</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Gravedad</w:t>
            </w:r>
          </w:p>
        </w:tc>
        <w:tc>
          <w:tcPr>
            <w:tcW w:type="dxa" w:w="1624"/>
          </w:tcPr>
          <w:p>
            <w:r/>
            <w:r>
              <w:rPr>
                <w:b/>
                <w:i w:val="0"/>
              </w:rPr>
              <w:t>Qué significa</w:t>
            </w:r>
          </w:p>
        </w:tc>
        <w:tc>
          <w:tcPr>
            <w:tcW w:type="dxa" w:w="1624"/>
          </w:tcPr>
          <w:p>
            <w:r/>
            <w:r>
              <w:rPr>
                <w:b/>
                <w:i w:val="0"/>
              </w:rPr>
              <w:t>Quejas</w:t>
            </w:r>
          </w:p>
        </w:tc>
        <w:tc>
          <w:tcPr>
            <w:tcW w:type="dxa" w:w="1624"/>
          </w:tcPr>
          <w:p>
            <w:r/>
            <w:r>
              <w:rPr>
                <w:b/>
                <w:i w:val="0"/>
              </w:rPr>
              <w:t>Plazo de cierre (horas)</w:t>
            </w:r>
          </w:p>
        </w:tc>
        <w:tc>
          <w:tcPr>
            <w:tcW w:type="dxa" w:w="1624"/>
          </w:tcPr>
          <w:p>
            <w:r/>
            <w:r>
              <w:rPr>
                <w:b/>
                <w:i w:val="0"/>
              </w:rPr>
              <w:t>Días medios hasta el cierre</w:t>
            </w:r>
          </w:p>
        </w:tc>
        <w:tc>
          <w:tcPr>
            <w:tcW w:type="dxa" w:w="1624"/>
          </w:tcPr>
          <w:p>
            <w:r/>
            <w:r>
              <w:rPr>
                <w:b/>
                <w:i w:val="0"/>
              </w:rPr>
              <w:t>Cumplimiento (%)</w:t>
            </w:r>
          </w:p>
        </w:tc>
      </w:tr>
      <w:tr>
        <w:tc>
          <w:tcPr>
            <w:tcW w:type="dxa" w:w="1624"/>
          </w:tcPr>
          <w:p>
            <w:r/>
            <w:r>
              <w:rPr>
                <w:b w:val="0"/>
                <w:i w:val="0"/>
              </w:rPr>
              <w:t>1</w:t>
            </w:r>
          </w:p>
        </w:tc>
        <w:tc>
          <w:tcPr>
            <w:tcW w:type="dxa" w:w="1624"/>
          </w:tcPr>
          <w:p>
            <w:r/>
            <w:r>
              <w:rPr>
                <w:b w:val="0"/>
                <w:i w:val="0"/>
              </w:rPr>
              <w:t>Leve: molestia sin impacto en la experiencia</w:t>
            </w:r>
          </w:p>
        </w:tc>
        <w:tc>
          <w:tcPr>
            <w:tcW w:type="dxa" w:w="1624"/>
          </w:tcPr>
          <w:p>
            <w:r/>
            <w:r>
              <w:rPr>
                <w:b w:val="0"/>
                <w:i w:val="0"/>
              </w:rPr>
              <w:t>9</w:t>
            </w:r>
          </w:p>
        </w:tc>
        <w:tc>
          <w:tcPr>
            <w:tcW w:type="dxa" w:w="1624"/>
          </w:tcPr>
          <w:p>
            <w:r/>
            <w:r>
              <w:rPr>
                <w:b w:val="0"/>
                <w:i w:val="0"/>
              </w:rPr>
              <w:t>3</w:t>
            </w:r>
          </w:p>
        </w:tc>
        <w:tc>
          <w:tcPr>
            <w:tcW w:type="dxa" w:w="1624"/>
          </w:tcPr>
          <w:p>
            <w:r/>
            <w:r>
              <w:rPr>
                <w:b w:val="0"/>
                <w:i w:val="0"/>
              </w:rPr>
              <w:t>1,2</w:t>
            </w:r>
          </w:p>
        </w:tc>
        <w:tc>
          <w:tcPr>
            <w:tcW w:type="dxa" w:w="1624"/>
          </w:tcPr>
          <w:p>
            <w:r/>
            <w:r>
              <w:rPr>
                <w:b w:val="0"/>
                <w:i w:val="0"/>
              </w:rPr>
              <w:t>100 %</w:t>
            </w:r>
          </w:p>
        </w:tc>
      </w:tr>
      <w:tr>
        <w:tc>
          <w:tcPr>
            <w:tcW w:type="dxa" w:w="1624"/>
          </w:tcPr>
          <w:p>
            <w:r/>
            <w:r>
              <w:rPr>
                <w:b w:val="0"/>
                <w:i w:val="0"/>
              </w:rPr>
              <w:t>2</w:t>
            </w:r>
          </w:p>
        </w:tc>
        <w:tc>
          <w:tcPr>
            <w:tcW w:type="dxa" w:w="1624"/>
          </w:tcPr>
          <w:p>
            <w:r/>
            <w:r>
              <w:rPr>
                <w:b w:val="0"/>
                <w:i w:val="0"/>
              </w:rPr>
              <w:t>Media: afecta a la experiencia de la mesa</w:t>
            </w:r>
          </w:p>
        </w:tc>
        <w:tc>
          <w:tcPr>
            <w:tcW w:type="dxa" w:w="1624"/>
          </w:tcPr>
          <w:p>
            <w:r/>
            <w:r>
              <w:rPr>
                <w:b w:val="0"/>
                <w:i w:val="0"/>
              </w:rPr>
              <w:t>16</w:t>
            </w:r>
          </w:p>
        </w:tc>
        <w:tc>
          <w:tcPr>
            <w:tcW w:type="dxa" w:w="1624"/>
          </w:tcPr>
          <w:p>
            <w:r/>
            <w:r>
              <w:rPr>
                <w:b w:val="0"/>
                <w:i w:val="0"/>
              </w:rPr>
              <w:t>2</w:t>
            </w:r>
          </w:p>
        </w:tc>
        <w:tc>
          <w:tcPr>
            <w:tcW w:type="dxa" w:w="1624"/>
          </w:tcPr>
          <w:p>
            <w:r/>
            <w:r>
              <w:rPr>
                <w:b w:val="0"/>
                <w:i w:val="0"/>
              </w:rPr>
              <w:t>1,1</w:t>
            </w:r>
          </w:p>
        </w:tc>
        <w:tc>
          <w:tcPr>
            <w:tcW w:type="dxa" w:w="1624"/>
          </w:tcPr>
          <w:p>
            <w:r/>
            <w:r>
              <w:rPr>
                <w:b w:val="0"/>
                <w:i w:val="0"/>
              </w:rPr>
              <w:t>100 %</w:t>
            </w:r>
          </w:p>
        </w:tc>
      </w:tr>
      <w:tr>
        <w:tc>
          <w:tcPr>
            <w:tcW w:type="dxa" w:w="1624"/>
          </w:tcPr>
          <w:p>
            <w:r/>
            <w:r>
              <w:rPr>
                <w:b w:val="0"/>
                <w:i w:val="0"/>
              </w:rPr>
              <w:t>3</w:t>
            </w:r>
          </w:p>
        </w:tc>
        <w:tc>
          <w:tcPr>
            <w:tcW w:type="dxa" w:w="1624"/>
          </w:tcPr>
          <w:p>
            <w:r/>
            <w:r>
              <w:rPr>
                <w:b w:val="0"/>
                <w:i w:val="0"/>
              </w:rPr>
              <w:t>Grave: riesgo sanitario, legal o reputacional</w:t>
            </w:r>
          </w:p>
        </w:tc>
        <w:tc>
          <w:tcPr>
            <w:tcW w:type="dxa" w:w="1624"/>
          </w:tcPr>
          <w:p>
            <w:r/>
            <w:r>
              <w:rPr>
                <w:b w:val="0"/>
                <w:i w:val="0"/>
              </w:rPr>
              <w:t>5</w:t>
            </w:r>
          </w:p>
        </w:tc>
        <w:tc>
          <w:tcPr>
            <w:tcW w:type="dxa" w:w="1624"/>
          </w:tcPr>
          <w:p>
            <w:r/>
            <w:r>
              <w:rPr>
                <w:b w:val="0"/>
                <w:i w:val="0"/>
              </w:rPr>
              <w:t>1</w:t>
            </w:r>
          </w:p>
        </w:tc>
        <w:tc>
          <w:tcPr>
            <w:tcW w:type="dxa" w:w="1624"/>
          </w:tcPr>
          <w:p>
            <w:r/>
            <w:r>
              <w:rPr>
                <w:b w:val="0"/>
                <w:i w:val="0"/>
              </w:rPr>
              <w:t>1,2</w:t>
            </w:r>
          </w:p>
        </w:tc>
        <w:tc>
          <w:tcPr>
            <w:tcW w:type="dxa" w:w="1624"/>
          </w:tcPr>
          <w:p>
            <w:r/>
            <w:r>
              <w:rPr>
                <w:b w:val="0"/>
                <w:i w:val="0"/>
              </w:rPr>
              <w:t>60 %</w:t>
            </w:r>
          </w:p>
        </w:tc>
      </w:tr>
    </w:tbl>
    <w:p/>
    <w:p>
      <w:pPr>
        <w:jc w:val="center"/>
      </w:pPr>
      <w:r>
        <w:rPr>
          <w:i/>
          <w:color w:val="444444"/>
        </w:rPr>
        <w:t>Una acusación pública de riesgo sanitario entra por la gravedad más alta, que es la que menos horas de plazo tiene y la única en la que el cumplimiento de la casa se queda corto.</w:t>
      </w:r>
    </w:p>
    <w:p>
      <w:r>
        <w:br w:type="page"/>
      </w:r>
    </w:p>
    <w:p>
      <w:pPr>
        <w:pStyle w:val="Heading1"/>
      </w:pPr>
      <w:r>
        <w:t>5. Un Camarero Lleva 19 Meses Encadenando Contratos Temporales</w:t>
      </w:r>
    </w:p>
    <w:p>
      <w:pPr>
        <w:pStyle w:val="Heading2"/>
      </w:pPr>
      <w:r>
        <w:t>La situación</w:t>
      </w:r>
    </w:p>
    <w:p>
      <w:r>
        <w:rPr>
          <w:b w:val="0"/>
          <w:i w:val="0"/>
        </w:rPr>
        <w:t>El camarero (mesero) de sala que hoy cierra la caja suma diecinueve meses de contratos temporales en el mismo puesto, no seguidos, con la campaña de verano de por medio. La Encina tiene 12 personas en el equipo, y esa plantilla ya cuesta 273.910 € en salarios brutos al año, 380.531 € contando la Seguridad Social a cargo de la empresa, con un labor cost del 31,0 % sobre la venta. El puesto encaja en el Área 3ª · Grupo II del ALEH VI, la misma referencia que usa la casa en su ficha de selección. Diecinueve meses no seguidos no es una cifra cualquiera: es un cómputo que hay que reconstruir con el calendario en la mano.</w:t>
      </w:r>
    </w:p>
    <w:p>
      <w:pPr>
        <w:pStyle w:val="Heading2"/>
      </w:pPr>
      <w:r>
        <w:t>Qué no hacer</w:t>
      </w:r>
    </w:p>
    <w:p>
      <w:r>
        <w:rPr>
          <w:b w:val="0"/>
          <w:i w:val="0"/>
        </w:rPr>
        <w:t>Firmar un contrato nuevo «de otra cosa» para reiniciar el contador no interrumpe nada: cuenta el puesto real, no el nombre que lleve el papel. Dejar pasar unas semanas sin actividad y volver a llamar tampoco corta el cómputo si el hueco no basta por sí solo, y confiar en el hueco sin comprobarlo es apostar a ciegas. Preguntarle a la persona si le importa seguir «así, de momento» no tiene ningún valor legal y, además, deja constancia de que la empresa sabía y decidió mirar hacia otro lado. Las tres reacciones comparten un defecto: no cambian el cómputo real, y sólo empeoran la posición de la empresa si acaba en una inspección o en una demanda.</w:t>
      </w:r>
    </w:p>
    <w:p>
      <w:pPr>
        <w:pStyle w:val="Heading2"/>
      </w:pPr>
      <w:r>
        <w:t>Protocolo paso a paso</w:t>
      </w:r>
    </w:p>
    <w:p>
      <w:r>
        <w:rPr>
          <w:b w:val="0"/>
          <w:i w:val="0"/>
        </w:rPr>
        <w:t>Lo primero es reconstruir el historial real: cada contrato firmado en ese puesto, sus fechas de inicio y fin, y los días efectivamente trabajados, sin fiarse de la memoria de nadie. Con ese historial delante, se comprueba el cómputo con la asesoría laboral, porque encadenar más de 18 meses en un periodo de 24 en el mismo puesto convierte a la persona en fija, y conviene saber en qué punto exacto está la empresa antes de que lo calcule otro. A partir de ahí hay dos caminos, no uno: reconocer la condición de fija si el puesto es estructural, o reconvertir el contrato a fijo-discontinuo si el trabajo es de verdad estacional. La fecha de esa revisión se fija en el calendario legal de la casa, no se deja para «cuando haya tiempo».</w:t>
      </w:r>
    </w:p>
    <w:p>
      <w:pPr>
        <w:pStyle w:val="Heading2"/>
      </w:pPr>
      <w:r>
        <w:t>La norma que aplica</w:t>
      </w:r>
    </w:p>
    <w:p>
      <w:r>
        <w:rPr>
          <w:b w:val="0"/>
          <w:i w:val="0"/>
        </w:rPr>
        <w:t>El contrato de obra y servicio desapareció el 30 de marzo de 2022: hoy sólo caben dos causas de temporalidad, circunstancias de la producción, con un máximo de 6 meses ampliable a 1 año por convenio sectorial, y sustitución de persona trabajadora. Encadenar más de 18 meses en 24 en el mismo puesto convierte automáticamente a la persona en fija (art. 15 del Estatuto de los Trabajadores, redacción del RDL 32/2021; verificado el 4 de septiembre de 2026). El fijo-discontinuo es, por su parte, indefinido para trabajo estacional, obligatoriamente por escrito y con llamamiento también por escrito, y su antigüedad se calcula por toda la relación laboral, no por el tiempo efectivamente trabajado (art. 16 del Estatuto de los Trabajadores, redacción del RDL 32/2021). No dar de alta a un trabajador es infracción grave y se cuenta una por cada trabajador afectado, con multa de 3.750 a 12.000 euros, que se incrementa un 20 % con dos afectados y hasta un 50 % con cinco o más (arts. 22.2 y 40.1, letra e, de la LISOS; verificado el 4 de septiembre de 2026).</w:t>
      </w:r>
    </w:p>
    <w:p>
      <w:pPr>
        <w:pStyle w:val="Heading2"/>
      </w:pPr>
      <w:r>
        <w:t>La herramienta y el guion</w:t>
      </w:r>
    </w:p>
    <w:p>
      <w:r>
        <w:rPr>
          <w:b w:val="0"/>
          <w:i w:val="0"/>
        </w:rPr>
        <w:t>La hoja de permisos y cómputo, junto con el calendario legal de la casa, marca la fecha exacta de revisión de cada contrato temporal antes de que lo haga el propio cómputo. Y hay una conversación que se tiene ANTES de que la tenga con un abogado: «Quiero hablar contigo de tu situación de contrato: llevas ya diecinueve meses con nosotros y toca revisar cómo seguimos.» «He mirado el historial con la asesoría, y lo que corresponde es pasar tu puesto a fijo, o a fijo-discontinuo si el trabajo es realmente estacional.» «Esto no cambia lo que haces en sala, cambia el tipo de contrato y cómo se cuenta tu antigüedad.» «¿Tienes alguna pregunta antes de que lo pongamos por escrito?» Empezar así, con los datos ya comprobados, es lo que separa a un manager (gerente/encargado) que reconoce a tiempo de uno al que se lo reconoce un juzgado.</w:t>
      </w:r>
    </w:p>
    <w:p>
      <w:r>
        <w:rPr>
          <w:b/>
          <w:i w:val="0"/>
        </w:rPr>
        <w:t>Lo que interrumpe el cómputo y lo que no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Maniobra habitual</w:t>
            </w:r>
          </w:p>
        </w:tc>
        <w:tc>
          <w:tcPr>
            <w:tcW w:type="dxa" w:w="3249"/>
          </w:tcPr>
          <w:p>
            <w:r/>
            <w:r>
              <w:rPr>
                <w:b/>
                <w:i w:val="0"/>
              </w:rPr>
              <w:t>¿Interrumpe el cómputo?</w:t>
            </w:r>
          </w:p>
        </w:tc>
        <w:tc>
          <w:tcPr>
            <w:tcW w:type="dxa" w:w="3249"/>
          </w:tcPr>
          <w:p>
            <w:r/>
            <w:r>
              <w:rPr>
                <w:b/>
                <w:i w:val="0"/>
              </w:rPr>
              <w:t>Qué pasa de verdad</w:t>
            </w:r>
          </w:p>
        </w:tc>
      </w:tr>
      <w:tr>
        <w:tc>
          <w:tcPr>
            <w:tcW w:type="dxa" w:w="3249"/>
          </w:tcPr>
          <w:p>
            <w:r/>
            <w:r>
              <w:rPr>
                <w:b w:val="0"/>
                <w:i w:val="0"/>
              </w:rPr>
              <w:t>Dejar pasar unas semanas y volver a llamar</w:t>
            </w:r>
          </w:p>
        </w:tc>
        <w:tc>
          <w:tcPr>
            <w:tcW w:type="dxa" w:w="3249"/>
          </w:tcPr>
          <w:p>
            <w:r/>
            <w:r>
              <w:rPr>
                <w:b w:val="0"/>
                <w:i w:val="0"/>
              </w:rPr>
              <w:t>No</w:t>
            </w:r>
          </w:p>
        </w:tc>
        <w:tc>
          <w:tcPr>
            <w:tcW w:type="dxa" w:w="3249"/>
          </w:tcPr>
          <w:p>
            <w:r/>
            <w:r>
              <w:rPr>
                <w:b w:val="0"/>
                <w:i w:val="0"/>
              </w:rPr>
              <w:t>El cómputo mira el periodo de referencia completo, no exige continuidad</w:t>
            </w:r>
          </w:p>
        </w:tc>
      </w:tr>
      <w:tr>
        <w:tc>
          <w:tcPr>
            <w:tcW w:type="dxa" w:w="3249"/>
          </w:tcPr>
          <w:p>
            <w:r/>
            <w:r>
              <w:rPr>
                <w:b w:val="0"/>
                <w:i w:val="0"/>
              </w:rPr>
              <w:t>Firmar un contrato con otra denominación en el mismo puesto</w:t>
            </w:r>
          </w:p>
        </w:tc>
        <w:tc>
          <w:tcPr>
            <w:tcW w:type="dxa" w:w="3249"/>
          </w:tcPr>
          <w:p>
            <w:r/>
            <w:r>
              <w:rPr>
                <w:b w:val="0"/>
                <w:i w:val="0"/>
              </w:rPr>
              <w:t>No</w:t>
            </w:r>
          </w:p>
        </w:tc>
        <w:tc>
          <w:tcPr>
            <w:tcW w:type="dxa" w:w="3249"/>
          </w:tcPr>
          <w:p>
            <w:r/>
            <w:r>
              <w:rPr>
                <w:b w:val="0"/>
                <w:i w:val="0"/>
              </w:rPr>
              <w:t>Lo que cuenta es el puesto de trabajo desempeñado, no el nombre del contrato</w:t>
            </w:r>
          </w:p>
        </w:tc>
      </w:tr>
      <w:tr>
        <w:tc>
          <w:tcPr>
            <w:tcW w:type="dxa" w:w="3249"/>
          </w:tcPr>
          <w:p>
            <w:r/>
            <w:r>
              <w:rPr>
                <w:b w:val="0"/>
                <w:i w:val="0"/>
              </w:rPr>
              <w:t>Cambiar la causa del contrato sin que cambie el trabajo</w:t>
            </w:r>
          </w:p>
        </w:tc>
        <w:tc>
          <w:tcPr>
            <w:tcW w:type="dxa" w:w="3249"/>
          </w:tcPr>
          <w:p>
            <w:r/>
            <w:r>
              <w:rPr>
                <w:b w:val="0"/>
                <w:i w:val="0"/>
              </w:rPr>
              <w:t>No</w:t>
            </w:r>
          </w:p>
        </w:tc>
        <w:tc>
          <w:tcPr>
            <w:tcW w:type="dxa" w:w="3249"/>
          </w:tcPr>
          <w:p>
            <w:r/>
            <w:r>
              <w:rPr>
                <w:b w:val="0"/>
                <w:i w:val="0"/>
              </w:rPr>
              <w:t>La causa tiene que existir de verdad y constar por escrito</w:t>
            </w:r>
          </w:p>
        </w:tc>
      </w:tr>
      <w:tr>
        <w:tc>
          <w:tcPr>
            <w:tcW w:type="dxa" w:w="3249"/>
          </w:tcPr>
          <w:p>
            <w:r/>
            <w:r>
              <w:rPr>
                <w:b w:val="0"/>
                <w:i w:val="0"/>
              </w:rPr>
              <w:t>Que la persona acepte por escrito seguir como temporal</w:t>
            </w:r>
          </w:p>
        </w:tc>
        <w:tc>
          <w:tcPr>
            <w:tcW w:type="dxa" w:w="3249"/>
          </w:tcPr>
          <w:p>
            <w:r/>
            <w:r>
              <w:rPr>
                <w:b w:val="0"/>
                <w:i w:val="0"/>
              </w:rPr>
              <w:t>No</w:t>
            </w:r>
          </w:p>
        </w:tc>
        <w:tc>
          <w:tcPr>
            <w:tcW w:type="dxa" w:w="3249"/>
          </w:tcPr>
          <w:p>
            <w:r/>
            <w:r>
              <w:rPr>
                <w:b w:val="0"/>
                <w:i w:val="0"/>
              </w:rPr>
              <w:t>Los derechos reconocidos por norma imperativa no son renunciables</w:t>
            </w:r>
          </w:p>
        </w:tc>
      </w:tr>
      <w:tr>
        <w:tc>
          <w:tcPr>
            <w:tcW w:type="dxa" w:w="3249"/>
          </w:tcPr>
          <w:p>
            <w:r/>
            <w:r>
              <w:rPr>
                <w:b w:val="0"/>
                <w:i w:val="0"/>
              </w:rPr>
              <w:t>Convertir el puesto en fijo-discontinuo porque el trabajo es estacional</w:t>
            </w:r>
          </w:p>
        </w:tc>
        <w:tc>
          <w:tcPr>
            <w:tcW w:type="dxa" w:w="3249"/>
          </w:tcPr>
          <w:p>
            <w:r/>
            <w:r>
              <w:rPr>
                <w:b w:val="0"/>
                <w:i w:val="0"/>
              </w:rPr>
              <w:t>No aplica: ya es indefinido</w:t>
            </w:r>
          </w:p>
        </w:tc>
        <w:tc>
          <w:tcPr>
            <w:tcW w:type="dxa" w:w="3249"/>
          </w:tcPr>
          <w:p>
            <w:r/>
            <w:r>
              <w:rPr>
                <w:b w:val="0"/>
                <w:i w:val="0"/>
              </w:rPr>
              <w:t>Es la salida ordenada, con la antigüedad calculada por toda la relación</w:t>
            </w:r>
          </w:p>
        </w:tc>
      </w:tr>
    </w:tbl>
    <w:p/>
    <w:p>
      <w:pPr>
        <w:jc w:val="center"/>
      </w:pPr>
      <w:r>
        <w:rPr>
          <w:i/>
          <w:color w:val="444444"/>
        </w:rPr>
        <w:t>Verificado el 04-09-2026 · Art. 34.9 y concordantes del Estatuto de los Trabajadores (RDLeg 2/2015) · https://www.boe.es/buscar/act.php?id=BOE-A-2015-11430</w:t>
      </w:r>
    </w:p>
    <w:p>
      <w:r>
        <w:br w:type="page"/>
      </w:r>
    </w:p>
    <w:p>
      <w:pPr>
        <w:pStyle w:val="Heading1"/>
      </w:pPr>
      <w:r>
        <w:t>6. La Semana Cierra con un Prime Cost del 71 Por Ciento</w:t>
      </w:r>
    </w:p>
    <w:p>
      <w:pPr>
        <w:pStyle w:val="Heading2"/>
      </w:pPr>
      <w:r>
        <w:t>La situación</w:t>
      </w:r>
    </w:p>
    <w:p>
      <w:r>
        <w:rPr>
          <w:b w:val="0"/>
          <w:i w:val="0"/>
        </w:rPr>
        <w:t>El cuadro de mando semanal devuelve, para la semana ISO 33, un prime cost del 71,0 %, por encima del 65 % objetivo, con el food cost en el 36,9 % frente a un objetivo del 30 % y el labor cost en el 34,1 % frente a un objetivo del 33 %. Las ventas netas de esa semana fueron 22.041 €, y lo que quedó después del prime cost fue un margen de 6.393 €. El prime cost del año, ponderado, está en el 62,8 %: la semana 33 no es la tendencia, es un pico, y por eso hay que mirarla antes de tocar nada, porque el food cost y el labor cost se movieron los dos a la vez.</w:t>
      </w:r>
    </w:p>
    <w:p>
      <w:pPr>
        <w:pStyle w:val="Heading2"/>
      </w:pPr>
      <w:r>
        <w:t>Qué no hacer</w:t>
      </w:r>
    </w:p>
    <w:p>
      <w:r>
        <w:rPr>
          <w:b w:val="0"/>
          <w:i w:val="0"/>
        </w:rPr>
        <w:t>Subir precios el lunes siguiente, sin separar qué parte del prime cost es food cost y cuál es labor cost, es resolver a ciegas un problema sin diagnosticar. Recortar horas del fin de semana que viene, sin más criterio que «la semana pasada se gastó de más», puede dejar el servicio con menos manos justo cuando más cubiertos hay. Y dar por bueno el dato del cuadro de mando sin comprobar antes el inventario es aceptar como cierto un consumo que puede estar mal contado, no mal gastado. Las tres reacciones se toman antes de saber qué pasó, y son frecuentes porque parecen rápidas.</w:t>
      </w:r>
    </w:p>
    <w:p>
      <w:pPr>
        <w:pStyle w:val="Heading2"/>
      </w:pPr>
      <w:r>
        <w:t>Protocolo paso a paso</w:t>
      </w:r>
    </w:p>
    <w:p>
      <w:r>
        <w:rPr>
          <w:b w:val="0"/>
          <w:i w:val="0"/>
        </w:rPr>
        <w:t>La lectura de una semana mala se hace con tres preguntas, en este orden. La primera: ¿el consumo que aparece es real, o el inventario de cierre está mal contado? La segunda: ¿las ventas cayeron esa semana, o subió el coste del producto con la venta estable? La tercera: ¿las horas trabajadas se correspondieron con los cubiertos que hubo, o hubo horas de más sin cubiertos detrás? Contestar exige mirar, en la propia hoja del cuadro de mando, las columnas de ventas, coste de producto, horas y cubiertos de esa semana, y compararlas con las cuatro anteriores. De ahí sale la decisión: si el problema es de conteo, se corrige el inventario; si es de coste o de venta, se actúa sobre esa mitad del prime cost, no sobre las dos a la vez.</w:t>
      </w:r>
    </w:p>
    <w:p>
      <w:pPr>
        <w:pStyle w:val="Heading2"/>
      </w:pPr>
      <w:r>
        <w:t>La norma que aplica</w:t>
      </w:r>
    </w:p>
    <w:p>
      <w:r>
        <w:rPr>
          <w:b w:val="0"/>
          <w:i w:val="0"/>
        </w:rPr>
        <w:t>Aquí no hay ninguna norma que aplicar, y conviene decirlo con esas palabras: el 65 % de objetivo de prime cost, el 30 % de food cost y el 33 % de labor cost son criterio de la casa, no una obligación legal. Ese criterio se apoya en una referencia de estructura de costes de un restaurante español, con el coste de producto en el 30 % de la venta -28 % en comida y 34,5 % en bebida-, el coste de personal entre el 30 % y el 35 % en servicio integrado, el alquiler hasta el 5 % y los gastos generales en el 17 %, con un EBITDA que la propia fuente califica de sano entre el 10 % y el 13 % (CaixaBankLab con elBullifoundation, «Consumos y beneficios de un restaurante», 2017, revisado en 2022). Superar el objetivo una semana no tiene consecuencia legal: tiene consecuencia contable, y esa es la que hay que gestionar.</w:t>
      </w:r>
    </w:p>
    <w:p>
      <w:pPr>
        <w:pStyle w:val="Heading2"/>
      </w:pPr>
      <w:r>
        <w:t>La herramienta y el guion</w:t>
      </w:r>
    </w:p>
    <w:p>
      <w:r>
        <w:rPr>
          <w:b w:val="0"/>
          <w:i w:val="0"/>
        </w:rPr>
        <w:t>El cuadro de mando semanal es la fuente de las tres cifras y de la comparación con las cuatro semanas anteriores y las cuatro siguientes, y la reunión del lunes es el momento fijado para leerlas con el equipo. Si la semana mala se repite, la conversación con el propietario no se lleva con una queja: se lleva con tres cosas encima de la mesa. «Esta es la semana que se ha salido del objetivo, y esta es la causa que hemos identificado revisando el inventario y las horas.» «Esto es lo que proponemos hacer sobre esa causa concreta, sin tocar la carta ni el cuadrante (horario del personal) todavía.» «Y esta es la fecha en la que volvemos a revisar el cuadro de mando para comprobar si la medida ha funcionado.» Llevar una propuesta, un dato y una fecha es lo que distingue a un manager (gerente/encargado) que dirige la conversación de uno que sólo la sufre.</w:t>
      </w:r>
    </w:p>
    <w:p>
      <w:r>
        <w:rPr>
          <w:b/>
          <w:i w:val="0"/>
        </w:rPr>
        <w:t>La semana mala, con las cuatro anteriores y las cuatro siguientes (cuadro-de-mando-semanal-manager.xlsx, hoja «Semana»)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Semana ISO</w:t>
            </w:r>
          </w:p>
        </w:tc>
        <w:tc>
          <w:tcPr>
            <w:tcW w:type="dxa" w:w="1218"/>
          </w:tcPr>
          <w:p>
            <w:r/>
            <w:r>
              <w:rPr>
                <w:b/>
                <w:i w:val="0"/>
              </w:rPr>
              <w:t>Ventas netas (€)</w:t>
            </w:r>
          </w:p>
        </w:tc>
        <w:tc>
          <w:tcPr>
            <w:tcW w:type="dxa" w:w="1218"/>
          </w:tcPr>
          <w:p>
            <w:r/>
            <w:r>
              <w:rPr>
                <w:b/>
                <w:i w:val="0"/>
              </w:rPr>
              <w:t>Consumo (€)</w:t>
            </w:r>
          </w:p>
        </w:tc>
        <w:tc>
          <w:tcPr>
            <w:tcW w:type="dxa" w:w="1218"/>
          </w:tcPr>
          <w:p>
            <w:r/>
            <w:r>
              <w:rPr>
                <w:b/>
                <w:i w:val="0"/>
              </w:rPr>
              <w:t>Food cost (%)</w:t>
            </w:r>
          </w:p>
        </w:tc>
        <w:tc>
          <w:tcPr>
            <w:tcW w:type="dxa" w:w="1218"/>
          </w:tcPr>
          <w:p>
            <w:r/>
            <w:r>
              <w:rPr>
                <w:b/>
                <w:i w:val="0"/>
              </w:rPr>
              <w:t>Labor cost (%)</w:t>
            </w:r>
          </w:p>
        </w:tc>
        <w:tc>
          <w:tcPr>
            <w:tcW w:type="dxa" w:w="1218"/>
          </w:tcPr>
          <w:p>
            <w:r/>
            <w:r>
              <w:rPr>
                <w:b/>
                <w:i w:val="0"/>
              </w:rPr>
              <w:t>Prime cost (%)</w:t>
            </w:r>
          </w:p>
        </w:tc>
        <w:tc>
          <w:tcPr>
            <w:tcW w:type="dxa" w:w="1218"/>
          </w:tcPr>
          <w:p>
            <w:r/>
            <w:r>
              <w:rPr>
                <w:b/>
                <w:i w:val="0"/>
              </w:rPr>
              <w:t>Lectura</w:t>
            </w:r>
          </w:p>
        </w:tc>
        <w:tc>
          <w:tcPr>
            <w:tcW w:type="dxa" w:w="1218"/>
          </w:tcPr>
          <w:p>
            <w:r/>
            <w:r>
              <w:rPr>
                <w:b/>
                <w:i w:val="0"/>
              </w:rPr>
              <w:t>Margen tras prime cost (€)</w:t>
            </w:r>
          </w:p>
        </w:tc>
      </w:tr>
      <w:tr>
        <w:tc>
          <w:tcPr>
            <w:tcW w:type="dxa" w:w="1218"/>
          </w:tcPr>
          <w:p>
            <w:r/>
            <w:r>
              <w:rPr>
                <w:b w:val="0"/>
                <w:i w:val="0"/>
              </w:rPr>
              <w:t>29</w:t>
            </w:r>
          </w:p>
        </w:tc>
        <w:tc>
          <w:tcPr>
            <w:tcW w:type="dxa" w:w="1218"/>
          </w:tcPr>
          <w:p>
            <w:r/>
            <w:r>
              <w:rPr>
                <w:b w:val="0"/>
                <w:i w:val="0"/>
              </w:rPr>
              <w:t>26.501 €</w:t>
            </w:r>
          </w:p>
        </w:tc>
        <w:tc>
          <w:tcPr>
            <w:tcW w:type="dxa" w:w="1218"/>
          </w:tcPr>
          <w:p>
            <w:r/>
            <w:r>
              <w:rPr>
                <w:b w:val="0"/>
                <w:i w:val="0"/>
              </w:rPr>
              <w:t>8.598 €</w:t>
            </w:r>
          </w:p>
        </w:tc>
        <w:tc>
          <w:tcPr>
            <w:tcW w:type="dxa" w:w="1218"/>
          </w:tcPr>
          <w:p>
            <w:r/>
            <w:r>
              <w:rPr>
                <w:b w:val="0"/>
                <w:i w:val="0"/>
              </w:rPr>
              <w:t>32,4 %</w:t>
            </w:r>
          </w:p>
        </w:tc>
        <w:tc>
          <w:tcPr>
            <w:tcW w:type="dxa" w:w="1218"/>
          </w:tcPr>
          <w:p>
            <w:r/>
            <w:r>
              <w:rPr>
                <w:b w:val="0"/>
                <w:i w:val="0"/>
              </w:rPr>
              <w:t>29,7 %</w:t>
            </w:r>
          </w:p>
        </w:tc>
        <w:tc>
          <w:tcPr>
            <w:tcW w:type="dxa" w:w="1218"/>
          </w:tcPr>
          <w:p>
            <w:r/>
            <w:r>
              <w:rPr>
                <w:b w:val="0"/>
                <w:i w:val="0"/>
              </w:rPr>
              <w:t>62,1 %</w:t>
            </w:r>
          </w:p>
        </w:tc>
        <w:tc>
          <w:tcPr>
            <w:tcW w:type="dxa" w:w="1218"/>
          </w:tcPr>
          <w:p>
            <w:r/>
            <w:r>
              <w:rPr>
                <w:b w:val="0"/>
                <w:i w:val="0"/>
              </w:rPr>
              <w:t>En objetivo</w:t>
            </w:r>
          </w:p>
        </w:tc>
        <w:tc>
          <w:tcPr>
            <w:tcW w:type="dxa" w:w="1218"/>
          </w:tcPr>
          <w:p>
            <w:r/>
            <w:r>
              <w:rPr>
                <w:b w:val="0"/>
                <w:i w:val="0"/>
              </w:rPr>
              <w:t>10.038 €</w:t>
            </w:r>
          </w:p>
        </w:tc>
      </w:tr>
      <w:tr>
        <w:tc>
          <w:tcPr>
            <w:tcW w:type="dxa" w:w="1218"/>
          </w:tcPr>
          <w:p>
            <w:r/>
            <w:r>
              <w:rPr>
                <w:b w:val="0"/>
                <w:i w:val="0"/>
              </w:rPr>
              <w:t>30</w:t>
            </w:r>
          </w:p>
        </w:tc>
        <w:tc>
          <w:tcPr>
            <w:tcW w:type="dxa" w:w="1218"/>
          </w:tcPr>
          <w:p>
            <w:r/>
            <w:r>
              <w:rPr>
                <w:b w:val="0"/>
                <w:i w:val="0"/>
              </w:rPr>
              <w:t>26.764 €</w:t>
            </w:r>
          </w:p>
        </w:tc>
        <w:tc>
          <w:tcPr>
            <w:tcW w:type="dxa" w:w="1218"/>
          </w:tcPr>
          <w:p>
            <w:r/>
            <w:r>
              <w:rPr>
                <w:b w:val="0"/>
                <w:i w:val="0"/>
              </w:rPr>
              <w:t>8.683 €</w:t>
            </w:r>
          </w:p>
        </w:tc>
        <w:tc>
          <w:tcPr>
            <w:tcW w:type="dxa" w:w="1218"/>
          </w:tcPr>
          <w:p>
            <w:r/>
            <w:r>
              <w:rPr>
                <w:b w:val="0"/>
                <w:i w:val="0"/>
              </w:rPr>
              <w:t>32,4 %</w:t>
            </w:r>
          </w:p>
        </w:tc>
        <w:tc>
          <w:tcPr>
            <w:tcW w:type="dxa" w:w="1218"/>
          </w:tcPr>
          <w:p>
            <w:r/>
            <w:r>
              <w:rPr>
                <w:b w:val="0"/>
                <w:i w:val="0"/>
              </w:rPr>
              <w:t>29,5 %</w:t>
            </w:r>
          </w:p>
        </w:tc>
        <w:tc>
          <w:tcPr>
            <w:tcW w:type="dxa" w:w="1218"/>
          </w:tcPr>
          <w:p>
            <w:r/>
            <w:r>
              <w:rPr>
                <w:b w:val="0"/>
                <w:i w:val="0"/>
              </w:rPr>
              <w:t>62,0 %</w:t>
            </w:r>
          </w:p>
        </w:tc>
        <w:tc>
          <w:tcPr>
            <w:tcW w:type="dxa" w:w="1218"/>
          </w:tcPr>
          <w:p>
            <w:r/>
            <w:r>
              <w:rPr>
                <w:b w:val="0"/>
                <w:i w:val="0"/>
              </w:rPr>
              <w:t>En objetivo</w:t>
            </w:r>
          </w:p>
        </w:tc>
        <w:tc>
          <w:tcPr>
            <w:tcW w:type="dxa" w:w="1218"/>
          </w:tcPr>
          <w:p>
            <w:r/>
            <w:r>
              <w:rPr>
                <w:b w:val="0"/>
                <w:i w:val="0"/>
              </w:rPr>
              <w:t>10.177 €</w:t>
            </w:r>
          </w:p>
        </w:tc>
      </w:tr>
      <w:tr>
        <w:tc>
          <w:tcPr>
            <w:tcW w:type="dxa" w:w="1218"/>
          </w:tcPr>
          <w:p>
            <w:r/>
            <w:r>
              <w:rPr>
                <w:b w:val="0"/>
                <w:i w:val="0"/>
              </w:rPr>
              <w:t>31</w:t>
            </w:r>
          </w:p>
        </w:tc>
        <w:tc>
          <w:tcPr>
            <w:tcW w:type="dxa" w:w="1218"/>
          </w:tcPr>
          <w:p>
            <w:r/>
            <w:r>
              <w:rPr>
                <w:b w:val="0"/>
                <w:i w:val="0"/>
              </w:rPr>
              <w:t>25.714 €</w:t>
            </w:r>
          </w:p>
        </w:tc>
        <w:tc>
          <w:tcPr>
            <w:tcW w:type="dxa" w:w="1218"/>
          </w:tcPr>
          <w:p>
            <w:r/>
            <w:r>
              <w:rPr>
                <w:b w:val="0"/>
                <w:i w:val="0"/>
              </w:rPr>
              <w:t>8.343 €</w:t>
            </w:r>
          </w:p>
        </w:tc>
        <w:tc>
          <w:tcPr>
            <w:tcW w:type="dxa" w:w="1218"/>
          </w:tcPr>
          <w:p>
            <w:r/>
            <w:r>
              <w:rPr>
                <w:b w:val="0"/>
                <w:i w:val="0"/>
              </w:rPr>
              <w:t>32,4 %</w:t>
            </w:r>
          </w:p>
        </w:tc>
        <w:tc>
          <w:tcPr>
            <w:tcW w:type="dxa" w:w="1218"/>
          </w:tcPr>
          <w:p>
            <w:r/>
            <w:r>
              <w:rPr>
                <w:b w:val="0"/>
                <w:i w:val="0"/>
              </w:rPr>
              <w:t>30,1 %</w:t>
            </w:r>
          </w:p>
        </w:tc>
        <w:tc>
          <w:tcPr>
            <w:tcW w:type="dxa" w:w="1218"/>
          </w:tcPr>
          <w:p>
            <w:r/>
            <w:r>
              <w:rPr>
                <w:b w:val="0"/>
                <w:i w:val="0"/>
              </w:rPr>
              <w:t>62,6 %</w:t>
            </w:r>
          </w:p>
        </w:tc>
        <w:tc>
          <w:tcPr>
            <w:tcW w:type="dxa" w:w="1218"/>
          </w:tcPr>
          <w:p>
            <w:r/>
            <w:r>
              <w:rPr>
                <w:b w:val="0"/>
                <w:i w:val="0"/>
              </w:rPr>
              <w:t>En objetivo</w:t>
            </w:r>
          </w:p>
        </w:tc>
        <w:tc>
          <w:tcPr>
            <w:tcW w:type="dxa" w:w="1218"/>
          </w:tcPr>
          <w:p>
            <w:r/>
            <w:r>
              <w:rPr>
                <w:b w:val="0"/>
                <w:i w:val="0"/>
              </w:rPr>
              <w:t>9.624 €</w:t>
            </w:r>
          </w:p>
        </w:tc>
      </w:tr>
      <w:tr>
        <w:tc>
          <w:tcPr>
            <w:tcW w:type="dxa" w:w="1218"/>
          </w:tcPr>
          <w:p>
            <w:r/>
            <w:r>
              <w:rPr>
                <w:b w:val="0"/>
                <w:i w:val="0"/>
              </w:rPr>
              <w:t>32</w:t>
            </w:r>
          </w:p>
        </w:tc>
        <w:tc>
          <w:tcPr>
            <w:tcW w:type="dxa" w:w="1218"/>
          </w:tcPr>
          <w:p>
            <w:r/>
            <w:r>
              <w:rPr>
                <w:b w:val="0"/>
                <w:i w:val="0"/>
              </w:rPr>
              <w:t>22.940 €</w:t>
            </w:r>
          </w:p>
        </w:tc>
        <w:tc>
          <w:tcPr>
            <w:tcW w:type="dxa" w:w="1218"/>
          </w:tcPr>
          <w:p>
            <w:r/>
            <w:r>
              <w:rPr>
                <w:b w:val="0"/>
                <w:i w:val="0"/>
              </w:rPr>
              <w:t>7.116 €</w:t>
            </w:r>
          </w:p>
        </w:tc>
        <w:tc>
          <w:tcPr>
            <w:tcW w:type="dxa" w:w="1218"/>
          </w:tcPr>
          <w:p>
            <w:r/>
            <w:r>
              <w:rPr>
                <w:b w:val="0"/>
                <w:i w:val="0"/>
              </w:rPr>
              <w:t>31,0 %</w:t>
            </w:r>
          </w:p>
        </w:tc>
        <w:tc>
          <w:tcPr>
            <w:tcW w:type="dxa" w:w="1218"/>
          </w:tcPr>
          <w:p>
            <w:r/>
            <w:r>
              <w:rPr>
                <w:b w:val="0"/>
                <w:i w:val="0"/>
              </w:rPr>
              <w:t>33,5 %</w:t>
            </w:r>
          </w:p>
        </w:tc>
        <w:tc>
          <w:tcPr>
            <w:tcW w:type="dxa" w:w="1218"/>
          </w:tcPr>
          <w:p>
            <w:r/>
            <w:r>
              <w:rPr>
                <w:b w:val="0"/>
                <w:i w:val="0"/>
              </w:rPr>
              <w:t>64,5 %</w:t>
            </w:r>
          </w:p>
        </w:tc>
        <w:tc>
          <w:tcPr>
            <w:tcW w:type="dxa" w:w="1218"/>
          </w:tcPr>
          <w:p>
            <w:r/>
            <w:r>
              <w:rPr>
                <w:b w:val="0"/>
                <w:i w:val="0"/>
              </w:rPr>
              <w:t>En objetivo</w:t>
            </w:r>
          </w:p>
        </w:tc>
        <w:tc>
          <w:tcPr>
            <w:tcW w:type="dxa" w:w="1218"/>
          </w:tcPr>
          <w:p>
            <w:r/>
            <w:r>
              <w:rPr>
                <w:b w:val="0"/>
                <w:i w:val="0"/>
              </w:rPr>
              <w:t>8.149 €</w:t>
            </w:r>
          </w:p>
        </w:tc>
      </w:tr>
      <w:tr>
        <w:tc>
          <w:tcPr>
            <w:tcW w:type="dxa" w:w="1218"/>
          </w:tcPr>
          <w:p>
            <w:r/>
            <w:r>
              <w:rPr>
                <w:b w:val="0"/>
                <w:i w:val="0"/>
              </w:rPr>
              <w:t>33</w:t>
            </w:r>
          </w:p>
        </w:tc>
        <w:tc>
          <w:tcPr>
            <w:tcW w:type="dxa" w:w="1218"/>
          </w:tcPr>
          <w:p>
            <w:r/>
            <w:r>
              <w:rPr>
                <w:b w:val="0"/>
                <w:i w:val="0"/>
              </w:rPr>
              <w:t>22.041 €</w:t>
            </w:r>
          </w:p>
        </w:tc>
        <w:tc>
          <w:tcPr>
            <w:tcW w:type="dxa" w:w="1218"/>
          </w:tcPr>
          <w:p>
            <w:r/>
            <w:r>
              <w:rPr>
                <w:b w:val="0"/>
                <w:i w:val="0"/>
              </w:rPr>
              <w:t>8.125 €</w:t>
            </w:r>
          </w:p>
        </w:tc>
        <w:tc>
          <w:tcPr>
            <w:tcW w:type="dxa" w:w="1218"/>
          </w:tcPr>
          <w:p>
            <w:r/>
            <w:r>
              <w:rPr>
                <w:b w:val="0"/>
                <w:i w:val="0"/>
              </w:rPr>
              <w:t>36,9 %</w:t>
            </w:r>
          </w:p>
        </w:tc>
        <w:tc>
          <w:tcPr>
            <w:tcW w:type="dxa" w:w="1218"/>
          </w:tcPr>
          <w:p>
            <w:r/>
            <w:r>
              <w:rPr>
                <w:b w:val="0"/>
                <w:i w:val="0"/>
              </w:rPr>
              <w:t>34,1 %</w:t>
            </w:r>
          </w:p>
        </w:tc>
        <w:tc>
          <w:tcPr>
            <w:tcW w:type="dxa" w:w="1218"/>
          </w:tcPr>
          <w:p>
            <w:r/>
            <w:r>
              <w:rPr>
                <w:b w:val="0"/>
                <w:i w:val="0"/>
              </w:rPr>
              <w:t>71,0 %</w:t>
            </w:r>
          </w:p>
        </w:tc>
        <w:tc>
          <w:tcPr>
            <w:tcW w:type="dxa" w:w="1218"/>
          </w:tcPr>
          <w:p>
            <w:r/>
            <w:r>
              <w:rPr>
                <w:b w:val="0"/>
                <w:i w:val="0"/>
              </w:rPr>
              <w:t>Por encima del objetivo</w:t>
            </w:r>
          </w:p>
        </w:tc>
        <w:tc>
          <w:tcPr>
            <w:tcW w:type="dxa" w:w="1218"/>
          </w:tcPr>
          <w:p>
            <w:r/>
            <w:r>
              <w:rPr>
                <w:b w:val="0"/>
                <w:i w:val="0"/>
              </w:rPr>
              <w:t>6.393 €</w:t>
            </w:r>
          </w:p>
        </w:tc>
      </w:tr>
      <w:tr>
        <w:tc>
          <w:tcPr>
            <w:tcW w:type="dxa" w:w="1218"/>
          </w:tcPr>
          <w:p>
            <w:r/>
            <w:r>
              <w:rPr>
                <w:b w:val="0"/>
                <w:i w:val="0"/>
              </w:rPr>
              <w:t>34</w:t>
            </w:r>
          </w:p>
        </w:tc>
        <w:tc>
          <w:tcPr>
            <w:tcW w:type="dxa" w:w="1218"/>
          </w:tcPr>
          <w:p>
            <w:r/>
            <w:r>
              <w:rPr>
                <w:b w:val="0"/>
                <w:i w:val="0"/>
              </w:rPr>
              <w:t>22.265 €</w:t>
            </w:r>
          </w:p>
        </w:tc>
        <w:tc>
          <w:tcPr>
            <w:tcW w:type="dxa" w:w="1218"/>
          </w:tcPr>
          <w:p>
            <w:r/>
            <w:r>
              <w:rPr>
                <w:b w:val="0"/>
                <w:i w:val="0"/>
              </w:rPr>
              <w:t>6.907 €</w:t>
            </w:r>
          </w:p>
        </w:tc>
        <w:tc>
          <w:tcPr>
            <w:tcW w:type="dxa" w:w="1218"/>
          </w:tcPr>
          <w:p>
            <w:r/>
            <w:r>
              <w:rPr>
                <w:b w:val="0"/>
                <w:i w:val="0"/>
              </w:rPr>
              <w:t>31,0 %</w:t>
            </w:r>
          </w:p>
        </w:tc>
        <w:tc>
          <w:tcPr>
            <w:tcW w:type="dxa" w:w="1218"/>
          </w:tcPr>
          <w:p>
            <w:r/>
            <w:r>
              <w:rPr>
                <w:b w:val="0"/>
                <w:i w:val="0"/>
              </w:rPr>
              <w:t>34,0 %</w:t>
            </w:r>
          </w:p>
        </w:tc>
        <w:tc>
          <w:tcPr>
            <w:tcW w:type="dxa" w:w="1218"/>
          </w:tcPr>
          <w:p>
            <w:r/>
            <w:r>
              <w:rPr>
                <w:b w:val="0"/>
                <w:i w:val="0"/>
              </w:rPr>
              <w:t>65,0 %</w:t>
            </w:r>
          </w:p>
        </w:tc>
        <w:tc>
          <w:tcPr>
            <w:tcW w:type="dxa" w:w="1218"/>
          </w:tcPr>
          <w:p>
            <w:r/>
            <w:r>
              <w:rPr>
                <w:b w:val="0"/>
                <w:i w:val="0"/>
              </w:rPr>
              <w:t>En objetivo</w:t>
            </w:r>
          </w:p>
        </w:tc>
        <w:tc>
          <w:tcPr>
            <w:tcW w:type="dxa" w:w="1218"/>
          </w:tcPr>
          <w:p>
            <w:r/>
            <w:r>
              <w:rPr>
                <w:b w:val="0"/>
                <w:i w:val="0"/>
              </w:rPr>
              <w:t>7.796 €</w:t>
            </w:r>
          </w:p>
        </w:tc>
      </w:tr>
      <w:tr>
        <w:tc>
          <w:tcPr>
            <w:tcW w:type="dxa" w:w="1218"/>
          </w:tcPr>
          <w:p>
            <w:r/>
            <w:r>
              <w:rPr>
                <w:b w:val="0"/>
                <w:i w:val="0"/>
              </w:rPr>
              <w:t>35</w:t>
            </w:r>
          </w:p>
        </w:tc>
        <w:tc>
          <w:tcPr>
            <w:tcW w:type="dxa" w:w="1218"/>
          </w:tcPr>
          <w:p>
            <w:r/>
            <w:r>
              <w:rPr>
                <w:b w:val="0"/>
                <w:i w:val="0"/>
              </w:rPr>
              <w:t>22.715 €</w:t>
            </w:r>
          </w:p>
        </w:tc>
        <w:tc>
          <w:tcPr>
            <w:tcW w:type="dxa" w:w="1218"/>
          </w:tcPr>
          <w:p>
            <w:r/>
            <w:r>
              <w:rPr>
                <w:b w:val="0"/>
                <w:i w:val="0"/>
              </w:rPr>
              <w:t>8.763 €</w:t>
            </w:r>
          </w:p>
        </w:tc>
        <w:tc>
          <w:tcPr>
            <w:tcW w:type="dxa" w:w="1218"/>
          </w:tcPr>
          <w:p>
            <w:r/>
            <w:r>
              <w:rPr>
                <w:b w:val="0"/>
                <w:i w:val="0"/>
              </w:rPr>
              <w:t>38,6 %</w:t>
            </w:r>
          </w:p>
        </w:tc>
        <w:tc>
          <w:tcPr>
            <w:tcW w:type="dxa" w:w="1218"/>
          </w:tcPr>
          <w:p>
            <w:r/>
            <w:r>
              <w:rPr>
                <w:b w:val="0"/>
                <w:i w:val="0"/>
              </w:rPr>
              <w:t>33,6 %</w:t>
            </w:r>
          </w:p>
        </w:tc>
        <w:tc>
          <w:tcPr>
            <w:tcW w:type="dxa" w:w="1218"/>
          </w:tcPr>
          <w:p>
            <w:r/>
            <w:r>
              <w:rPr>
                <w:b w:val="0"/>
                <w:i w:val="0"/>
              </w:rPr>
              <w:t>72,2 %</w:t>
            </w:r>
          </w:p>
        </w:tc>
        <w:tc>
          <w:tcPr>
            <w:tcW w:type="dxa" w:w="1218"/>
          </w:tcPr>
          <w:p>
            <w:r/>
            <w:r>
              <w:rPr>
                <w:b w:val="0"/>
                <w:i w:val="0"/>
              </w:rPr>
              <w:t>Por encima del objetivo</w:t>
            </w:r>
          </w:p>
        </w:tc>
        <w:tc>
          <w:tcPr>
            <w:tcW w:type="dxa" w:w="1218"/>
          </w:tcPr>
          <w:p>
            <w:r/>
            <w:r>
              <w:rPr>
                <w:b w:val="0"/>
                <w:i w:val="0"/>
              </w:rPr>
              <w:t>6.315 €</w:t>
            </w:r>
          </w:p>
        </w:tc>
      </w:tr>
      <w:tr>
        <w:tc>
          <w:tcPr>
            <w:tcW w:type="dxa" w:w="1218"/>
          </w:tcPr>
          <w:p>
            <w:r/>
            <w:r>
              <w:rPr>
                <w:b w:val="0"/>
                <w:i w:val="0"/>
              </w:rPr>
              <w:t>36</w:t>
            </w:r>
          </w:p>
        </w:tc>
        <w:tc>
          <w:tcPr>
            <w:tcW w:type="dxa" w:w="1218"/>
          </w:tcPr>
          <w:p>
            <w:r/>
            <w:r>
              <w:rPr>
                <w:b w:val="0"/>
                <w:i w:val="0"/>
              </w:rPr>
              <w:t>23.878 €</w:t>
            </w:r>
          </w:p>
        </w:tc>
        <w:tc>
          <w:tcPr>
            <w:tcW w:type="dxa" w:w="1218"/>
          </w:tcPr>
          <w:p>
            <w:r/>
            <w:r>
              <w:rPr>
                <w:b w:val="0"/>
                <w:i w:val="0"/>
              </w:rPr>
              <w:t>8.615 €</w:t>
            </w:r>
          </w:p>
        </w:tc>
        <w:tc>
          <w:tcPr>
            <w:tcW w:type="dxa" w:w="1218"/>
          </w:tcPr>
          <w:p>
            <w:r/>
            <w:r>
              <w:rPr>
                <w:b w:val="0"/>
                <w:i w:val="0"/>
              </w:rPr>
              <w:t>36,1 %</w:t>
            </w:r>
          </w:p>
        </w:tc>
        <w:tc>
          <w:tcPr>
            <w:tcW w:type="dxa" w:w="1218"/>
          </w:tcPr>
          <w:p>
            <w:r/>
            <w:r>
              <w:rPr>
                <w:b w:val="0"/>
                <w:i w:val="0"/>
              </w:rPr>
              <w:t>30,7 %</w:t>
            </w:r>
          </w:p>
        </w:tc>
        <w:tc>
          <w:tcPr>
            <w:tcW w:type="dxa" w:w="1218"/>
          </w:tcPr>
          <w:p>
            <w:r/>
            <w:r>
              <w:rPr>
                <w:b w:val="0"/>
                <w:i w:val="0"/>
              </w:rPr>
              <w:t>66,8 %</w:t>
            </w:r>
          </w:p>
        </w:tc>
        <w:tc>
          <w:tcPr>
            <w:tcW w:type="dxa" w:w="1218"/>
          </w:tcPr>
          <w:p>
            <w:r/>
            <w:r>
              <w:rPr>
                <w:b w:val="0"/>
                <w:i w:val="0"/>
              </w:rPr>
              <w:t>Por encima del objetivo</w:t>
            </w:r>
          </w:p>
        </w:tc>
        <w:tc>
          <w:tcPr>
            <w:tcW w:type="dxa" w:w="1218"/>
          </w:tcPr>
          <w:p>
            <w:r/>
            <w:r>
              <w:rPr>
                <w:b w:val="0"/>
                <w:i w:val="0"/>
              </w:rPr>
              <w:t>7.927 €</w:t>
            </w:r>
          </w:p>
        </w:tc>
      </w:tr>
      <w:tr>
        <w:tc>
          <w:tcPr>
            <w:tcW w:type="dxa" w:w="1218"/>
          </w:tcPr>
          <w:p>
            <w:r/>
            <w:r>
              <w:rPr>
                <w:b w:val="0"/>
                <w:i w:val="0"/>
              </w:rPr>
              <w:t>37</w:t>
            </w:r>
          </w:p>
        </w:tc>
        <w:tc>
          <w:tcPr>
            <w:tcW w:type="dxa" w:w="1218"/>
          </w:tcPr>
          <w:p>
            <w:r/>
            <w:r>
              <w:rPr>
                <w:b w:val="0"/>
                <w:i w:val="0"/>
              </w:rPr>
              <w:t>24.862 €</w:t>
            </w:r>
          </w:p>
        </w:tc>
        <w:tc>
          <w:tcPr>
            <w:tcW w:type="dxa" w:w="1218"/>
          </w:tcPr>
          <w:p>
            <w:r/>
            <w:r>
              <w:rPr>
                <w:b w:val="0"/>
                <w:i w:val="0"/>
              </w:rPr>
              <w:t>7.022 €</w:t>
            </w:r>
          </w:p>
        </w:tc>
        <w:tc>
          <w:tcPr>
            <w:tcW w:type="dxa" w:w="1218"/>
          </w:tcPr>
          <w:p>
            <w:r/>
            <w:r>
              <w:rPr>
                <w:b w:val="0"/>
                <w:i w:val="0"/>
              </w:rPr>
              <w:t>28,2 %</w:t>
            </w:r>
          </w:p>
        </w:tc>
        <w:tc>
          <w:tcPr>
            <w:tcW w:type="dxa" w:w="1218"/>
          </w:tcPr>
          <w:p>
            <w:r/>
            <w:r>
              <w:rPr>
                <w:b w:val="0"/>
                <w:i w:val="0"/>
              </w:rPr>
              <w:t>30,1 %</w:t>
            </w:r>
          </w:p>
        </w:tc>
        <w:tc>
          <w:tcPr>
            <w:tcW w:type="dxa" w:w="1218"/>
          </w:tcPr>
          <w:p>
            <w:r/>
            <w:r>
              <w:rPr>
                <w:b w:val="0"/>
                <w:i w:val="0"/>
              </w:rPr>
              <w:t>58,4 %</w:t>
            </w:r>
          </w:p>
        </w:tc>
        <w:tc>
          <w:tcPr>
            <w:tcW w:type="dxa" w:w="1218"/>
          </w:tcPr>
          <w:p>
            <w:r/>
            <w:r>
              <w:rPr>
                <w:b w:val="0"/>
                <w:i w:val="0"/>
              </w:rPr>
              <w:t>En objetivo</w:t>
            </w:r>
          </w:p>
        </w:tc>
        <w:tc>
          <w:tcPr>
            <w:tcW w:type="dxa" w:w="1218"/>
          </w:tcPr>
          <w:p>
            <w:r/>
            <w:r>
              <w:rPr>
                <w:b w:val="0"/>
                <w:i w:val="0"/>
              </w:rPr>
              <w:t>10.354 €</w:t>
            </w:r>
          </w:p>
        </w:tc>
      </w:tr>
    </w:tbl>
    <w:p/>
    <w:p>
      <w:r>
        <w:br w:type="page"/>
      </w:r>
    </w:p>
    <w:p>
      <w:pPr>
        <w:pStyle w:val="Heading1"/>
      </w:pPr>
      <w:r>
        <w:t>7. Una Reducción de Jornada por Guarda Legal Justo en el Viernes Noche</w:t>
      </w:r>
    </w:p>
    <w:p>
      <w:pPr>
        <w:pStyle w:val="Heading2"/>
      </w:pPr>
      <w:r>
        <w:t>La situación</w:t>
      </w:r>
    </w:p>
    <w:p>
      <w:r>
        <w:rPr>
          <w:b w:val="0"/>
          <w:i w:val="0"/>
        </w:rPr>
        <w:t>Un viernes por la tarde, una persona del equipo entrega una solicitud por escrito de reducción de jornada por guarda legal, con una concreción horaria que retira justo las horas de mayor entrada de la semana. El local abre 42 horas semanales, y la franja que queda sin cubrir sostiene la estación «Sala y servicio», hoy repartida entre 5 personas de las 12 del equipo, con una cobertura del 41,7 %. No es una petición que el manager (gerente/encargado) pueda valorar ni negociar a la baja: la ley no le deja margen de decisión. Lo único que sí depende de él es el cuadrante (horario del personal), a partir de esa misma tarde y antes de que arranque el servicio.</w:t>
      </w:r>
    </w:p>
    <w:p>
      <w:pPr>
        <w:pStyle w:val="Heading2"/>
      </w:pPr>
      <w:r>
        <w:t>Qué no hacer</w:t>
      </w:r>
    </w:p>
    <w:p>
      <w:r>
        <w:rPr>
          <w:b w:val="0"/>
          <w:i w:val="0"/>
        </w:rPr>
        <w:t>Negar la reducción es la salida más cara: la petición no está sujeta a la discrecionalidad del manager, y negarla convierte una gestión de turnos en un conflicto que la empresa pierde de antemano. Condicionarla a que la persona acepte otro horario tampoco sirve: la concreción la elige quien reduce jornada, no quien dirige el local, y un canje encubierto es la misma negativa con otro nombre. Pedirle que «lo hable con sus compañeros» traslada a un igual una decisión del manager. Y contestar en el pase, con el servicio a punto de arrancar, convierte una respuesta que debía quedar por escrito en un episodio público.</w:t>
      </w:r>
    </w:p>
    <w:p>
      <w:pPr>
        <w:pStyle w:val="Heading2"/>
      </w:pPr>
      <w:r>
        <w:t>Protocolo paso a paso</w:t>
      </w:r>
    </w:p>
    <w:p>
      <w:pPr>
        <w:pStyle w:val="ListBullet"/>
      </w:pPr>
      <w:r>
        <w:rPr>
          <w:b w:val="0"/>
          <w:i w:val="0"/>
        </w:rPr>
        <w:t>Acusar recibo por escrito ese mismo día, con fecha, sin valorar aún el cuadrante.</w:t>
      </w:r>
    </w:p>
    <w:p>
      <w:pPr>
        <w:pStyle w:val="ListBullet"/>
      </w:pPr>
      <w:r>
        <w:rPr>
          <w:b w:val="0"/>
          <w:i w:val="0"/>
        </w:rPr>
        <w:t>Comprobar que la concreción cae dentro de la jornada ordinaria: si es así, no hay negociación sobre el horario, solo sobre la cobertura.</w:t>
      </w:r>
    </w:p>
    <w:p>
      <w:pPr>
        <w:pStyle w:val="ListBullet"/>
      </w:pPr>
      <w:r>
        <w:rPr>
          <w:b w:val="0"/>
          <w:i w:val="0"/>
        </w:rPr>
        <w:t>Abrir la matriz de polivalencia y ver quién más sostiene «Sala y servicio».</w:t>
      </w:r>
    </w:p>
    <w:p>
      <w:pPr>
        <w:pStyle w:val="ListBullet"/>
      </w:pPr>
      <w:r>
        <w:rPr>
          <w:b w:val="0"/>
          <w:i w:val="0"/>
        </w:rPr>
        <w:t>Identificar quién puede subir de nivel en esa estación y en qué plazo.</w:t>
      </w:r>
    </w:p>
    <w:p>
      <w:pPr>
        <w:pStyle w:val="ListBullet"/>
      </w:pPr>
      <w:r>
        <w:rPr>
          <w:b w:val="0"/>
          <w:i w:val="0"/>
        </w:rPr>
        <w:t>Repartir la franja entre quienes ya la dominan y anotarlo en el cuadrante de la semana siguiente.</w:t>
      </w:r>
    </w:p>
    <w:p>
      <w:pPr>
        <w:pStyle w:val="ListBullet"/>
      </w:pPr>
      <w:r>
        <w:rPr>
          <w:b w:val="0"/>
          <w:i w:val="0"/>
        </w:rPr>
        <w:t>Responder con la fecha de efecto solo cuando la cobertura esté resuelta.</w:t>
      </w:r>
    </w:p>
    <w:p>
      <w:pPr>
        <w:pStyle w:val="Heading2"/>
      </w:pPr>
      <w:r>
        <w:t>La norma que aplica</w:t>
      </w:r>
    </w:p>
    <w:p>
      <w:r>
        <w:rPr>
          <w:b w:val="0"/>
          <w:i w:val="0"/>
        </w:rPr>
        <w:t>Aquí conviven dos figuras distintas, y no confundirlas es la mitad del caso. En la reducción de jornada por guarda legal, la concreción horaria la elige la persona trabajadora, conforme al artículo 37.6 del Estatuto de los Trabajadores; en la adaptación de jornada por conciliación -otra figura, con otro trámite- el silencio de la empresa dentro del plazo equivale a conceder lo pedido, conforme al artículo 34.8. Ese es justo el tipo de error que evita la hoja de permisos y cómputo, que registra 10 figuras de ausencia con su régimen de pago: 6 retribuidas y 2 no retribuidas.</w:t>
      </w:r>
    </w:p>
    <w:p>
      <w:r>
        <w:rPr>
          <w:b w:val="0"/>
          <w:i w:val="0"/>
        </w:rPr>
        <w:t>Tres se prestan a confusión, verificadas el 4 de septiembre de 2026. El permiso parental -artículo 48 bis, letra o del artículo 45.1 y artículo 45.2 del Estatuto de los Trabajadores, más el artículo 177 de la Ley General de la Seguridad Social- dura 8 semanas no retribuidas, por suspensión del contrato; las 2 semanas de la letra c del artículo 48.4 -4 en monoparentalidad, redacción del RDL 9/2025- son parte del permiso por nacimiento y sí están retribuidas: tratarlas igual niega un derecho que hay que pagar. El permiso por fallecimiento dura 2 días, ampliables en 2 más con desplazamiento -nunca 5, cifra del accidente o enfermedad grave con hospitalización-, letras b y b bis del artículo 37.3 y artículo 37.9. Y las vacaciones son mínimo 30 días naturales al año, retribuidas, con calendario conocido con dos meses de antelación, artículo 38, todos del Estatuto de los Trabajadores.</w:t>
      </w:r>
    </w:p>
    <w:p>
      <w:pPr>
        <w:pStyle w:val="Heading2"/>
      </w:pPr>
      <w:r>
        <w:t>La herramienta y el guion</w:t>
      </w:r>
    </w:p>
    <w:p>
      <w:r>
        <w:rPr>
          <w:b w:val="0"/>
          <w:i w:val="0"/>
        </w:rPr>
        <w:t>La hoja de permisos y cómputo comprueba, figura por figura, cuál aplica antes de contestar: ahí queda registrado qué se paga, qué no y qué plazo corre. La matriz de formación y polivalencia recompone la franja: enseña quién más sostiene cada estación y en qué plazo puede subir otra persona, de modo que el trabajo del manager pasa de «qué le contesto» a «cómo reorganizo el viernes». La respuesta, el mismo día en que ya está resuelta la cobertura, puede ser tan directa como esto: «Recibida tu solicitud con fecha de hoy. La concreción que propones está dentro de tu jornada ordinaria, así que se aplica tal cual la planteas; te confirmo mañana cómo queda cubierta la franja».</w:t>
      </w:r>
    </w:p>
    <w:p>
      <w:r>
        <w:rPr>
          <w:b/>
          <w:i w:val="0"/>
        </w:rPr>
        <w:t>Permisos y cómputo: la figura que aplica y la que no (calendario-cumplimiento-legal.xlsx, hoja «Permisos y Cómputo»)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Permiso o figura</w:t>
            </w:r>
          </w:p>
        </w:tc>
        <w:tc>
          <w:tcPr>
            <w:tcW w:type="dxa" w:w="1949"/>
          </w:tcPr>
          <w:p>
            <w:r/>
            <w:r>
              <w:rPr>
                <w:b/>
                <w:i w:val="0"/>
              </w:rPr>
              <w:t>Duración o cómputo</w:t>
            </w:r>
          </w:p>
        </w:tc>
        <w:tc>
          <w:tcPr>
            <w:tcW w:type="dxa" w:w="1949"/>
          </w:tcPr>
          <w:p>
            <w:r/>
            <w:r>
              <w:rPr>
                <w:b/>
                <w:i w:val="0"/>
              </w:rPr>
              <w:t>¿Retribuido?</w:t>
            </w:r>
          </w:p>
        </w:tc>
        <w:tc>
          <w:tcPr>
            <w:tcW w:type="dxa" w:w="1949"/>
          </w:tcPr>
          <w:p>
            <w:r/>
            <w:r>
              <w:rPr>
                <w:b/>
                <w:i w:val="0"/>
              </w:rPr>
              <w:t>Quién lo pide y cómo</w:t>
            </w:r>
          </w:p>
        </w:tc>
        <w:tc>
          <w:tcPr>
            <w:tcW w:type="dxa" w:w="1949"/>
          </w:tcPr>
          <w:p>
            <w:r/>
            <w:r>
              <w:rPr>
                <w:b/>
                <w:i w:val="0"/>
              </w:rPr>
              <w:t>Artículo</w:t>
            </w:r>
          </w:p>
        </w:tc>
      </w:tr>
      <w:tr>
        <w:tc>
          <w:tcPr>
            <w:tcW w:type="dxa" w:w="1949"/>
          </w:tcPr>
          <w:p>
            <w:r/>
            <w:r>
              <w:rPr>
                <w:b w:val="0"/>
                <w:i w:val="0"/>
              </w:rPr>
              <w:t>Guarda legal: reducción de jornada</w:t>
            </w:r>
          </w:p>
        </w:tc>
        <w:tc>
          <w:tcPr>
            <w:tcW w:type="dxa" w:w="1949"/>
          </w:tcPr>
          <w:p>
            <w:r/>
            <w:r>
              <w:rPr>
                <w:b w:val="0"/>
                <w:i w:val="0"/>
              </w:rPr>
              <w:t>La concreción horaria la elige la persona trabajadora dentro de su jornada ordinaria</w:t>
            </w:r>
          </w:p>
        </w:tc>
        <w:tc>
          <w:tcPr>
            <w:tcW w:type="dxa" w:w="1949"/>
          </w:tcPr>
          <w:p>
            <w:r/>
            <w:r>
              <w:rPr>
                <w:b w:val="0"/>
                <w:i w:val="0"/>
              </w:rPr>
              <w:t>No</w:t>
            </w:r>
          </w:p>
        </w:tc>
        <w:tc>
          <w:tcPr>
            <w:tcW w:type="dxa" w:w="1949"/>
          </w:tcPr>
          <w:p>
            <w:r/>
            <w:r>
              <w:rPr>
                <w:b w:val="0"/>
                <w:i w:val="0"/>
              </w:rPr>
              <w:t>La persona trabajadora elige la concreción horaria dentro de su jornada ordinaria</w:t>
            </w:r>
          </w:p>
        </w:tc>
        <w:tc>
          <w:tcPr>
            <w:tcW w:type="dxa" w:w="1949"/>
          </w:tcPr>
          <w:p>
            <w:r/>
            <w:r>
              <w:rPr>
                <w:b w:val="0"/>
                <w:i w:val="0"/>
              </w:rPr>
              <w:t>Art. 37.6 y 37.7 ET</w:t>
            </w:r>
          </w:p>
        </w:tc>
      </w:tr>
      <w:tr>
        <w:tc>
          <w:tcPr>
            <w:tcW w:type="dxa" w:w="1949"/>
          </w:tcPr>
          <w:p>
            <w:r/>
            <w:r>
              <w:rPr>
                <w:b w:val="0"/>
                <w:i w:val="0"/>
              </w:rPr>
              <w:t>Adaptación de jornada por conciliación</w:t>
            </w:r>
          </w:p>
        </w:tc>
        <w:tc>
          <w:tcPr>
            <w:tcW w:type="dxa" w:w="1949"/>
          </w:tcPr>
          <w:p>
            <w:r/>
            <w:r>
              <w:rPr>
                <w:b w:val="0"/>
                <w:i w:val="0"/>
              </w:rPr>
              <w:t>Si la empresa no contesta en el plazo legal, se entiende CONCEDIDA</w:t>
            </w:r>
          </w:p>
        </w:tc>
        <w:tc>
          <w:tcPr>
            <w:tcW w:type="dxa" w:w="1949"/>
          </w:tcPr>
          <w:p>
            <w:r/>
            <w:r>
              <w:rPr>
                <w:b w:val="0"/>
                <w:i w:val="0"/>
              </w:rPr>
              <w:t>No aplica</w:t>
            </w:r>
          </w:p>
        </w:tc>
        <w:tc>
          <w:tcPr>
            <w:tcW w:type="dxa" w:w="1949"/>
          </w:tcPr>
          <w:p>
            <w:r/>
            <w:r>
              <w:rPr>
                <w:b w:val="0"/>
                <w:i w:val="0"/>
              </w:rPr>
              <w:t>La persona trabajadora, por escrito</w:t>
            </w:r>
          </w:p>
        </w:tc>
        <w:tc>
          <w:tcPr>
            <w:tcW w:type="dxa" w:w="1949"/>
          </w:tcPr>
          <w:p>
            <w:r/>
            <w:r>
              <w:rPr>
                <w:b w:val="0"/>
                <w:i w:val="0"/>
              </w:rPr>
              <w:t>Art. 34.8 ET</w:t>
            </w:r>
          </w:p>
        </w:tc>
      </w:tr>
    </w:tbl>
    <w:p/>
    <w:p>
      <w:pPr>
        <w:jc w:val="center"/>
      </w:pPr>
      <w:r>
        <w:rPr>
          <w:i/>
          <w:color w:val="444444"/>
        </w:rPr>
        <w:t>Verificado el 04-09-2026 · Art. 34.9 y concordantes del Estatuto de los Trabajadores (RDLeg 2/2015) · https://www.boe.es/buscar/act.php?id=BOE-A-2015-11430</w:t>
      </w:r>
    </w:p>
    <w:p>
      <w:r>
        <w:br w:type="page"/>
      </w:r>
    </w:p>
    <w:p>
      <w:pPr>
        <w:pStyle w:val="Heading1"/>
      </w:pPr>
      <w:r>
        <w:t>8. Se Presenta una Inspección de Sanidad sin Avisar</w:t>
      </w:r>
    </w:p>
    <w:p>
      <w:pPr>
        <w:pStyle w:val="Heading2"/>
      </w:pPr>
      <w:r>
        <w:t>La situación</w:t>
      </w:r>
    </w:p>
    <w:p>
      <w:r>
        <w:rPr>
          <w:b w:val="0"/>
          <w:i w:val="0"/>
        </w:rPr>
        <w:t>Son las nueve y media, con el comedor a dos tercios, y una persona con placa de la administración autonómica pide hablar con quien esté al mando: inspección de sanidad, sin aviso previo. El resultado ya está decidido en otro momento, no en este: o la carpeta de documentación obligatoria tiene sus 12 documentos donde tienen que estar, o no los tiene. El calendario de cumplimiento legal recoge 18 puntos de control, con 1 vencido en la fecha de corte y un 75 % en verde. Lo único que se juega esta noche es cómo se gestiona la visita.</w:t>
      </w:r>
    </w:p>
    <w:p>
      <w:pPr>
        <w:pStyle w:val="Heading2"/>
      </w:pPr>
      <w:r>
        <w:t>Qué no hacer</w:t>
      </w:r>
    </w:p>
    <w:p>
      <w:r>
        <w:rPr>
          <w:b w:val="0"/>
          <w:i w:val="0"/>
        </w:rPr>
        <w:t>Mandar a alguien a revolver papeles mientras la persona inspectora espera es la peor señal que puede dar un local: convierte una carpeta ordenada en una que no lo parece. Discutir en la cocina, delante del equipo, no cambia ni una coma del acta y sí deteriora el trato. Firmar el acta sin leerla entera es aceptar por escrito algo que no se ha comprobado. Y negarse a firmarla creyendo que así pierde validez es un error doble: el acta vale igual, y la negativa queda anotada como tal.</w:t>
      </w:r>
    </w:p>
    <w:p>
      <w:pPr>
        <w:pStyle w:val="Heading2"/>
      </w:pPr>
      <w:r>
        <w:t>Protocolo paso a paso</w:t>
      </w:r>
    </w:p>
    <w:p>
      <w:pPr>
        <w:pStyle w:val="ListBullet"/>
      </w:pPr>
      <w:r>
        <w:rPr>
          <w:b w:val="0"/>
          <w:i w:val="0"/>
        </w:rPr>
        <w:t>Designar a una sola persona para acompañar la inspección de principio a fin, sin relevos a mitad de visita.</w:t>
      </w:r>
    </w:p>
    <w:p>
      <w:pPr>
        <w:pStyle w:val="ListBullet"/>
      </w:pPr>
      <w:r>
        <w:rPr>
          <w:b w:val="0"/>
          <w:i w:val="0"/>
        </w:rPr>
        <w:t>Mantener el servicio en marcha: la visita no es motivo para parar sala ni cocina.</w:t>
      </w:r>
    </w:p>
    <w:p>
      <w:pPr>
        <w:pStyle w:val="ListBullet"/>
      </w:pPr>
      <w:r>
        <w:rPr>
          <w:b w:val="0"/>
          <w:i w:val="0"/>
        </w:rPr>
        <w:t>Entregar exactamente lo que se pide, sin añadir explicaciones ni documentación de más.</w:t>
      </w:r>
    </w:p>
    <w:p>
      <w:pPr>
        <w:pStyle w:val="ListBullet"/>
      </w:pPr>
      <w:r>
        <w:rPr>
          <w:b w:val="0"/>
          <w:i w:val="0"/>
        </w:rPr>
        <w:t>Leer el acta entera antes de firmar, aunque el ritmo del servicio empuje a firmar rápido.</w:t>
      </w:r>
    </w:p>
    <w:p>
      <w:pPr>
        <w:pStyle w:val="ListBullet"/>
      </w:pPr>
      <w:r>
        <w:rPr>
          <w:b w:val="0"/>
          <w:i w:val="0"/>
        </w:rPr>
        <w:t>Firmar haciendo constar por escrito las observaciones que procedan: firmar no es aceptar, es acusar recibo.</w:t>
      </w:r>
    </w:p>
    <w:p>
      <w:pPr>
        <w:pStyle w:val="ListBullet"/>
      </w:pPr>
      <w:r>
        <w:rPr>
          <w:b w:val="0"/>
          <w:i w:val="0"/>
        </w:rPr>
        <w:t>Pedir copia del acta y, ese mismo día, abrir una decisión por cada punto anotado.</w:t>
      </w:r>
    </w:p>
    <w:p>
      <w:pPr>
        <w:pStyle w:val="Heading2"/>
      </w:pPr>
      <w:r>
        <w:t>La norma que aplica</w:t>
      </w:r>
    </w:p>
    <w:p>
      <w:r>
        <w:rPr>
          <w:b w:val="0"/>
          <w:i w:val="0"/>
        </w:rPr>
        <w:t>Todo restaurante debe mantener un procedimiento permanente de autocontrol basado en los 7 principios del APPCC, con una persona responsable designada, y demostrar cultura de seguridad alimentaria, conforme al Reglamento (CE) 852/2004, artículo 5 y Anexo II Cap. XI bis, y al RD 1021/2022, artículo 20 -verificado el 4 de septiembre de 2026-. Los 14 alérgenos de declaración obligatoria van también en los platos sin envasar, y el cartel de «consulte al personal» no basta por sí solo: la información oral solo es legal si además está registrada por escrito o electrónicamente y accesible al personal, a la inspección y a quien la pida, conforme al Reglamento (UE) 1169/2011, Anexo II y artículo 44.1, y al RD 126/2015, artículo 6.5 -verificado-.</w:t>
      </w:r>
    </w:p>
    <w:p>
      <w:r>
        <w:rPr>
          <w:b w:val="0"/>
          <w:i w:val="0"/>
        </w:rPr>
        <w:t>Las temperaturas vigentes son 63 grados o más en caliente, 4 en refrigeración si dura más de 24 horas y 8 si dura menos, -18 en congelación, enfriar de 60 a 10 grados en menos de 2 horas y recalentar a 74 grados 15 segundos en el centro, conforme al RD 1086/2020, artículo 30, redacción del RD 1021/2022 -verificado-: la norma que casi todo el mundo cita aquí, el RD 3484/2000, está derogada desde el 22 de diciembre de 2022. El pescado y los cefalópodos que se sirvan crudos, escabechados o en salazón necesitan congelación de -20 grados durante 24 horas o -35 durante 15 horas -puede haberla hecho el proveedor si está justificado documentalmente-, conforme al RD 1021/2022, artículos 8.1 y 8.2 -verificado-: también aquí está derogada la norma habitual, el RD 1420/2006. Y no identificar al proveedor es infracción grave, de 5.001 a 20.000 euros, igual que la ausencia de autocontrol o la falta de trazabilidad de un paso atrás, conforme a la Ley 17/2011 de seguridad alimentaria y nutrición, artículos 51 y 52 -verificado-.</w:t>
      </w:r>
    </w:p>
    <w:p>
      <w:pPr>
        <w:pStyle w:val="Heading2"/>
      </w:pPr>
      <w:r>
        <w:t>La herramienta y el guion</w:t>
      </w:r>
    </w:p>
    <w:p>
      <w:r>
        <w:rPr>
          <w:b w:val="0"/>
          <w:i w:val="0"/>
        </w:rPr>
        <w:t>La hoja de documentación obligatoria dice dónde tiene que estar cada papel y quién lo pide, así que nadie sale a buscarlo con la visita ya en la puerta. La auditoría interna es el ensayo: la última se cerró con una puntuación ponderada de 3,96 y un cumplimiento del 79,2 %, así que ya se sabe, antes de que llegue nadie, en qué punto flaquea el local. A la persona inspectora se la recibe con algo así: «Ahora mismo le acompaño y le facilito toda la documentación que necesite». Y, al terminar: «Antes de firmar, ¿me deja leer el acta completa?».</w:t>
      </w:r>
    </w:p>
    <w:p>
      <w:r>
        <w:rPr>
          <w:b/>
          <w:i w:val="0"/>
        </w:rPr>
        <w:t>Qué te van a pedir, dónde tiene que estar y quién lo pide (calendario-cumplimiento-legal.xlsx, hoja «Documentación Obligatoria»)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Documento</w:t>
            </w:r>
          </w:p>
        </w:tc>
        <w:tc>
          <w:tcPr>
            <w:tcW w:type="dxa" w:w="2436"/>
          </w:tcPr>
          <w:p>
            <w:r/>
            <w:r>
              <w:rPr>
                <w:b/>
                <w:i w:val="0"/>
              </w:rPr>
              <w:t>Dónde debe estar</w:t>
            </w:r>
          </w:p>
        </w:tc>
        <w:tc>
          <w:tcPr>
            <w:tcW w:type="dxa" w:w="2436"/>
          </w:tcPr>
          <w:p>
            <w:r/>
            <w:r>
              <w:rPr>
                <w:b/>
                <w:i w:val="0"/>
              </w:rPr>
              <w:t>Quién lo pide</w:t>
            </w:r>
          </w:p>
        </w:tc>
      </w:tr>
      <w:tr>
        <w:tc>
          <w:tcPr>
            <w:tcW w:type="dxa" w:w="2436"/>
          </w:tcPr>
          <w:p>
            <w:r/>
            <w:r>
              <w:rPr>
                <w:b w:val="0"/>
                <w:i w:val="0"/>
              </w:rPr>
              <w:t>1</w:t>
            </w:r>
          </w:p>
        </w:tc>
        <w:tc>
          <w:tcPr>
            <w:tcW w:type="dxa" w:w="2436"/>
          </w:tcPr>
          <w:p>
            <w:r/>
            <w:r>
              <w:rPr>
                <w:b w:val="0"/>
                <w:i w:val="0"/>
              </w:rPr>
              <w:t>Hojas de reclamaciones y cartel anunciador</w:t>
            </w:r>
          </w:p>
        </w:tc>
        <w:tc>
          <w:tcPr>
            <w:tcW w:type="dxa" w:w="2436"/>
          </w:tcPr>
          <w:p>
            <w:r/>
            <w:r>
              <w:rPr>
                <w:b w:val="0"/>
                <w:i w:val="0"/>
              </w:rPr>
              <w:t>En el local, a la vista y a disposición del cliente</w:t>
            </w:r>
          </w:p>
        </w:tc>
        <w:tc>
          <w:tcPr>
            <w:tcW w:type="dxa" w:w="2436"/>
          </w:tcPr>
          <w:p>
            <w:r/>
            <w:r>
              <w:rPr>
                <w:b w:val="0"/>
                <w:i w:val="0"/>
              </w:rPr>
              <w:t>Inspección de consumo (autonómica)</w:t>
            </w:r>
          </w:p>
        </w:tc>
      </w:tr>
      <w:tr>
        <w:tc>
          <w:tcPr>
            <w:tcW w:type="dxa" w:w="2436"/>
          </w:tcPr>
          <w:p>
            <w:r/>
            <w:r>
              <w:rPr>
                <w:b w:val="0"/>
                <w:i w:val="0"/>
              </w:rPr>
              <w:t>2</w:t>
            </w:r>
          </w:p>
        </w:tc>
        <w:tc>
          <w:tcPr>
            <w:tcW w:type="dxa" w:w="2436"/>
          </w:tcPr>
          <w:p>
            <w:r/>
            <w:r>
              <w:rPr>
                <w:b w:val="0"/>
                <w:i w:val="0"/>
              </w:rPr>
              <w:t>Registro de jornada de los últimos 4 años</w:t>
            </w:r>
          </w:p>
        </w:tc>
        <w:tc>
          <w:tcPr>
            <w:tcW w:type="dxa" w:w="2436"/>
          </w:tcPr>
          <w:p>
            <w:r/>
            <w:r>
              <w:rPr>
                <w:b w:val="0"/>
                <w:i w:val="0"/>
              </w:rPr>
              <w:t>En el centro de trabajo, accesible de forma inmediata</w:t>
            </w:r>
          </w:p>
        </w:tc>
        <w:tc>
          <w:tcPr>
            <w:tcW w:type="dxa" w:w="2436"/>
          </w:tcPr>
          <w:p>
            <w:r/>
            <w:r>
              <w:rPr>
                <w:b w:val="0"/>
                <w:i w:val="0"/>
              </w:rPr>
              <w:t>Inspección de Trabajo</w:t>
            </w:r>
          </w:p>
        </w:tc>
      </w:tr>
      <w:tr>
        <w:tc>
          <w:tcPr>
            <w:tcW w:type="dxa" w:w="2436"/>
          </w:tcPr>
          <w:p>
            <w:r/>
            <w:r>
              <w:rPr>
                <w:b w:val="0"/>
                <w:i w:val="0"/>
              </w:rPr>
              <w:t>3</w:t>
            </w:r>
          </w:p>
        </w:tc>
        <w:tc>
          <w:tcPr>
            <w:tcW w:type="dxa" w:w="2436"/>
          </w:tcPr>
          <w:p>
            <w:r/>
            <w:r>
              <w:rPr>
                <w:b w:val="0"/>
                <w:i w:val="0"/>
              </w:rPr>
              <w:t>Contratos, altas en la Seguridad Social y nóminas</w:t>
            </w:r>
          </w:p>
        </w:tc>
        <w:tc>
          <w:tcPr>
            <w:tcW w:type="dxa" w:w="2436"/>
          </w:tcPr>
          <w:p>
            <w:r/>
            <w:r>
              <w:rPr>
                <w:b w:val="0"/>
                <w:i w:val="0"/>
              </w:rPr>
              <w:t>En el centro de trabajo o accesibles en remoto</w:t>
            </w:r>
          </w:p>
        </w:tc>
        <w:tc>
          <w:tcPr>
            <w:tcW w:type="dxa" w:w="2436"/>
          </w:tcPr>
          <w:p>
            <w:r/>
            <w:r>
              <w:rPr>
                <w:b w:val="0"/>
                <w:i w:val="0"/>
              </w:rPr>
              <w:t>Inspección de Trabajo</w:t>
            </w:r>
          </w:p>
        </w:tc>
      </w:tr>
      <w:tr>
        <w:tc>
          <w:tcPr>
            <w:tcW w:type="dxa" w:w="2436"/>
          </w:tcPr>
          <w:p>
            <w:r/>
            <w:r>
              <w:rPr>
                <w:b w:val="0"/>
                <w:i w:val="0"/>
              </w:rPr>
              <w:t>4</w:t>
            </w:r>
          </w:p>
        </w:tc>
        <w:tc>
          <w:tcPr>
            <w:tcW w:type="dxa" w:w="2436"/>
          </w:tcPr>
          <w:p>
            <w:r/>
            <w:r>
              <w:rPr>
                <w:b w:val="0"/>
                <w:i w:val="0"/>
              </w:rPr>
              <w:t>Plan de prevención, evaluación de riesgos y planificación preventiva</w:t>
            </w:r>
          </w:p>
        </w:tc>
        <w:tc>
          <w:tcPr>
            <w:tcW w:type="dxa" w:w="2436"/>
          </w:tcPr>
          <w:p>
            <w:r/>
            <w:r>
              <w:rPr>
                <w:b w:val="0"/>
                <w:i w:val="0"/>
              </w:rPr>
              <w:t>En el centro de trabajo</w:t>
            </w:r>
          </w:p>
        </w:tc>
        <w:tc>
          <w:tcPr>
            <w:tcW w:type="dxa" w:w="2436"/>
          </w:tcPr>
          <w:p>
            <w:r/>
            <w:r>
              <w:rPr>
                <w:b w:val="0"/>
                <w:i w:val="0"/>
              </w:rPr>
              <w:t>Inspección de Trabajo</w:t>
            </w:r>
          </w:p>
        </w:tc>
      </w:tr>
      <w:tr>
        <w:tc>
          <w:tcPr>
            <w:tcW w:type="dxa" w:w="2436"/>
          </w:tcPr>
          <w:p>
            <w:r/>
            <w:r>
              <w:rPr>
                <w:b w:val="0"/>
                <w:i w:val="0"/>
              </w:rPr>
              <w:t>5</w:t>
            </w:r>
          </w:p>
        </w:tc>
        <w:tc>
          <w:tcPr>
            <w:tcW w:type="dxa" w:w="2436"/>
          </w:tcPr>
          <w:p>
            <w:r/>
            <w:r>
              <w:rPr>
                <w:b w:val="0"/>
                <w:i w:val="0"/>
              </w:rPr>
              <w:t>Protocolo frente al acoso sexual y por razón de sexo</w:t>
            </w:r>
          </w:p>
        </w:tc>
        <w:tc>
          <w:tcPr>
            <w:tcW w:type="dxa" w:w="2436"/>
          </w:tcPr>
          <w:p>
            <w:r/>
            <w:r>
              <w:rPr>
                <w:b w:val="0"/>
                <w:i w:val="0"/>
              </w:rPr>
              <w:t>Publicado y accesible a toda la plantilla</w:t>
            </w:r>
          </w:p>
        </w:tc>
        <w:tc>
          <w:tcPr>
            <w:tcW w:type="dxa" w:w="2436"/>
          </w:tcPr>
          <w:p>
            <w:r/>
            <w:r>
              <w:rPr>
                <w:b w:val="0"/>
                <w:i w:val="0"/>
              </w:rPr>
              <w:t>Inspección de Trabajo</w:t>
            </w:r>
          </w:p>
        </w:tc>
      </w:tr>
      <w:tr>
        <w:tc>
          <w:tcPr>
            <w:tcW w:type="dxa" w:w="2436"/>
          </w:tcPr>
          <w:p>
            <w:r/>
            <w:r>
              <w:rPr>
                <w:b w:val="0"/>
                <w:i w:val="0"/>
              </w:rPr>
              <w:t>6</w:t>
            </w:r>
          </w:p>
        </w:tc>
        <w:tc>
          <w:tcPr>
            <w:tcW w:type="dxa" w:w="2436"/>
          </w:tcPr>
          <w:p>
            <w:r/>
            <w:r>
              <w:rPr>
                <w:b w:val="0"/>
                <w:i w:val="0"/>
              </w:rPr>
              <w:t>Registro retributivo</w:t>
            </w:r>
          </w:p>
        </w:tc>
        <w:tc>
          <w:tcPr>
            <w:tcW w:type="dxa" w:w="2436"/>
          </w:tcPr>
          <w:p>
            <w:r/>
            <w:r>
              <w:rPr>
                <w:b w:val="0"/>
                <w:i w:val="0"/>
              </w:rPr>
              <w:t>En el centro de trabajo y a disposición de la representación legal</w:t>
            </w:r>
          </w:p>
        </w:tc>
        <w:tc>
          <w:tcPr>
            <w:tcW w:type="dxa" w:w="2436"/>
          </w:tcPr>
          <w:p>
            <w:r/>
            <w:r>
              <w:rPr>
                <w:b w:val="0"/>
                <w:i w:val="0"/>
              </w:rPr>
              <w:t>Inspección de Trabajo</w:t>
            </w:r>
          </w:p>
        </w:tc>
      </w:tr>
      <w:tr>
        <w:tc>
          <w:tcPr>
            <w:tcW w:type="dxa" w:w="2436"/>
          </w:tcPr>
          <w:p>
            <w:r/>
            <w:r>
              <w:rPr>
                <w:b w:val="0"/>
                <w:i w:val="0"/>
              </w:rPr>
              <w:t>7</w:t>
            </w:r>
          </w:p>
        </w:tc>
        <w:tc>
          <w:tcPr>
            <w:tcW w:type="dxa" w:w="2436"/>
          </w:tcPr>
          <w:p>
            <w:r/>
            <w:r>
              <w:rPr>
                <w:b w:val="0"/>
                <w:i w:val="0"/>
              </w:rPr>
              <w:t>Política escrita de desconexión digital</w:t>
            </w:r>
          </w:p>
        </w:tc>
        <w:tc>
          <w:tcPr>
            <w:tcW w:type="dxa" w:w="2436"/>
          </w:tcPr>
          <w:p>
            <w:r/>
            <w:r>
              <w:rPr>
                <w:b w:val="0"/>
                <w:i w:val="0"/>
              </w:rPr>
              <w:t>Accesible a toda la plantilla</w:t>
            </w:r>
          </w:p>
        </w:tc>
        <w:tc>
          <w:tcPr>
            <w:tcW w:type="dxa" w:w="2436"/>
          </w:tcPr>
          <w:p>
            <w:r/>
            <w:r>
              <w:rPr>
                <w:b w:val="0"/>
                <w:i w:val="0"/>
              </w:rPr>
              <w:t>Inspección de Trabajo</w:t>
            </w:r>
          </w:p>
        </w:tc>
      </w:tr>
      <w:tr>
        <w:tc>
          <w:tcPr>
            <w:tcW w:type="dxa" w:w="2436"/>
          </w:tcPr>
          <w:p>
            <w:r/>
            <w:r>
              <w:rPr>
                <w:b w:val="0"/>
                <w:i w:val="0"/>
              </w:rPr>
              <w:t>8</w:t>
            </w:r>
          </w:p>
        </w:tc>
        <w:tc>
          <w:tcPr>
            <w:tcW w:type="dxa" w:w="2436"/>
          </w:tcPr>
          <w:p>
            <w:r/>
            <w:r>
              <w:rPr>
                <w:b w:val="0"/>
                <w:i w:val="0"/>
              </w:rPr>
              <w:t>Plan APPCC y sus registros</w:t>
            </w:r>
          </w:p>
        </w:tc>
        <w:tc>
          <w:tcPr>
            <w:tcW w:type="dxa" w:w="2436"/>
          </w:tcPr>
          <w:p>
            <w:r/>
            <w:r>
              <w:rPr>
                <w:b w:val="0"/>
                <w:i w:val="0"/>
              </w:rPr>
              <w:t>En el local, a disposición del inspector</w:t>
            </w:r>
          </w:p>
        </w:tc>
        <w:tc>
          <w:tcPr>
            <w:tcW w:type="dxa" w:w="2436"/>
          </w:tcPr>
          <w:p>
            <w:r/>
            <w:r>
              <w:rPr>
                <w:b w:val="0"/>
                <w:i w:val="0"/>
              </w:rPr>
              <w:t>Sanidad (autonómica)</w:t>
            </w:r>
          </w:p>
        </w:tc>
      </w:tr>
      <w:tr>
        <w:tc>
          <w:tcPr>
            <w:tcW w:type="dxa" w:w="2436"/>
          </w:tcPr>
          <w:p>
            <w:r/>
            <w:r>
              <w:rPr>
                <w:b w:val="0"/>
                <w:i w:val="0"/>
              </w:rPr>
              <w:t>9</w:t>
            </w:r>
          </w:p>
        </w:tc>
        <w:tc>
          <w:tcPr>
            <w:tcW w:type="dxa" w:w="2436"/>
          </w:tcPr>
          <w:p>
            <w:r/>
            <w:r>
              <w:rPr>
                <w:b w:val="0"/>
                <w:i w:val="0"/>
              </w:rPr>
              <w:t>Acreditación de la formación en manipulación de alimentos</w:t>
            </w:r>
          </w:p>
        </w:tc>
        <w:tc>
          <w:tcPr>
            <w:tcW w:type="dxa" w:w="2436"/>
          </w:tcPr>
          <w:p>
            <w:r/>
            <w:r>
              <w:rPr>
                <w:b w:val="0"/>
                <w:i w:val="0"/>
              </w:rPr>
              <w:t>En el local, por cada persona</w:t>
            </w:r>
          </w:p>
        </w:tc>
        <w:tc>
          <w:tcPr>
            <w:tcW w:type="dxa" w:w="2436"/>
          </w:tcPr>
          <w:p>
            <w:r/>
            <w:r>
              <w:rPr>
                <w:b w:val="0"/>
                <w:i w:val="0"/>
              </w:rPr>
              <w:t>Sanidad (autonómica)</w:t>
            </w:r>
          </w:p>
        </w:tc>
      </w:tr>
      <w:tr>
        <w:tc>
          <w:tcPr>
            <w:tcW w:type="dxa" w:w="2436"/>
          </w:tcPr>
          <w:p>
            <w:r/>
            <w:r>
              <w:rPr>
                <w:b w:val="0"/>
                <w:i w:val="0"/>
              </w:rPr>
              <w:t>10</w:t>
            </w:r>
          </w:p>
        </w:tc>
        <w:tc>
          <w:tcPr>
            <w:tcW w:type="dxa" w:w="2436"/>
          </w:tcPr>
          <w:p>
            <w:r/>
            <w:r>
              <w:rPr>
                <w:b w:val="0"/>
                <w:i w:val="0"/>
              </w:rPr>
              <w:t>Información escrita de alérgenos de todos los platos</w:t>
            </w:r>
          </w:p>
        </w:tc>
        <w:tc>
          <w:tcPr>
            <w:tcW w:type="dxa" w:w="2436"/>
          </w:tcPr>
          <w:p>
            <w:r/>
            <w:r>
              <w:rPr>
                <w:b w:val="0"/>
                <w:i w:val="0"/>
              </w:rPr>
              <w:t>En el local, disponible para el cliente y para el personal de sala</w:t>
            </w:r>
          </w:p>
        </w:tc>
        <w:tc>
          <w:tcPr>
            <w:tcW w:type="dxa" w:w="2436"/>
          </w:tcPr>
          <w:p>
            <w:r/>
            <w:r>
              <w:rPr>
                <w:b w:val="0"/>
                <w:i w:val="0"/>
              </w:rPr>
              <w:t>Sanidad y consumo</w:t>
            </w:r>
          </w:p>
        </w:tc>
      </w:tr>
      <w:tr>
        <w:tc>
          <w:tcPr>
            <w:tcW w:type="dxa" w:w="2436"/>
          </w:tcPr>
          <w:p>
            <w:r/>
            <w:r>
              <w:rPr>
                <w:b w:val="0"/>
                <w:i w:val="0"/>
              </w:rPr>
              <w:t>11</w:t>
            </w:r>
          </w:p>
        </w:tc>
        <w:tc>
          <w:tcPr>
            <w:tcW w:type="dxa" w:w="2436"/>
          </w:tcPr>
          <w:p>
            <w:r/>
            <w:r>
              <w:rPr>
                <w:b w:val="0"/>
                <w:i w:val="0"/>
              </w:rPr>
              <w:t>Albaranes de trazabilidad y justificante de congelación del pescado para consumo en crudo</w:t>
            </w:r>
          </w:p>
        </w:tc>
        <w:tc>
          <w:tcPr>
            <w:tcW w:type="dxa" w:w="2436"/>
          </w:tcPr>
          <w:p>
            <w:r/>
            <w:r>
              <w:rPr>
                <w:b w:val="0"/>
                <w:i w:val="0"/>
              </w:rPr>
              <w:t>En el local, un paso atrás</w:t>
            </w:r>
          </w:p>
        </w:tc>
        <w:tc>
          <w:tcPr>
            <w:tcW w:type="dxa" w:w="2436"/>
          </w:tcPr>
          <w:p>
            <w:r/>
            <w:r>
              <w:rPr>
                <w:b w:val="0"/>
                <w:i w:val="0"/>
              </w:rPr>
              <w:t>Sanidad (autonómica)</w:t>
            </w:r>
          </w:p>
        </w:tc>
      </w:tr>
      <w:tr>
        <w:tc>
          <w:tcPr>
            <w:tcW w:type="dxa" w:w="2436"/>
          </w:tcPr>
          <w:p>
            <w:r/>
            <w:r>
              <w:rPr>
                <w:b w:val="0"/>
                <w:i w:val="0"/>
              </w:rPr>
              <w:t>12</w:t>
            </w:r>
          </w:p>
        </w:tc>
        <w:tc>
          <w:tcPr>
            <w:tcW w:type="dxa" w:w="2436"/>
          </w:tcPr>
          <w:p>
            <w:r/>
            <w:r>
              <w:rPr>
                <w:b w:val="0"/>
                <w:i w:val="0"/>
              </w:rPr>
              <w:t>Comunicación o declaración responsable de inicio de actividad y licencia</w:t>
            </w:r>
          </w:p>
        </w:tc>
        <w:tc>
          <w:tcPr>
            <w:tcW w:type="dxa" w:w="2436"/>
          </w:tcPr>
          <w:p>
            <w:r/>
            <w:r>
              <w:rPr>
                <w:b w:val="0"/>
                <w:i w:val="0"/>
              </w:rPr>
              <w:t>En el local</w:t>
            </w:r>
          </w:p>
        </w:tc>
        <w:tc>
          <w:tcPr>
            <w:tcW w:type="dxa" w:w="2436"/>
          </w:tcPr>
          <w:p>
            <w:r/>
            <w:r>
              <w:rPr>
                <w:b w:val="0"/>
                <w:i w:val="0"/>
              </w:rPr>
              <w:t>Ayuntamiento y Sanidad</w:t>
            </w:r>
          </w:p>
        </w:tc>
      </w:tr>
    </w:tbl>
    <w:p/>
    <w:p>
      <w:pPr>
        <w:jc w:val="center"/>
      </w:pPr>
      <w:r>
        <w:rPr>
          <w:i/>
          <w:color w:val="444444"/>
        </w:rPr>
        <w:t>Verificado el 04-09-2026 · Reglamento (CE) 852/2004, RD 1021/2022 y RD 1086/2020 · https://www.boe.es/buscar/act.php?id=BOE-A-2020-15872</w:t>
      </w:r>
    </w:p>
    <w:p>
      <w:r>
        <w:br w:type="page"/>
      </w:r>
    </w:p>
    <w:p>
      <w:pPr>
        <w:pStyle w:val="Heading1"/>
      </w:pPr>
      <w:r>
        <w:t>9. Una Empleada Comunica una Situación de Acoso</w:t>
      </w:r>
    </w:p>
    <w:p>
      <w:pPr>
        <w:pStyle w:val="Heading2"/>
      </w:pPr>
      <w:r>
        <w:t>La situación</w:t>
      </w:r>
    </w:p>
    <w:p>
      <w:r>
        <w:rPr>
          <w:b w:val="0"/>
          <w:i w:val="0"/>
        </w:rPr>
        <w:t>Una persona del equipo pide hablar a solas con el manager (gerente/encargado) y, ya en el despacho, comunica una situación de acoso. Puede ocurrir en cualquier local, del tamaño que sea: aquí trabajan 12 personas, muy lejos de las 50 que activan la obligación de un plan de igualdad, y eso no cambia nada de lo que toca hacer a partir de este momento. Lo que se diga y se haga en los cinco minutos siguientes pesa tanto como cualquier protocolo escrito que exista en el cajón.</w:t>
      </w:r>
    </w:p>
    <w:p>
      <w:pPr>
        <w:pStyle w:val="Heading2"/>
      </w:pPr>
      <w:r>
        <w:t>Qué no hacer</w:t>
      </w:r>
    </w:p>
    <w:p>
      <w:r>
        <w:rPr>
          <w:b w:val="0"/>
          <w:i w:val="0"/>
        </w:rPr>
        <w:t>Valorar los hechos en ese mismo momento no le corresponde al manager, y hacerlo compromete cualquier actuación posterior. Pedir pruebas es tratar la comunicación como una acusación que hay que demostrar antes de actuar, cuando lo que toca es activar el procedimiento. Confrontar a las partes ahí mismo, o comentarlo con cualquier otra persona del equipo, expone a quien ha hablado y multiplica el daño. Minimizar o bromear con lo que se acaba de contar cierra la puerta a que esa persona vuelva a hablar. Y dejarlo sin registrar porque «esto se va a arreglar solo» es la manera más rápida de que no se arregle, y de que la empresa responda por ello más adelante.</w:t>
      </w:r>
    </w:p>
    <w:p>
      <w:pPr>
        <w:pStyle w:val="Heading2"/>
      </w:pPr>
      <w:r>
        <w:t>Protocolo paso a paso</w:t>
      </w:r>
    </w:p>
    <w:p>
      <w:pPr>
        <w:pStyle w:val="ListBullet"/>
      </w:pPr>
      <w:r>
        <w:rPr>
          <w:b w:val="0"/>
          <w:i w:val="0"/>
        </w:rPr>
        <w:t>Escuchar sin interrumpir y sin opinar sobre lo que se cuenta.</w:t>
      </w:r>
    </w:p>
    <w:p>
      <w:pPr>
        <w:pStyle w:val="ListBullet"/>
      </w:pPr>
      <w:r>
        <w:rPr>
          <w:b w:val="0"/>
          <w:i w:val="0"/>
        </w:rPr>
        <w:t>Informar de que existe un procedimiento y activarlo ese mismo día.</w:t>
      </w:r>
    </w:p>
    <w:p>
      <w:pPr>
        <w:pStyle w:val="ListBullet"/>
      </w:pPr>
      <w:r>
        <w:rPr>
          <w:b w:val="0"/>
          <w:i w:val="0"/>
        </w:rPr>
        <w:t>Proteger a la persona de cualquier contacto con la parte denunciada mientras dure el proceso.</w:t>
      </w:r>
    </w:p>
    <w:p>
      <w:pPr>
        <w:pStyle w:val="ListBullet"/>
      </w:pPr>
      <w:r>
        <w:rPr>
          <w:b w:val="0"/>
          <w:i w:val="0"/>
        </w:rPr>
        <w:t>Dejar constancia escrita de la comunicación, con la fecha en que se produjo.</w:t>
      </w:r>
    </w:p>
    <w:p>
      <w:pPr>
        <w:pStyle w:val="ListBullet"/>
      </w:pPr>
      <w:r>
        <w:rPr>
          <w:b w:val="0"/>
          <w:i w:val="0"/>
        </w:rPr>
        <w:t>Garantizar la confidencialidad de lo tratado frente al resto del equipo.</w:t>
      </w:r>
    </w:p>
    <w:p>
      <w:pPr>
        <w:pStyle w:val="Heading2"/>
      </w:pPr>
      <w:r>
        <w:t>La norma que aplica</w:t>
      </w:r>
    </w:p>
    <w:p>
      <w:r>
        <w:rPr>
          <w:b w:val="0"/>
          <w:i w:val="0"/>
        </w:rPr>
        <w:t>Toda empresa, sin umbral de plantilla, tiene que arbitrar procedimientos específicos de prevención y de cauce para las denuncias por acoso, conforme al artículo 2.1 del RD 901/2020 y a los artículos 8.13 y 8.13 bis de la Ley sobre Infracciones y Sanciones en el Orden Social -verificado el 4 de septiembre de 2026-. El acoso sexual es infracción muy grave sin necesidad de que la empresa lo conociera; el acoso por razón de sexo solo lo es si, conocida la situación, no se adoptaron medidas. La sanción está en el tramo más alto de las relaciones laborales, de 7.501 a 225.018 euros, la misma escala que separa lo leve, de 70 a 750 euros, de lo grave, de 751 a 7.500, y que en prevención de riesgos laborales llega hasta 983.736 euros en lo muy grave, todo ello conforme a los artículos 40.1 y 40.2 de esa misma ley -verificado-. Y del plan de igualdad -obligatorio solo a partir de 50 personas, conforme al artículo 45.2 de la Ley Orgánica 3/2007 y a los artículos 2.2 y 3 del RD 901/2020- no depende nada de esto: el protocolo de acoso es una obligación de resultado, que exista y sea conocido, no de fecha, igual que en el calendario de cumplimiento legal solo 7 puntos tienen periodicidad fijada por una norma estatal y el resto se miden por si el resultado está o no está.</w:t>
      </w:r>
    </w:p>
    <w:p>
      <w:pPr>
        <w:pStyle w:val="Heading2"/>
      </w:pPr>
      <w:r>
        <w:t>La herramienta y el guion</w:t>
      </w:r>
    </w:p>
    <w:p>
      <w:r>
        <w:rPr>
          <w:b w:val="0"/>
          <w:i w:val="0"/>
        </w:rPr>
        <w:t>La hoja de documentación obligatoria es donde se comprueba que el protocolo existe, con sus 12 documentos, y que es accesible a quien lo necesite. El registro de acuerdos deja constancia de las decisiones: las 12 personas del equipo ya tienen seguimiento individual, con 25 acuerdos registrados solo en este trimestre, así que anotar esta conversación es seguir la misma disciplina, no una excepción. Las tres frases del minuto uno pueden ser tan simples como esto: «Gracias por contármelo, y siento que hayas tenido que pasar por esto». «Vamos a activar el procedimiento hoy mismo, y mientras dure, no vas a tener que coincidir con esa persona si no quieres». «Esto queda entre nosotros salvo con quien tenga que intervenir para resolverlo».</w:t>
      </w:r>
    </w:p>
    <w:p>
      <w:r>
        <w:rPr>
          <w:b/>
          <w:i w:val="0"/>
        </w:rPr>
        <w:t>Lo que tiene que existir ANTES de que ocurra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Documento o medida</w:t>
            </w:r>
          </w:p>
        </w:tc>
        <w:tc>
          <w:tcPr>
            <w:tcW w:type="dxa" w:w="3249"/>
          </w:tcPr>
          <w:p>
            <w:r/>
            <w:r>
              <w:rPr>
                <w:b/>
                <w:i w:val="0"/>
              </w:rPr>
              <w:t>Desde cuántas personas</w:t>
            </w:r>
          </w:p>
        </w:tc>
        <w:tc>
          <w:tcPr>
            <w:tcW w:type="dxa" w:w="3249"/>
          </w:tcPr>
          <w:p>
            <w:r/>
            <w:r>
              <w:rPr>
                <w:b/>
                <w:i w:val="0"/>
              </w:rPr>
              <w:t>Dónde tiene que estar</w:t>
            </w:r>
          </w:p>
        </w:tc>
      </w:tr>
      <w:tr>
        <w:tc>
          <w:tcPr>
            <w:tcW w:type="dxa" w:w="3249"/>
          </w:tcPr>
          <w:p>
            <w:r/>
            <w:r>
              <w:rPr>
                <w:b w:val="0"/>
                <w:i w:val="0"/>
              </w:rPr>
              <w:t>Protocolo frente al acoso sexual y por razón de sexo</w:t>
            </w:r>
          </w:p>
        </w:tc>
        <w:tc>
          <w:tcPr>
            <w:tcW w:type="dxa" w:w="3249"/>
          </w:tcPr>
          <w:p>
            <w:r/>
            <w:r>
              <w:rPr>
                <w:b w:val="0"/>
                <w:i w:val="0"/>
              </w:rPr>
              <w:t>Sin umbral: desde la primera persona contratada</w:t>
            </w:r>
          </w:p>
        </w:tc>
        <w:tc>
          <w:tcPr>
            <w:tcW w:type="dxa" w:w="3249"/>
          </w:tcPr>
          <w:p>
            <w:r/>
            <w:r>
              <w:rPr>
                <w:b w:val="0"/>
                <w:i w:val="0"/>
              </w:rPr>
              <w:t>Publicado y accesible a toda la plantilla, no en un cajón</w:t>
            </w:r>
          </w:p>
        </w:tc>
      </w:tr>
      <w:tr>
        <w:tc>
          <w:tcPr>
            <w:tcW w:type="dxa" w:w="3249"/>
          </w:tcPr>
          <w:p>
            <w:r/>
            <w:r>
              <w:rPr>
                <w:b w:val="0"/>
                <w:i w:val="0"/>
              </w:rPr>
              <w:t>Canal de comunicación designado</w:t>
            </w:r>
          </w:p>
        </w:tc>
        <w:tc>
          <w:tcPr>
            <w:tcW w:type="dxa" w:w="3249"/>
          </w:tcPr>
          <w:p>
            <w:r/>
            <w:r>
              <w:rPr>
                <w:b w:val="0"/>
                <w:i w:val="0"/>
              </w:rPr>
              <w:t>Sin umbral</w:t>
            </w:r>
          </w:p>
        </w:tc>
        <w:tc>
          <w:tcPr>
            <w:tcW w:type="dxa" w:w="3249"/>
          </w:tcPr>
          <w:p>
            <w:r/>
            <w:r>
              <w:rPr>
                <w:b w:val="0"/>
                <w:i w:val="0"/>
              </w:rPr>
              <w:t>Con una persona responsable nombrada y conocida por el equipo</w:t>
            </w:r>
          </w:p>
        </w:tc>
      </w:tr>
      <w:tr>
        <w:tc>
          <w:tcPr>
            <w:tcW w:type="dxa" w:w="3249"/>
          </w:tcPr>
          <w:p>
            <w:r/>
            <w:r>
              <w:rPr>
                <w:b w:val="0"/>
                <w:i w:val="0"/>
              </w:rPr>
              <w:t>Registro escrito de la comunicación recibida</w:t>
            </w:r>
          </w:p>
        </w:tc>
        <w:tc>
          <w:tcPr>
            <w:tcW w:type="dxa" w:w="3249"/>
          </w:tcPr>
          <w:p>
            <w:r/>
            <w:r>
              <w:rPr>
                <w:b w:val="0"/>
                <w:i w:val="0"/>
              </w:rPr>
              <w:t>Sin umbral</w:t>
            </w:r>
          </w:p>
        </w:tc>
        <w:tc>
          <w:tcPr>
            <w:tcW w:type="dxa" w:w="3249"/>
          </w:tcPr>
          <w:p>
            <w:r/>
            <w:r>
              <w:rPr>
                <w:b w:val="0"/>
                <w:i w:val="0"/>
              </w:rPr>
              <w:t>Con fecha, confidencial y separado de cualquier expediente laboral</w:t>
            </w:r>
          </w:p>
        </w:tc>
      </w:tr>
      <w:tr>
        <w:tc>
          <w:tcPr>
            <w:tcW w:type="dxa" w:w="3249"/>
          </w:tcPr>
          <w:p>
            <w:r/>
            <w:r>
              <w:rPr>
                <w:b w:val="0"/>
                <w:i w:val="0"/>
              </w:rPr>
              <w:t>Formación e información al equipo sobre el protocolo</w:t>
            </w:r>
          </w:p>
        </w:tc>
        <w:tc>
          <w:tcPr>
            <w:tcW w:type="dxa" w:w="3249"/>
          </w:tcPr>
          <w:p>
            <w:r/>
            <w:r>
              <w:rPr>
                <w:b w:val="0"/>
                <w:i w:val="0"/>
              </w:rPr>
              <w:t>Sin umbral</w:t>
            </w:r>
          </w:p>
        </w:tc>
        <w:tc>
          <w:tcPr>
            <w:tcW w:type="dxa" w:w="3249"/>
          </w:tcPr>
          <w:p>
            <w:r/>
            <w:r>
              <w:rPr>
                <w:b w:val="0"/>
                <w:i w:val="0"/>
              </w:rPr>
              <w:t>Con constancia de que se comunicó y cuándo</w:t>
            </w:r>
          </w:p>
        </w:tc>
      </w:tr>
      <w:tr>
        <w:tc>
          <w:tcPr>
            <w:tcW w:type="dxa" w:w="3249"/>
          </w:tcPr>
          <w:p>
            <w:r/>
            <w:r>
              <w:rPr>
                <w:b w:val="0"/>
                <w:i w:val="0"/>
              </w:rPr>
              <w:t>Conjunto planificado de medidas LGTBI</w:t>
            </w:r>
          </w:p>
        </w:tc>
        <w:tc>
          <w:tcPr>
            <w:tcW w:type="dxa" w:w="3249"/>
          </w:tcPr>
          <w:p>
            <w:r/>
            <w:r>
              <w:rPr>
                <w:b w:val="0"/>
                <w:i w:val="0"/>
              </w:rPr>
              <w:t>A partir de más de 50 personas</w:t>
            </w:r>
          </w:p>
        </w:tc>
        <w:tc>
          <w:tcPr>
            <w:tcW w:type="dxa" w:w="3249"/>
          </w:tcPr>
          <w:p>
            <w:r/>
            <w:r>
              <w:rPr>
                <w:b w:val="0"/>
                <w:i w:val="0"/>
              </w:rPr>
              <w:t>Acordado mediante negociación colectiva</w:t>
            </w:r>
          </w:p>
        </w:tc>
      </w:tr>
    </w:tbl>
    <w:p/>
    <w:p>
      <w:pPr>
        <w:jc w:val="center"/>
      </w:pPr>
      <w:r>
        <w:rPr>
          <w:i/>
          <w:color w:val="444444"/>
        </w:rPr>
        <w:t>Verificado el 04-09-2026 · Art. 48 de la Ley Orgánica 3/2007 y art. 15.1 de la Ley 4/2023 · https://www.boe.es/buscar/act.php?id=BOE-A-2007-6115</w:t>
      </w:r>
    </w:p>
    <w:p>
      <w:r>
        <w:br w:type="page"/>
      </w:r>
    </w:p>
    <w:p>
      <w:pPr>
        <w:pStyle w:val="Heading1"/>
      </w:pPr>
      <w:r>
        <w:t>10. El Cocinero Clave se Va y Sólo Él Sabe Hacer la Partida Fría</w:t>
      </w:r>
    </w:p>
    <w:p>
      <w:pPr>
        <w:pStyle w:val="Heading2"/>
      </w:pPr>
      <w:r>
        <w:t>La situación</w:t>
      </w:r>
    </w:p>
    <w:p>
      <w:r>
        <w:rPr>
          <w:b w:val="0"/>
          <w:i w:val="0"/>
        </w:rPr>
        <w:t>Son las nueve y cuarto de la mañana, antes del pase en La Encina, cuando la persona que sostiene sola la partida de fríos y entrantes comunica que se va. La matriz de polivalencia ya señalaba el problema: una sola persona sostiene esa estación, una sola persona es capaz de enseñarla, y la cobertura es del 8,3 %. La hoja devuelve la alerta «RIESGO: punto único de fallo, solo 1 persona puede sostener esta estación», y hoy deja de ser una advertencia sobre el papel para convertirse en una baja con fecha. El coste directo de cubrirla está en 1.194,00 €; el margen que se deja de generar mientras el equipo recupera el ritmo, en 1.881,87 €; y el impacto total, en 3.075,87 €. Esa cifra es el argumento para pedir presupuesto de formación después; hoy lo urgente es sacar de una sola cabeza, en el preaviso, todo lo que nunca se ha escrito en ninguna ficha.</w:t>
      </w:r>
    </w:p>
    <w:p>
      <w:pPr>
        <w:pStyle w:val="Heading2"/>
      </w:pPr>
      <w:r>
        <w:t>Qué no hacer</w:t>
      </w:r>
    </w:p>
    <w:p>
      <w:pPr>
        <w:pStyle w:val="ListBullet"/>
      </w:pPr>
      <w:r>
        <w:rPr>
          <w:b w:val="0"/>
          <w:i w:val="0"/>
        </w:rPr>
        <w:t>Intentar retener a la persona con una mejora improvisada el mismo día: transmite que sólo llega bajo amenaza de marcha, y si acepta, el resto de la partida aprende esa lección igual de rápido.</w:t>
      </w:r>
    </w:p>
    <w:p>
      <w:pPr>
        <w:pStyle w:val="ListBullet"/>
      </w:pPr>
      <w:r>
        <w:rPr>
          <w:b w:val="0"/>
          <w:i w:val="0"/>
        </w:rPr>
        <w:t>Ocultar la baja al resto del equipo mientras se negocia el traspaso: cuando se entera por el pasillo, la confianza se rompe justo en el tramo en que más se necesita.</w:t>
      </w:r>
    </w:p>
    <w:p>
      <w:pPr>
        <w:pStyle w:val="ListBullet"/>
      </w:pPr>
      <w:r>
        <w:rPr>
          <w:b w:val="0"/>
          <w:i w:val="0"/>
        </w:rPr>
        <w:t>Dejar el traspaso para la última semana «por si cambia de opinión»: las fichas, los proveedores, los tiempos y los trucos de la estación no caben en tan poco margen.</w:t>
      </w:r>
    </w:p>
    <w:p>
      <w:pPr>
        <w:pStyle w:val="ListBullet"/>
      </w:pPr>
      <w:r>
        <w:rPr>
          <w:b w:val="0"/>
          <w:i w:val="0"/>
        </w:rPr>
        <w:t>Tratar el preaviso como un castigo, recortando turnos o apartando a la persona antes de tiempo: es justo al revés, es el activo más valioso que queda sobre la mesa.</w:t>
      </w:r>
    </w:p>
    <w:p>
      <w:pPr>
        <w:pStyle w:val="Heading2"/>
      </w:pPr>
      <w:r>
        <w:t>Protocolo paso a paso</w:t>
      </w:r>
    </w:p>
    <w:p>
      <w:pPr>
        <w:pStyle w:val="ListBullet"/>
      </w:pPr>
      <w:r>
        <w:rPr>
          <w:b w:val="0"/>
          <w:i w:val="0"/>
        </w:rPr>
        <w:t>Aceptar la baja y, ese mismo día, pactar por escrito el plan de traspaso: qué se enseña, a quién y en qué fecha se cierra cada bloque. Frase de apertura: «Antes de que te vayas necesito que dejemos esto por escrito: qué le enseñas a quién y para cuándo, no como favor, sino como parte del cierre».</w:t>
      </w:r>
    </w:p>
    <w:p>
      <w:pPr>
        <w:pStyle w:val="ListBullet"/>
      </w:pPr>
      <w:r>
        <w:rPr>
          <w:b w:val="0"/>
          <w:i w:val="0"/>
        </w:rPr>
        <w:t>Elegir a quién se enseña según la matriz de polivalencia, no según quién esté libre esa tarde: quien tiene mejor progresión absorbe el traspaso mejor que quien sólo tiene hueco en el cuadrante (horario del personal) esa semana.</w:t>
      </w:r>
    </w:p>
    <w:p>
      <w:pPr>
        <w:pStyle w:val="ListBullet"/>
      </w:pPr>
      <w:r>
        <w:rPr>
          <w:b w:val="0"/>
          <w:i w:val="0"/>
        </w:rPr>
        <w:t>Escribir con quien se va lo que sólo está en su cabeza: fichas de producto, proveedores de la partida, tiempos de mise en place y los trucos de la estación.</w:t>
      </w:r>
    </w:p>
    <w:p>
      <w:pPr>
        <w:pStyle w:val="ListBullet"/>
      </w:pPr>
      <w:r>
        <w:rPr>
          <w:b w:val="0"/>
          <w:i w:val="0"/>
        </w:rPr>
        <w:t>Programar cada sesión en el cuadrante, con hora y nombre, no «cuando se pueda»: lo que no tiene hueco fijo asignado no llega a ocurrir antes de que termine el preaviso.</w:t>
      </w:r>
    </w:p>
    <w:p>
      <w:pPr>
        <w:pStyle w:val="ListBullet"/>
      </w:pPr>
      <w:r>
        <w:rPr>
          <w:b w:val="0"/>
          <w:i w:val="0"/>
        </w:rPr>
        <w:t>Al cerrar, actualizar la matriz con quién quedó formado y anotar la acción en el plan de cross-training, que ya lleva 8 acciones registradas: esta baja añade una más.</w:t>
      </w:r>
    </w:p>
    <w:p>
      <w:pPr>
        <w:pStyle w:val="Heading2"/>
      </w:pPr>
      <w:r>
        <w:t>La norma que aplica</w:t>
      </w:r>
    </w:p>
    <w:p>
      <w:r>
        <w:rPr>
          <w:b w:val="0"/>
          <w:i w:val="0"/>
        </w:rPr>
        <w:t>Aquí no hay obligación legal de traspaso de conocimiento: es criterio de gestión, no una norma, y conviene decirlo así al equipo. Lo que sí está regulado es el preaviso que fije el convenio colectivo aplicable o, en su defecto, el contrato de trabajo, junto con la liquidación que corresponda al cierre de la relación laboral. Ese plazo de preaviso es el único margen de maniobra real: no se negocia, pero sí se aprovecha.</w:t>
      </w:r>
    </w:p>
    <w:p>
      <w:pPr>
        <w:pStyle w:val="Heading2"/>
      </w:pPr>
      <w:r>
        <w:t>La herramienta y el guion</w:t>
      </w:r>
    </w:p>
    <w:p>
      <w:r>
        <w:rPr>
          <w:b w:val="0"/>
          <w:i w:val="0"/>
        </w:rPr>
        <w:t>La matriz de polivalencia y el plan de cross-training -hoja «Plan de Cross-Training» de matriz-formacion-polivalencia.xlsx- ya tenían identificada esta estación como punto único de fallo; la tabla siguiente recoge, estación por estación, quién enseña a quién y para cuándo. La hoja «Coste de una Baja» del mismo libro es el argumento con el que se pide presupuesto para que la próxima salida no vuelva a costar 3.075,87 €: la formación en hostelería recibe una cuarta parte de lo que recibe la media de la economía española por trabajador y año -20,14 € frente a 76,49 € de media- (INE, Encuesta Anual de Coste Laboral 2025), y cada punto único de fallo sin cubrir es una baja ya anunciada, sólo que todavía sin fecha.</w:t>
      </w:r>
    </w:p>
    <w:p>
      <w:r>
        <w:rPr>
          <w:b/>
          <w:i w:val="0"/>
        </w:rPr>
        <w:t>El plan de cross-training que ya existía: quién enseña a quién y para cuándo (matriz-formacion-polivalencia.xlsx, hoja «Plan de Cross-Training»)</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w:t>
            </w:r>
          </w:p>
        </w:tc>
        <w:tc>
          <w:tcPr>
            <w:tcW w:type="dxa" w:w="1218"/>
          </w:tcPr>
          <w:p>
            <w:r/>
            <w:r>
              <w:rPr>
                <w:b/>
                <w:i w:val="0"/>
              </w:rPr>
              <w:t>Nombre</w:t>
            </w:r>
          </w:p>
        </w:tc>
        <w:tc>
          <w:tcPr>
            <w:tcW w:type="dxa" w:w="1218"/>
          </w:tcPr>
          <w:p>
            <w:r/>
            <w:r>
              <w:rPr>
                <w:b/>
                <w:i w:val="0"/>
              </w:rPr>
              <w:t>Estación objetivo</w:t>
            </w:r>
          </w:p>
        </w:tc>
        <w:tc>
          <w:tcPr>
            <w:tcW w:type="dxa" w:w="1218"/>
          </w:tcPr>
          <w:p>
            <w:r/>
            <w:r>
              <w:rPr>
                <w:b/>
                <w:i w:val="0"/>
              </w:rPr>
              <w:t>Nivel actual</w:t>
            </w:r>
          </w:p>
        </w:tc>
        <w:tc>
          <w:tcPr>
            <w:tcW w:type="dxa" w:w="1218"/>
          </w:tcPr>
          <w:p>
            <w:r/>
            <w:r>
              <w:rPr>
                <w:b/>
                <w:i w:val="0"/>
              </w:rPr>
              <w:t>Nivel objetivo</w:t>
            </w:r>
          </w:p>
        </w:tc>
        <w:tc>
          <w:tcPr>
            <w:tcW w:type="dxa" w:w="1218"/>
          </w:tcPr>
          <w:p>
            <w:r/>
            <w:r>
              <w:rPr>
                <w:b/>
                <w:i w:val="0"/>
              </w:rPr>
              <w:t>Quién le enseña</w:t>
            </w:r>
          </w:p>
        </w:tc>
        <w:tc>
          <w:tcPr>
            <w:tcW w:type="dxa" w:w="1218"/>
          </w:tcPr>
          <w:p>
            <w:r/>
            <w:r>
              <w:rPr>
                <w:b/>
                <w:i w:val="0"/>
              </w:rPr>
              <w:t>Estado</w:t>
            </w:r>
          </w:p>
        </w:tc>
        <w:tc>
          <w:tcPr>
            <w:tcW w:type="dxa" w:w="1218"/>
          </w:tcPr>
          <w:p>
            <w:r/>
            <w:r>
              <w:rPr>
                <w:b/>
                <w:i w:val="0"/>
              </w:rPr>
              <w:t>Situación del plazo</w:t>
            </w:r>
          </w:p>
        </w:tc>
      </w:tr>
      <w:tr>
        <w:tc>
          <w:tcPr>
            <w:tcW w:type="dxa" w:w="1218"/>
          </w:tcPr>
          <w:p>
            <w:r/>
            <w:r>
              <w:rPr>
                <w:b w:val="0"/>
                <w:i w:val="0"/>
              </w:rPr>
              <w:t>1</w:t>
            </w:r>
          </w:p>
        </w:tc>
        <w:tc>
          <w:tcPr>
            <w:tcW w:type="dxa" w:w="1218"/>
          </w:tcPr>
          <w:p>
            <w:r/>
            <w:r>
              <w:rPr>
                <w:b w:val="0"/>
                <w:i w:val="0"/>
              </w:rPr>
              <w:t>Omar B.</w:t>
            </w:r>
          </w:p>
        </w:tc>
        <w:tc>
          <w:tcPr>
            <w:tcW w:type="dxa" w:w="1218"/>
          </w:tcPr>
          <w:p>
            <w:r/>
            <w:r>
              <w:rPr>
                <w:b w:val="0"/>
                <w:i w:val="0"/>
              </w:rPr>
              <w:t>Fríos y entrantes</w:t>
            </w:r>
          </w:p>
        </w:tc>
        <w:tc>
          <w:tcPr>
            <w:tcW w:type="dxa" w:w="1218"/>
          </w:tcPr>
          <w:p>
            <w:r/>
            <w:r>
              <w:rPr>
                <w:b w:val="0"/>
                <w:i w:val="0"/>
              </w:rPr>
              <w:t>1</w:t>
            </w:r>
          </w:p>
        </w:tc>
        <w:tc>
          <w:tcPr>
            <w:tcW w:type="dxa" w:w="1218"/>
          </w:tcPr>
          <w:p>
            <w:r/>
            <w:r>
              <w:rPr>
                <w:b w:val="0"/>
                <w:i w:val="0"/>
              </w:rPr>
              <w:t>2</w:t>
            </w:r>
          </w:p>
        </w:tc>
        <w:tc>
          <w:tcPr>
            <w:tcW w:type="dxa" w:w="1218"/>
          </w:tcPr>
          <w:p>
            <w:r/>
            <w:r>
              <w:rPr>
                <w:b w:val="0"/>
                <w:i w:val="0"/>
              </w:rPr>
              <w:t>Laura S.</w:t>
            </w:r>
          </w:p>
        </w:tc>
        <w:tc>
          <w:tcPr>
            <w:tcW w:type="dxa" w:w="1218"/>
          </w:tcPr>
          <w:p>
            <w:r/>
            <w:r>
              <w:rPr>
                <w:b w:val="0"/>
                <w:i w:val="0"/>
              </w:rPr>
              <w:t>En curso</w:t>
            </w:r>
          </w:p>
        </w:tc>
        <w:tc>
          <w:tcPr>
            <w:tcW w:type="dxa" w:w="1218"/>
          </w:tcPr>
          <w:p>
            <w:r/>
            <w:r>
              <w:rPr>
                <w:b w:val="0"/>
                <w:i w:val="0"/>
              </w:rPr>
              <w:t>En plazo</w:t>
            </w:r>
          </w:p>
        </w:tc>
      </w:tr>
      <w:tr>
        <w:tc>
          <w:tcPr>
            <w:tcW w:type="dxa" w:w="1218"/>
          </w:tcPr>
          <w:p>
            <w:r/>
            <w:r>
              <w:rPr>
                <w:b w:val="0"/>
                <w:i w:val="0"/>
              </w:rPr>
              <w:t>2</w:t>
            </w:r>
          </w:p>
        </w:tc>
        <w:tc>
          <w:tcPr>
            <w:tcW w:type="dxa" w:w="1218"/>
          </w:tcPr>
          <w:p>
            <w:r/>
            <w:r>
              <w:rPr>
                <w:b w:val="0"/>
                <w:i w:val="0"/>
              </w:rPr>
              <w:t>Diego M.</w:t>
            </w:r>
          </w:p>
        </w:tc>
        <w:tc>
          <w:tcPr>
            <w:tcW w:type="dxa" w:w="1218"/>
          </w:tcPr>
          <w:p>
            <w:r/>
            <w:r>
              <w:rPr>
                <w:b w:val="0"/>
                <w:i w:val="0"/>
              </w:rPr>
              <w:t>Fríos y entrantes</w:t>
            </w:r>
          </w:p>
        </w:tc>
        <w:tc>
          <w:tcPr>
            <w:tcW w:type="dxa" w:w="1218"/>
          </w:tcPr>
          <w:p>
            <w:r/>
            <w:r>
              <w:rPr>
                <w:b w:val="0"/>
                <w:i w:val="0"/>
              </w:rPr>
              <w:t>1</w:t>
            </w:r>
          </w:p>
        </w:tc>
        <w:tc>
          <w:tcPr>
            <w:tcW w:type="dxa" w:w="1218"/>
          </w:tcPr>
          <w:p>
            <w:r/>
            <w:r>
              <w:rPr>
                <w:b w:val="0"/>
                <w:i w:val="0"/>
              </w:rPr>
              <w:t>2</w:t>
            </w:r>
          </w:p>
        </w:tc>
        <w:tc>
          <w:tcPr>
            <w:tcW w:type="dxa" w:w="1218"/>
          </w:tcPr>
          <w:p>
            <w:r/>
            <w:r>
              <w:rPr>
                <w:b w:val="0"/>
                <w:i w:val="0"/>
              </w:rPr>
              <w:t>Laura S.</w:t>
            </w:r>
          </w:p>
        </w:tc>
        <w:tc>
          <w:tcPr>
            <w:tcW w:type="dxa" w:w="1218"/>
          </w:tcPr>
          <w:p>
            <w:r/>
            <w:r>
              <w:rPr>
                <w:b w:val="0"/>
                <w:i w:val="0"/>
              </w:rPr>
              <w:t>Planificado</w:t>
            </w:r>
          </w:p>
        </w:tc>
        <w:tc>
          <w:tcPr>
            <w:tcW w:type="dxa" w:w="1218"/>
          </w:tcPr>
          <w:p>
            <w:r/>
            <w:r>
              <w:rPr>
                <w:b w:val="0"/>
                <w:i w:val="0"/>
              </w:rPr>
              <w:t>En plazo</w:t>
            </w:r>
          </w:p>
        </w:tc>
      </w:tr>
      <w:tr>
        <w:tc>
          <w:tcPr>
            <w:tcW w:type="dxa" w:w="1218"/>
          </w:tcPr>
          <w:p>
            <w:r/>
            <w:r>
              <w:rPr>
                <w:b w:val="0"/>
                <w:i w:val="0"/>
              </w:rPr>
              <w:t>3</w:t>
            </w:r>
          </w:p>
        </w:tc>
        <w:tc>
          <w:tcPr>
            <w:tcW w:type="dxa" w:w="1218"/>
          </w:tcPr>
          <w:p>
            <w:r/>
            <w:r>
              <w:rPr>
                <w:b w:val="0"/>
                <w:i w:val="0"/>
              </w:rPr>
              <w:t>Iván R.</w:t>
            </w:r>
          </w:p>
        </w:tc>
        <w:tc>
          <w:tcPr>
            <w:tcW w:type="dxa" w:w="1218"/>
          </w:tcPr>
          <w:p>
            <w:r/>
            <w:r>
              <w:rPr>
                <w:b w:val="0"/>
                <w:i w:val="0"/>
              </w:rPr>
              <w:t>Fríos y entrantes</w:t>
            </w:r>
          </w:p>
        </w:tc>
        <w:tc>
          <w:tcPr>
            <w:tcW w:type="dxa" w:w="1218"/>
          </w:tcPr>
          <w:p>
            <w:r/>
            <w:r>
              <w:rPr>
                <w:b w:val="0"/>
                <w:i w:val="0"/>
              </w:rPr>
              <w:t>1</w:t>
            </w:r>
          </w:p>
        </w:tc>
        <w:tc>
          <w:tcPr>
            <w:tcW w:type="dxa" w:w="1218"/>
          </w:tcPr>
          <w:p>
            <w:r/>
            <w:r>
              <w:rPr>
                <w:b w:val="0"/>
                <w:i w:val="0"/>
              </w:rPr>
              <w:t>3</w:t>
            </w:r>
          </w:p>
        </w:tc>
        <w:tc>
          <w:tcPr>
            <w:tcW w:type="dxa" w:w="1218"/>
          </w:tcPr>
          <w:p>
            <w:r/>
            <w:r>
              <w:rPr>
                <w:b w:val="0"/>
                <w:i w:val="0"/>
              </w:rPr>
              <w:t>Laura S.</w:t>
            </w:r>
          </w:p>
        </w:tc>
        <w:tc>
          <w:tcPr>
            <w:tcW w:type="dxa" w:w="1218"/>
          </w:tcPr>
          <w:p>
            <w:r/>
            <w:r>
              <w:rPr>
                <w:b w:val="0"/>
                <w:i w:val="0"/>
              </w:rPr>
              <w:t>Planificado</w:t>
            </w:r>
          </w:p>
        </w:tc>
        <w:tc>
          <w:tcPr>
            <w:tcW w:type="dxa" w:w="1218"/>
          </w:tcPr>
          <w:p>
            <w:r/>
            <w:r>
              <w:rPr>
                <w:b w:val="0"/>
                <w:i w:val="0"/>
              </w:rPr>
              <w:t>En plazo</w:t>
            </w:r>
          </w:p>
        </w:tc>
      </w:tr>
      <w:tr>
        <w:tc>
          <w:tcPr>
            <w:tcW w:type="dxa" w:w="1218"/>
          </w:tcPr>
          <w:p>
            <w:r/>
            <w:r>
              <w:rPr>
                <w:b w:val="0"/>
                <w:i w:val="0"/>
              </w:rPr>
              <w:t>4</w:t>
            </w:r>
          </w:p>
        </w:tc>
        <w:tc>
          <w:tcPr>
            <w:tcW w:type="dxa" w:w="1218"/>
          </w:tcPr>
          <w:p>
            <w:r/>
            <w:r>
              <w:rPr>
                <w:b w:val="0"/>
                <w:i w:val="0"/>
              </w:rPr>
              <w:t>Youssef A.</w:t>
            </w:r>
          </w:p>
        </w:tc>
        <w:tc>
          <w:tcPr>
            <w:tcW w:type="dxa" w:w="1218"/>
          </w:tcPr>
          <w:p>
            <w:r/>
            <w:r>
              <w:rPr>
                <w:b w:val="0"/>
                <w:i w:val="0"/>
              </w:rPr>
              <w:t>Barra y bebidas</w:t>
            </w:r>
          </w:p>
        </w:tc>
        <w:tc>
          <w:tcPr>
            <w:tcW w:type="dxa" w:w="1218"/>
          </w:tcPr>
          <w:p>
            <w:r/>
            <w:r>
              <w:rPr>
                <w:b w:val="0"/>
                <w:i w:val="0"/>
              </w:rPr>
              <w:t>1</w:t>
            </w:r>
          </w:p>
        </w:tc>
        <w:tc>
          <w:tcPr>
            <w:tcW w:type="dxa" w:w="1218"/>
          </w:tcPr>
          <w:p>
            <w:r/>
            <w:r>
              <w:rPr>
                <w:b w:val="0"/>
                <w:i w:val="0"/>
              </w:rPr>
              <w:t>2</w:t>
            </w:r>
          </w:p>
        </w:tc>
        <w:tc>
          <w:tcPr>
            <w:tcW w:type="dxa" w:w="1218"/>
          </w:tcPr>
          <w:p>
            <w:r/>
            <w:r>
              <w:rPr>
                <w:b w:val="0"/>
                <w:i w:val="0"/>
              </w:rPr>
              <w:t>Elena T.</w:t>
            </w:r>
          </w:p>
        </w:tc>
        <w:tc>
          <w:tcPr>
            <w:tcW w:type="dxa" w:w="1218"/>
          </w:tcPr>
          <w:p>
            <w:r/>
            <w:r>
              <w:rPr>
                <w:b w:val="0"/>
                <w:i w:val="0"/>
              </w:rPr>
              <w:t>En curso</w:t>
            </w:r>
          </w:p>
        </w:tc>
        <w:tc>
          <w:tcPr>
            <w:tcW w:type="dxa" w:w="1218"/>
          </w:tcPr>
          <w:p>
            <w:r/>
            <w:r>
              <w:rPr>
                <w:b w:val="0"/>
                <w:i w:val="0"/>
              </w:rPr>
              <w:t>En plazo</w:t>
            </w:r>
          </w:p>
        </w:tc>
      </w:tr>
      <w:tr>
        <w:tc>
          <w:tcPr>
            <w:tcW w:type="dxa" w:w="1218"/>
          </w:tcPr>
          <w:p>
            <w:r/>
            <w:r>
              <w:rPr>
                <w:b w:val="0"/>
                <w:i w:val="0"/>
              </w:rPr>
              <w:t>5</w:t>
            </w:r>
          </w:p>
        </w:tc>
        <w:tc>
          <w:tcPr>
            <w:tcW w:type="dxa" w:w="1218"/>
          </w:tcPr>
          <w:p>
            <w:r/>
            <w:r>
              <w:rPr>
                <w:b w:val="0"/>
                <w:i w:val="0"/>
              </w:rPr>
              <w:t>Paula G.</w:t>
            </w:r>
          </w:p>
        </w:tc>
        <w:tc>
          <w:tcPr>
            <w:tcW w:type="dxa" w:w="1218"/>
          </w:tcPr>
          <w:p>
            <w:r/>
            <w:r>
              <w:rPr>
                <w:b w:val="0"/>
                <w:i w:val="0"/>
              </w:rPr>
              <w:t>Sala y servicio</w:t>
            </w:r>
          </w:p>
        </w:tc>
        <w:tc>
          <w:tcPr>
            <w:tcW w:type="dxa" w:w="1218"/>
          </w:tcPr>
          <w:p>
            <w:r/>
            <w:r>
              <w:rPr>
                <w:b w:val="0"/>
                <w:i w:val="0"/>
              </w:rPr>
              <w:t>1</w:t>
            </w:r>
          </w:p>
        </w:tc>
        <w:tc>
          <w:tcPr>
            <w:tcW w:type="dxa" w:w="1218"/>
          </w:tcPr>
          <w:p>
            <w:r/>
            <w:r>
              <w:rPr>
                <w:b w:val="0"/>
                <w:i w:val="0"/>
              </w:rPr>
              <w:t>2</w:t>
            </w:r>
          </w:p>
        </w:tc>
        <w:tc>
          <w:tcPr>
            <w:tcW w:type="dxa" w:w="1218"/>
          </w:tcPr>
          <w:p>
            <w:r/>
            <w:r>
              <w:rPr>
                <w:b w:val="0"/>
                <w:i w:val="0"/>
              </w:rPr>
              <w:t>Nuria C.</w:t>
            </w:r>
          </w:p>
        </w:tc>
        <w:tc>
          <w:tcPr>
            <w:tcW w:type="dxa" w:w="1218"/>
          </w:tcPr>
          <w:p>
            <w:r/>
            <w:r>
              <w:rPr>
                <w:b w:val="0"/>
                <w:i w:val="0"/>
              </w:rPr>
              <w:t>Planificado</w:t>
            </w:r>
          </w:p>
        </w:tc>
        <w:tc>
          <w:tcPr>
            <w:tcW w:type="dxa" w:w="1218"/>
          </w:tcPr>
          <w:p>
            <w:r/>
            <w:r>
              <w:rPr>
                <w:b w:val="0"/>
                <w:i w:val="0"/>
              </w:rPr>
              <w:t>En plazo</w:t>
            </w:r>
          </w:p>
        </w:tc>
      </w:tr>
      <w:tr>
        <w:tc>
          <w:tcPr>
            <w:tcW w:type="dxa" w:w="1218"/>
          </w:tcPr>
          <w:p>
            <w:r/>
            <w:r>
              <w:rPr>
                <w:b w:val="0"/>
                <w:i w:val="0"/>
              </w:rPr>
              <w:t>6</w:t>
            </w:r>
          </w:p>
        </w:tc>
        <w:tc>
          <w:tcPr>
            <w:tcW w:type="dxa" w:w="1218"/>
          </w:tcPr>
          <w:p>
            <w:r/>
            <w:r>
              <w:rPr>
                <w:b w:val="0"/>
                <w:i w:val="0"/>
              </w:rPr>
              <w:t>Carlos V.</w:t>
            </w:r>
          </w:p>
        </w:tc>
        <w:tc>
          <w:tcPr>
            <w:tcW w:type="dxa" w:w="1218"/>
          </w:tcPr>
          <w:p>
            <w:r/>
            <w:r>
              <w:rPr>
                <w:b w:val="0"/>
                <w:i w:val="0"/>
              </w:rPr>
              <w:t>Caja y cierre</w:t>
            </w:r>
          </w:p>
        </w:tc>
        <w:tc>
          <w:tcPr>
            <w:tcW w:type="dxa" w:w="1218"/>
          </w:tcPr>
          <w:p>
            <w:r/>
            <w:r>
              <w:rPr>
                <w:b w:val="0"/>
                <w:i w:val="0"/>
              </w:rPr>
              <w:t>2</w:t>
            </w:r>
          </w:p>
        </w:tc>
        <w:tc>
          <w:tcPr>
            <w:tcW w:type="dxa" w:w="1218"/>
          </w:tcPr>
          <w:p>
            <w:r/>
            <w:r>
              <w:rPr>
                <w:b w:val="0"/>
                <w:i w:val="0"/>
              </w:rPr>
              <w:t>3</w:t>
            </w:r>
          </w:p>
        </w:tc>
        <w:tc>
          <w:tcPr>
            <w:tcW w:type="dxa" w:w="1218"/>
          </w:tcPr>
          <w:p>
            <w:r/>
            <w:r>
              <w:rPr>
                <w:b w:val="0"/>
                <w:i w:val="0"/>
              </w:rPr>
              <w:t>Marta L.</w:t>
            </w:r>
          </w:p>
        </w:tc>
        <w:tc>
          <w:tcPr>
            <w:tcW w:type="dxa" w:w="1218"/>
          </w:tcPr>
          <w:p>
            <w:r/>
            <w:r>
              <w:rPr>
                <w:b w:val="0"/>
                <w:i w:val="0"/>
              </w:rPr>
              <w:t>En curso</w:t>
            </w:r>
          </w:p>
        </w:tc>
        <w:tc>
          <w:tcPr>
            <w:tcW w:type="dxa" w:w="1218"/>
          </w:tcPr>
          <w:p>
            <w:r/>
            <w:r>
              <w:rPr>
                <w:b w:val="0"/>
                <w:i w:val="0"/>
              </w:rPr>
              <w:t>En plazo</w:t>
            </w:r>
          </w:p>
        </w:tc>
      </w:tr>
      <w:tr>
        <w:tc>
          <w:tcPr>
            <w:tcW w:type="dxa" w:w="1218"/>
          </w:tcPr>
          <w:p>
            <w:r/>
            <w:r>
              <w:rPr>
                <w:b w:val="0"/>
                <w:i w:val="0"/>
              </w:rPr>
              <w:t>7</w:t>
            </w:r>
          </w:p>
        </w:tc>
        <w:tc>
          <w:tcPr>
            <w:tcW w:type="dxa" w:w="1218"/>
          </w:tcPr>
          <w:p>
            <w:r/>
            <w:r>
              <w:rPr>
                <w:b w:val="0"/>
                <w:i w:val="0"/>
              </w:rPr>
              <w:t>Andrés P.</w:t>
            </w:r>
          </w:p>
        </w:tc>
        <w:tc>
          <w:tcPr>
            <w:tcW w:type="dxa" w:w="1218"/>
          </w:tcPr>
          <w:p>
            <w:r/>
            <w:r>
              <w:rPr>
                <w:b w:val="0"/>
                <w:i w:val="0"/>
              </w:rPr>
              <w:t>Pase y caliente</w:t>
            </w:r>
          </w:p>
        </w:tc>
        <w:tc>
          <w:tcPr>
            <w:tcW w:type="dxa" w:w="1218"/>
          </w:tcPr>
          <w:p>
            <w:r/>
            <w:r>
              <w:rPr>
                <w:b w:val="0"/>
                <w:i w:val="0"/>
              </w:rPr>
              <w:t>1</w:t>
            </w:r>
          </w:p>
        </w:tc>
        <w:tc>
          <w:tcPr>
            <w:tcW w:type="dxa" w:w="1218"/>
          </w:tcPr>
          <w:p>
            <w:r/>
            <w:r>
              <w:rPr>
                <w:b w:val="0"/>
                <w:i w:val="0"/>
              </w:rPr>
              <w:t>2</w:t>
            </w:r>
          </w:p>
        </w:tc>
        <w:tc>
          <w:tcPr>
            <w:tcW w:type="dxa" w:w="1218"/>
          </w:tcPr>
          <w:p>
            <w:r/>
            <w:r>
              <w:rPr>
                <w:b w:val="0"/>
                <w:i w:val="0"/>
              </w:rPr>
              <w:t>Diego M.</w:t>
            </w:r>
          </w:p>
        </w:tc>
        <w:tc>
          <w:tcPr>
            <w:tcW w:type="dxa" w:w="1218"/>
          </w:tcPr>
          <w:p>
            <w:r/>
            <w:r>
              <w:rPr>
                <w:b w:val="0"/>
                <w:i w:val="0"/>
              </w:rPr>
              <w:t>Planificado</w:t>
            </w:r>
          </w:p>
        </w:tc>
        <w:tc>
          <w:tcPr>
            <w:tcW w:type="dxa" w:w="1218"/>
          </w:tcPr>
          <w:p>
            <w:r/>
            <w:r>
              <w:rPr>
                <w:b w:val="0"/>
                <w:i w:val="0"/>
              </w:rPr>
              <w:t>En plazo</w:t>
            </w:r>
          </w:p>
        </w:tc>
      </w:tr>
      <w:tr>
        <w:tc>
          <w:tcPr>
            <w:tcW w:type="dxa" w:w="1218"/>
          </w:tcPr>
          <w:p>
            <w:r/>
            <w:r>
              <w:rPr>
                <w:b w:val="0"/>
                <w:i w:val="0"/>
              </w:rPr>
              <w:t>8</w:t>
            </w:r>
          </w:p>
        </w:tc>
        <w:tc>
          <w:tcPr>
            <w:tcW w:type="dxa" w:w="1218"/>
          </w:tcPr>
          <w:p>
            <w:r/>
            <w:r>
              <w:rPr>
                <w:b w:val="0"/>
                <w:i w:val="0"/>
              </w:rPr>
              <w:t>Rocío F.</w:t>
            </w:r>
          </w:p>
        </w:tc>
        <w:tc>
          <w:tcPr>
            <w:tcW w:type="dxa" w:w="1218"/>
          </w:tcPr>
          <w:p>
            <w:r/>
            <w:r>
              <w:rPr>
                <w:b w:val="0"/>
                <w:i w:val="0"/>
              </w:rPr>
              <w:t>Pase y caliente</w:t>
            </w:r>
          </w:p>
        </w:tc>
        <w:tc>
          <w:tcPr>
            <w:tcW w:type="dxa" w:w="1218"/>
          </w:tcPr>
          <w:p>
            <w:r/>
            <w:r>
              <w:rPr>
                <w:b w:val="0"/>
                <w:i w:val="0"/>
              </w:rPr>
              <w:t>1</w:t>
            </w:r>
          </w:p>
        </w:tc>
        <w:tc>
          <w:tcPr>
            <w:tcW w:type="dxa" w:w="1218"/>
          </w:tcPr>
          <w:p>
            <w:r/>
            <w:r>
              <w:rPr>
                <w:b w:val="0"/>
                <w:i w:val="0"/>
              </w:rPr>
              <w:t>2</w:t>
            </w:r>
          </w:p>
        </w:tc>
        <w:tc>
          <w:tcPr>
            <w:tcW w:type="dxa" w:w="1218"/>
          </w:tcPr>
          <w:p>
            <w:r/>
            <w:r>
              <w:rPr>
                <w:b w:val="0"/>
                <w:i w:val="0"/>
              </w:rPr>
              <w:t>Iván R.</w:t>
            </w:r>
          </w:p>
        </w:tc>
        <w:tc>
          <w:tcPr>
            <w:tcW w:type="dxa" w:w="1218"/>
          </w:tcPr>
          <w:p>
            <w:r/>
            <w:r>
              <w:rPr>
                <w:b w:val="0"/>
                <w:i w:val="0"/>
              </w:rPr>
              <w:t>Planificado</w:t>
            </w:r>
          </w:p>
        </w:tc>
        <w:tc>
          <w:tcPr>
            <w:tcW w:type="dxa" w:w="1218"/>
          </w:tcPr>
          <w:p>
            <w:r/>
            <w:r>
              <w:rPr>
                <w:b w:val="0"/>
                <w:i w:val="0"/>
              </w:rPr>
              <w:t>En plazo</w:t>
            </w:r>
          </w:p>
        </w:tc>
      </w:tr>
    </w:tbl>
    <w:p/>
    <w:p>
      <w:pPr>
        <w:jc w:val="center"/>
      </w:pPr>
      <w:r>
        <w:rPr>
          <w:i/>
          <w:color w:val="444444"/>
        </w:rPr>
        <w:t>La estación que se queda descubierta ya estaba señalada en la hoja de cobertura como punto único de fallo. El plan no evita la baja: evita que la baja te deje sin servicio.</w:t>
      </w:r>
    </w:p>
    <w:p>
      <w:r>
        <w:br w:type="page"/>
      </w:r>
    </w:p>
    <w:p>
      <w:pPr>
        <w:pStyle w:val="Heading1"/>
      </w:pPr>
      <w:r>
        <w:t>11. El Propietario Quiere Subir la Carta un 10 Por Ciento y Tú Tienes los Números</w:t>
      </w:r>
    </w:p>
    <w:p>
      <w:pPr>
        <w:pStyle w:val="Heading2"/>
      </w:pPr>
      <w:r>
        <w:t>La situación</w:t>
      </w:r>
    </w:p>
    <w:p>
      <w:r>
        <w:rPr>
          <w:b w:val="0"/>
          <w:i w:val="0"/>
        </w:rPr>
        <w:t>El propietario de La Encina entra al despacho con una idea sencilla: subir la carta un 10 % de forma lineal, todos los platos igual. Delante está el cuadro de mando semanal cerrado a fin de año: prime cost del año, ponderado, 62,8 %, con food cost en 31,7 % y labor cost en 31,0 %; objetivo de prime cost en vigor, 65 %; ventas netas totales, 1.226.661 €; margen tras prime cost, 456.666 €. El sector explica por qué la conversación llega ahora: en 2025 la restauración española facturó un 3,1 % más y aun así perdió rentabilidad, con una caída del 0,9 % (Hostelería de España, Anuario 2025, vía Hostelería Digital). Facturar más y ganar menos es el problema que resuelve, con datos delante, un manager (gerente/encargado) que controla costes, no una subida a ciegas.</w:t>
      </w:r>
    </w:p>
    <w:p>
      <w:pPr>
        <w:pStyle w:val="Heading2"/>
      </w:pPr>
      <w:r>
        <w:t>Qué no hacer</w:t>
      </w:r>
    </w:p>
    <w:p>
      <w:pPr>
        <w:pStyle w:val="ListBullet"/>
      </w:pPr>
      <w:r>
        <w:rPr>
          <w:b w:val="0"/>
          <w:i w:val="0"/>
        </w:rPr>
        <w:t>Decir que no a la subida sin poner encima el cuadro de mando: un «no» sin datos suena a resistencia al cambio, y el propietario tiene motivos para preguntar.</w:t>
      </w:r>
    </w:p>
    <w:p>
      <w:pPr>
        <w:pStyle w:val="ListBullet"/>
      </w:pPr>
      <w:r>
        <w:rPr>
          <w:b w:val="0"/>
          <w:i w:val="0"/>
        </w:rPr>
        <w:t>Aplicar el 10 % de forma lineal sin mirar plato a plato: una subida lineal trata igual al plato que deja mucho y al que deja poco.</w:t>
      </w:r>
    </w:p>
    <w:p>
      <w:pPr>
        <w:pStyle w:val="ListBullet"/>
      </w:pPr>
      <w:r>
        <w:rPr>
          <w:b w:val="0"/>
          <w:i w:val="0"/>
        </w:rPr>
        <w:t>Aceptar la subida y no volver a mirarla después: sin fecha de revisión, nadie sabe si ha movido el ticket medio, ha espantado cubiertos o no ha cambiado nada.</w:t>
      </w:r>
    </w:p>
    <w:p>
      <w:pPr>
        <w:pStyle w:val="Heading2"/>
      </w:pPr>
      <w:r>
        <w:t>Protocolo paso a paso</w:t>
      </w:r>
    </w:p>
    <w:p>
      <w:pPr>
        <w:pStyle w:val="ListBullet"/>
      </w:pPr>
      <w:r>
        <w:rPr>
          <w:b w:val="0"/>
          <w:i w:val="0"/>
        </w:rPr>
        <w:t>Separar qué mitad del prime cost se ha movido: con food cost en 31,7 % y labor cost en 31,0 %, subir la carta sólo tiene sentido si ha subido el coste de producto. Si ha subido el coste de personal, la subida de precio no arregla ese lado.</w:t>
      </w:r>
    </w:p>
    <w:p>
      <w:pPr>
        <w:pStyle w:val="ListBullet"/>
      </w:pPr>
      <w:r>
        <w:rPr>
          <w:b w:val="0"/>
          <w:i w:val="0"/>
        </w:rPr>
        <w:t>Contrastar la estructura propia con la referencia española del sector -producto en torno al 30 % de la venta (28 % en comida y 34,5 % en bebida), personal del 30 al 35 % en servicio integrado y del 15 al 25 % en servicio parcial, alquiler hasta el 5 %, gastos generales del 17 % y un EBITDA que la fuente califica de sano entre el 10 y el 13 %- (CaixaBankLab x elBullifoundation, «Consumos y beneficios de un restaurante», 2017, revisado en 2022).</w:t>
      </w:r>
    </w:p>
    <w:p>
      <w:pPr>
        <w:pStyle w:val="ListBullet"/>
      </w:pPr>
      <w:r>
        <w:rPr>
          <w:b w:val="0"/>
          <w:i w:val="0"/>
        </w:rPr>
        <w:t>Mirar el ticket medio propio, 55,10 €, y el gasto medio por cubierto, 26,25 €, sobre 46.737 cubiertos, para ver si el problema es de precio o de mix. El ticket medio de toda la restauración española sobre pagos con tarjeta -21 €, datos de 2024 medidos de enero a septiembre y publicados el 16 de enero de 2025 (CaixaBank Research, Informe Sectorial Turismo)- no sirve de comparación directa: son datos de todo el sector, sin efectivo, de una sola entidad, y la fuente advierte que no se extrapola a alta cocina. Decide el cuadro de mando propio, no esa cifra externa.</w:t>
      </w:r>
    </w:p>
    <w:p>
      <w:pPr>
        <w:pStyle w:val="ListBullet"/>
      </w:pPr>
      <w:r>
        <w:rPr>
          <w:b w:val="0"/>
          <w:i w:val="0"/>
        </w:rPr>
        <w:t>Plantear la subida plato a plato, no de forma lineal, con fecha de revisión a cuatro semanas para comprobar el ticket medio y el mix antes de dar la decisión por buena.</w:t>
      </w:r>
    </w:p>
    <w:p>
      <w:pPr>
        <w:pStyle w:val="Heading2"/>
      </w:pPr>
      <w:r>
        <w:t>La norma que aplica</w:t>
      </w:r>
    </w:p>
    <w:p>
      <w:r>
        <w:rPr>
          <w:b w:val="0"/>
          <w:i w:val="0"/>
        </w:rPr>
        <w:t>No existe ninguna norma que fije cuánto puede subir una carta ni cuándo: el precio de venta es libre. Lo que sí hay que respetar es la información de precios al cliente: el precio que figura en la carta -en sala (salón), en la puerta y en cualquier soporte digital- tiene que ser el precio real que se va a cobrar, y el cambio se traslada a todos los soportes visibles antes de servir el primer plato al nuevo precio. Aquí no hay obligación laboral: es información al consumidor, no negociación con el propietario.</w:t>
      </w:r>
    </w:p>
    <w:p>
      <w:pPr>
        <w:pStyle w:val="Heading2"/>
      </w:pPr>
      <w:r>
        <w:t>La herramienta y el guion</w:t>
      </w:r>
    </w:p>
    <w:p>
      <w:r>
        <w:rPr>
          <w:b w:val="0"/>
          <w:i w:val="0"/>
        </w:rPr>
        <w:t>El diagnóstico sale del cuadro de mando semanal, donde viven el prime cost, el food cost y el labor cost del año, fila a fila. La decisión plato a plato -qué sube, qué se queda igual y qué se retira- vive en el escandallo y en la matriz de carta de la Guía Food Cost + Ingeniería de Menú. Para la conversación, el guion tiene cuatro movimientos: mostrar el cuadro de mando y nombrar qué mitad del prime cost se ha movido; contrastarlo con la referencia del sector sin mezclar los dos orígenes de datos; proponer la subida selectiva, con la frase «Subamos donde el escandallo dice que hay margen, no en toda la carta por igual»; y cerrar con la fecha: «Nos sentamos otra vez en cuatro semanas con el ticket medio y el mix delante, y decidimos si se mantiene o se ajusta».</w:t>
      </w:r>
    </w:p>
    <w:p>
      <w:r>
        <w:rPr>
          <w:b/>
          <w:i w:val="0"/>
        </w:rPr>
        <w:t>Qué palanca toca antes de subir el precio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 lo que se ha movido es...</w:t>
            </w:r>
          </w:p>
        </w:tc>
        <w:tc>
          <w:tcPr>
            <w:tcW w:type="dxa" w:w="3249"/>
          </w:tcPr>
          <w:p>
            <w:r/>
            <w:r>
              <w:rPr>
                <w:b/>
                <w:i w:val="0"/>
              </w:rPr>
              <w:t>La subida de carta...</w:t>
            </w:r>
          </w:p>
        </w:tc>
        <w:tc>
          <w:tcPr>
            <w:tcW w:type="dxa" w:w="3249"/>
          </w:tcPr>
          <w:p>
            <w:r/>
            <w:r>
              <w:rPr>
                <w:b/>
                <w:i w:val="0"/>
              </w:rPr>
              <w:t>Lo que sí lo corrige</w:t>
            </w:r>
          </w:p>
        </w:tc>
      </w:tr>
      <w:tr>
        <w:tc>
          <w:tcPr>
            <w:tcW w:type="dxa" w:w="3249"/>
          </w:tcPr>
          <w:p>
            <w:r/>
            <w:r>
              <w:rPr>
                <w:b w:val="0"/>
                <w:i w:val="0"/>
              </w:rPr>
              <w:t>El coste de materia prima</w:t>
            </w:r>
          </w:p>
        </w:tc>
        <w:tc>
          <w:tcPr>
            <w:tcW w:type="dxa" w:w="3249"/>
          </w:tcPr>
          <w:p>
            <w:r/>
            <w:r>
              <w:rPr>
                <w:b w:val="0"/>
                <w:i w:val="0"/>
              </w:rPr>
              <w:t>Ayuda, pero sólo si se aplica donde el margen es peor</w:t>
            </w:r>
          </w:p>
        </w:tc>
        <w:tc>
          <w:tcPr>
            <w:tcW w:type="dxa" w:w="3249"/>
          </w:tcPr>
          <w:p>
            <w:r/>
            <w:r>
              <w:rPr>
                <w:b w:val="0"/>
                <w:i w:val="0"/>
              </w:rPr>
              <w:t>Reescandallar los platos afectados y renegociar las referencias que más pesan</w:t>
            </w:r>
          </w:p>
        </w:tc>
      </w:tr>
      <w:tr>
        <w:tc>
          <w:tcPr>
            <w:tcW w:type="dxa" w:w="3249"/>
          </w:tcPr>
          <w:p>
            <w:r/>
            <w:r>
              <w:rPr>
                <w:b w:val="0"/>
                <w:i w:val="0"/>
              </w:rPr>
              <w:t>El coste de personal</w:t>
            </w:r>
          </w:p>
        </w:tc>
        <w:tc>
          <w:tcPr>
            <w:tcW w:type="dxa" w:w="3249"/>
          </w:tcPr>
          <w:p>
            <w:r/>
            <w:r>
              <w:rPr>
                <w:b w:val="0"/>
                <w:i w:val="0"/>
              </w:rPr>
              <w:t>No lo corrige</w:t>
            </w:r>
          </w:p>
        </w:tc>
        <w:tc>
          <w:tcPr>
            <w:tcW w:type="dxa" w:w="3249"/>
          </w:tcPr>
          <w:p>
            <w:r/>
            <w:r>
              <w:rPr>
                <w:b w:val="0"/>
                <w:i w:val="0"/>
              </w:rPr>
              <w:t>Revisar la dotación por franja y las ventas por hora trabajada</w:t>
            </w:r>
          </w:p>
        </w:tc>
      </w:tr>
      <w:tr>
        <w:tc>
          <w:tcPr>
            <w:tcW w:type="dxa" w:w="3249"/>
          </w:tcPr>
          <w:p>
            <w:r/>
            <w:r>
              <w:rPr>
                <w:b w:val="0"/>
                <w:i w:val="0"/>
              </w:rPr>
              <w:t>El mix de lo que se vende</w:t>
            </w:r>
          </w:p>
        </w:tc>
        <w:tc>
          <w:tcPr>
            <w:tcW w:type="dxa" w:w="3249"/>
          </w:tcPr>
          <w:p>
            <w:r/>
            <w:r>
              <w:rPr>
                <w:b w:val="0"/>
                <w:i w:val="0"/>
              </w:rPr>
              <w:t>No lo corrige</w:t>
            </w:r>
          </w:p>
        </w:tc>
        <w:tc>
          <w:tcPr>
            <w:tcW w:type="dxa" w:w="3249"/>
          </w:tcPr>
          <w:p>
            <w:r/>
            <w:r>
              <w:rPr>
                <w:b w:val="0"/>
                <w:i w:val="0"/>
              </w:rPr>
              <w:t>Cambiar el orden y la presencia de la carta, no el precio</w:t>
            </w:r>
          </w:p>
        </w:tc>
      </w:tr>
      <w:tr>
        <w:tc>
          <w:tcPr>
            <w:tcW w:type="dxa" w:w="3249"/>
          </w:tcPr>
          <w:p>
            <w:r/>
            <w:r>
              <w:rPr>
                <w:b w:val="0"/>
                <w:i w:val="0"/>
              </w:rPr>
              <w:t>Los cubiertos, que han bajado</w:t>
            </w:r>
          </w:p>
        </w:tc>
        <w:tc>
          <w:tcPr>
            <w:tcW w:type="dxa" w:w="3249"/>
          </w:tcPr>
          <w:p>
            <w:r/>
            <w:r>
              <w:rPr>
                <w:b w:val="0"/>
                <w:i w:val="0"/>
              </w:rPr>
              <w:t>Lo empeora</w:t>
            </w:r>
          </w:p>
        </w:tc>
        <w:tc>
          <w:tcPr>
            <w:tcW w:type="dxa" w:w="3249"/>
          </w:tcPr>
          <w:p>
            <w:r/>
            <w:r>
              <w:rPr>
                <w:b w:val="0"/>
                <w:i w:val="0"/>
              </w:rPr>
              <w:t>Trabajar la ocupación y la política de reservas antes de tocar nada</w:t>
            </w:r>
          </w:p>
        </w:tc>
      </w:tr>
      <w:tr>
        <w:tc>
          <w:tcPr>
            <w:tcW w:type="dxa" w:w="3249"/>
          </w:tcPr>
          <w:p>
            <w:r/>
            <w:r>
              <w:rPr>
                <w:b w:val="0"/>
                <w:i w:val="0"/>
              </w:rPr>
              <w:t>Nada: el margen está en objetivo</w:t>
            </w:r>
          </w:p>
        </w:tc>
        <w:tc>
          <w:tcPr>
            <w:tcW w:type="dxa" w:w="3249"/>
          </w:tcPr>
          <w:p>
            <w:r/>
            <w:r>
              <w:rPr>
                <w:b w:val="0"/>
                <w:i w:val="0"/>
              </w:rPr>
              <w:t>No hace falta</w:t>
            </w:r>
          </w:p>
        </w:tc>
        <w:tc>
          <w:tcPr>
            <w:tcW w:type="dxa" w:w="3249"/>
          </w:tcPr>
          <w:p>
            <w:r/>
            <w:r>
              <w:rPr>
                <w:b w:val="0"/>
                <w:i w:val="0"/>
              </w:rPr>
              <w:t>Dejar los precios y volver a mirarlo dentro de cuatro semanas</w:t>
            </w:r>
          </w:p>
        </w:tc>
      </w:tr>
    </w:tbl>
    <w:p/>
    <w:p>
      <w:pPr>
        <w:jc w:val="center"/>
      </w:pPr>
      <w:r>
        <w:rPr>
          <w:i/>
          <w:color w:val="444444"/>
        </w:rPr>
        <w:t>La decisión plato a plato no se toma con el cuadro semanal: se toma con el escandallo y la matriz de carta, que están en la Guía Food Cost + Ingeniería de Menú. Aquí se decide SI hay que tocar el precio y por qué.</w:t>
      </w:r>
    </w:p>
    <w:p>
      <w:r>
        <w:br w:type="page"/>
      </w:r>
    </w:p>
    <w:p>
      <w:pPr>
        <w:pStyle w:val="Heading1"/>
      </w:pPr>
      <w:r>
        <w:t>12. Hay que Despedir por Causas Disciplinarias</w:t>
      </w:r>
    </w:p>
    <w:p>
      <w:pPr>
        <w:pStyle w:val="Heading2"/>
      </w:pPr>
      <w:r>
        <w:t>La situación</w:t>
      </w:r>
    </w:p>
    <w:p>
      <w:r>
        <w:rPr>
          <w:b w:val="0"/>
          <w:i w:val="0"/>
        </w:rPr>
        <w:t>En La Encina hay hechos documentados -fechados, con testigos y sin margen de interpretación- que encajan en una falta del cuadro del régimen disciplinario del ALEH VI: de sus 10 filas, dos tipifican faltas leves, dos graves y una muy grave, y la empresa, con el equipo de 12 personas delante, decide que corresponde el despido. La modificación del procedimiento está en vigor desde el 4 de septiembre de 2026, con 1.578 días de vigencia todavía por delante: no es una norma que se pueda ignorar por «reciente».</w:t>
      </w:r>
    </w:p>
    <w:p>
      <w:pPr>
        <w:pStyle w:val="Heading2"/>
      </w:pPr>
      <w:r>
        <w:t>Qué no hacer</w:t>
      </w:r>
    </w:p>
    <w:p>
      <w:pPr>
        <w:pStyle w:val="ListBullet"/>
      </w:pPr>
      <w:r>
        <w:rPr>
          <w:b w:val="0"/>
          <w:i w:val="0"/>
        </w:rPr>
        <w:t>Entregar la carta directamente, sin la comunicación previa: desde el 4 de septiembre de 2026 ese paso ya no es opcional, y saltárselo convierte un despido bien fundado en uno con defecto de forma.</w:t>
      </w:r>
    </w:p>
    <w:p>
      <w:pPr>
        <w:pStyle w:val="ListBullet"/>
      </w:pPr>
      <w:r>
        <w:rPr>
          <w:b w:val="0"/>
          <w:i w:val="0"/>
        </w:rPr>
        <w:t>Redactar los hechos con adjetivos: «actitud inadecuada» no es un hecho, es una opinión, y una opinión no sostiene una falta tipificada.</w:t>
      </w:r>
    </w:p>
    <w:p>
      <w:pPr>
        <w:pStyle w:val="ListBullet"/>
      </w:pPr>
      <w:r>
        <w:rPr>
          <w:b w:val="0"/>
          <w:i w:val="0"/>
        </w:rPr>
        <w:t>Apartar a la persona del servicio sin más, como si fuera ya una sanción: si se la aparta durante el plazo de contestación, esos días son permiso retribuido, no un castigo anticipado.</w:t>
      </w:r>
    </w:p>
    <w:p>
      <w:pPr>
        <w:pStyle w:val="ListBullet"/>
      </w:pPr>
      <w:r>
        <w:rPr>
          <w:b w:val="0"/>
          <w:i w:val="0"/>
        </w:rPr>
        <w:t>Actuar el mismo día de los hechos y en caliente: se documenta primero, y la decisión llega después, con la calificación pensada.</w:t>
      </w:r>
    </w:p>
    <w:p>
      <w:pPr>
        <w:pStyle w:val="Heading2"/>
      </w:pPr>
      <w:r>
        <w:t>Protocolo paso a paso</w:t>
      </w:r>
    </w:p>
    <w:p>
      <w:pPr>
        <w:pStyle w:val="ListBullet"/>
      </w:pPr>
      <w:r>
        <w:rPr>
          <w:b w:val="0"/>
          <w:i w:val="0"/>
        </w:rPr>
        <w:t>Comprobar que los hechos están documentados -fechas, testigos, soporte- y encajan en una falta tipificada del cuadro, no en una impresión de mal desempeño.</w:t>
      </w:r>
    </w:p>
    <w:p>
      <w:pPr>
        <w:pStyle w:val="ListBullet"/>
      </w:pPr>
      <w:r>
        <w:rPr>
          <w:b w:val="0"/>
          <w:i w:val="0"/>
        </w:rPr>
        <w:t>Informar por escrito de los hechos imputados y de su posible calificación jurídica, antes de la carta.</w:t>
      </w:r>
    </w:p>
    <w:p>
      <w:pPr>
        <w:pStyle w:val="ListBullet"/>
      </w:pPr>
      <w:r>
        <w:rPr>
          <w:b w:val="0"/>
          <w:i w:val="0"/>
        </w:rPr>
        <w:t>Dar el plazo de 2 días para contestar, salvo que no pueda pedirse razonablemente a la empresa que conceda esa posibilidad: es la única excepción de la norma.</w:t>
      </w:r>
    </w:p>
    <w:p>
      <w:pPr>
        <w:pStyle w:val="ListBullet"/>
      </w:pPr>
      <w:r>
        <w:rPr>
          <w:b w:val="0"/>
          <w:i w:val="0"/>
        </w:rPr>
        <w:t>Leer lo que conteste -o constatar que no ha contestado- y dejar constancia escrita, con fecha.</w:t>
      </w:r>
    </w:p>
    <w:p>
      <w:pPr>
        <w:pStyle w:val="ListBullet"/>
      </w:pPr>
      <w:r>
        <w:rPr>
          <w:b w:val="0"/>
          <w:i w:val="0"/>
        </w:rPr>
        <w:t>Decidir y entregar la carta, con hechos, fechas y calificación ya fijados desde la comunicación previa.</w:t>
      </w:r>
    </w:p>
    <w:p>
      <w:pPr>
        <w:pStyle w:val="Heading2"/>
      </w:pPr>
      <w:r>
        <w:t>La norma que aplica</w:t>
      </w:r>
    </w:p>
    <w:p>
      <w:r>
        <w:rPr>
          <w:b w:val="0"/>
          <w:i w:val="0"/>
        </w:rPr>
        <w:t>Antes de entregar la carta de despido disciplinario, la empresa está obligada a informar por escrito de los hechos imputados y de su posible calificación jurídica, y a dar 2 días para contestar: es la audiencia previa del art. 41.3 del ALEH VI, en vigor desde el 4 de septiembre de 2026 y hasta el final de la vigencia pactada del acuerdo estatal -Resolución de la Dirección General de Trabajo de 25-08-2026, BOE-A-2026-18630, verificado el 4 de septiembre de 2026-. Trae una excepción, «a menos que no pueda pedirse razonablemente a la empresa que le conceda esta posibilidad», y una remisión: no sustituye las obligaciones del art. 55.1 del Estatuto de los Trabajadores (ET) para los colectivos con garantías reforzadas -representantes y afiliados-, se suma a ellas. Si se la aparta del servicio esos días, son permiso retribuido. Incorpora la STS 1250/2024, de 18 de noviembre, sobre el art. 7 del Convenio 158 de la OIT. Las indemnizaciones van con su artículo: el objetivo, 20 días por año con tope de 12 mensualidades, puesta a disposición simultánea a la carta y preaviso de 15 días; el improcedente, 33 días por año con tope de 24 mensualidades; y en contratos anteriores al 12 de febrero de 2012, 45 días por el tramo previo más 33 por el posterior, tope conjunto de 720 días (arts. 53.1, 56.1 y DT 11ª ET).</w:t>
      </w:r>
    </w:p>
    <w:p>
      <w:pPr>
        <w:pStyle w:val="Heading2"/>
      </w:pPr>
      <w:r>
        <w:t>La herramienta y el guion</w:t>
      </w:r>
    </w:p>
    <w:p>
      <w:r>
        <w:rPr>
          <w:b w:val="0"/>
          <w:i w:val="0"/>
        </w:rPr>
        <w:t>La hoja «Régimen Disciplinario ALEH» del calendario de cumplimiento legal trae la tipificación completa de las 10 filas y la cuenta atrás de los 1.578 días de vigencia: es lo primero que hay que abrir antes de calificar cualquier hecho. La redacción final de la carta, con la calificación ya cerrada, es tarea de la asesoría laboral, no del manager (gerente/encargado): un error de forma ahí es el error que puede costar más que el despido en sí. Para la comunicación previa, la frase de apertura es literal: «Antes de tomar una decisión, tengo que comunicarte por escrito los hechos que se te imputan y su posible calificación, y darte dos días para que contestes si lo consideras oportuno». Y al cierre: «He recibido tu respuesta y la incorporo al expediente antes de decidir», o, si no la ha habido, «Dejo constancia de que no se ha recibido contestación en el plazo dado».</w:t>
      </w:r>
    </w:p>
    <w:p>
      <w:r>
        <w:rPr>
          <w:b/>
          <w:i w:val="0"/>
        </w:rPr>
        <w:t>El cuadro disciplinario y el procedimiento, tras la modificación del 4 de septiembre de 2026 (calendario-cumplimiento-legal.xlsx, hoja «Régimen Disciplinario ALEH»)</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Falta o figura</w:t>
            </w:r>
          </w:p>
        </w:tc>
        <w:tc>
          <w:tcPr>
            <w:tcW w:type="dxa" w:w="1949"/>
          </w:tcPr>
          <w:p>
            <w:r/>
            <w:r>
              <w:rPr>
                <w:b/>
                <w:i w:val="0"/>
              </w:rPr>
              <w:t>Tipo</w:t>
            </w:r>
          </w:p>
        </w:tc>
        <w:tc>
          <w:tcPr>
            <w:tcW w:type="dxa" w:w="1949"/>
          </w:tcPr>
          <w:p>
            <w:r/>
            <w:r>
              <w:rPr>
                <w:b/>
                <w:i w:val="0"/>
              </w:rPr>
              <w:t>Gravedad</w:t>
            </w:r>
          </w:p>
        </w:tc>
        <w:tc>
          <w:tcPr>
            <w:tcW w:type="dxa" w:w="1949"/>
          </w:tcPr>
          <w:p>
            <w:r/>
            <w:r>
              <w:rPr>
                <w:b/>
                <w:i w:val="0"/>
              </w:rPr>
              <w:t>Umbral o detalle</w:t>
            </w:r>
          </w:p>
        </w:tc>
        <w:tc>
          <w:tcPr>
            <w:tcW w:type="dxa" w:w="1949"/>
          </w:tcPr>
          <w:p>
            <w:r/>
            <w:r>
              <w:rPr>
                <w:b/>
                <w:i w:val="0"/>
              </w:rPr>
              <w:t>Artículo</w:t>
            </w:r>
          </w:p>
        </w:tc>
      </w:tr>
      <w:tr>
        <w:tc>
          <w:tcPr>
            <w:tcW w:type="dxa" w:w="1949"/>
          </w:tcPr>
          <w:p>
            <w:r/>
            <w:r>
              <w:rPr>
                <w:b w:val="0"/>
                <w:i w:val="0"/>
              </w:rPr>
              <w:t>Falta LEVE: no registrar la jornada</w:t>
            </w:r>
          </w:p>
        </w:tc>
        <w:tc>
          <w:tcPr>
            <w:tcW w:type="dxa" w:w="1949"/>
          </w:tcPr>
          <w:p>
            <w:r/>
            <w:r>
              <w:rPr>
                <w:b w:val="0"/>
                <w:i w:val="0"/>
              </w:rPr>
              <w:t>Falta</w:t>
            </w:r>
          </w:p>
        </w:tc>
        <w:tc>
          <w:tcPr>
            <w:tcW w:type="dxa" w:w="1949"/>
          </w:tcPr>
          <w:p>
            <w:r/>
            <w:r>
              <w:rPr>
                <w:b w:val="0"/>
                <w:i w:val="0"/>
              </w:rPr>
              <w:t>Leve</w:t>
            </w:r>
          </w:p>
        </w:tc>
        <w:tc>
          <w:tcPr>
            <w:tcW w:type="dxa" w:w="1949"/>
          </w:tcPr>
          <w:p>
            <w:r/>
            <w:r>
              <w:rPr>
                <w:b w:val="0"/>
                <w:i w:val="0"/>
              </w:rPr>
              <w:t>2 incumplimientos en un mes</w:t>
            </w:r>
          </w:p>
        </w:tc>
        <w:tc>
          <w:tcPr>
            <w:tcW w:type="dxa" w:w="1949"/>
          </w:tcPr>
          <w:p>
            <w:r/>
            <w:r>
              <w:rPr>
                <w:b w:val="0"/>
                <w:i w:val="0"/>
              </w:rPr>
              <w:t>Art. 38.10 ALEH VI (BOE-A-2026-18630)</w:t>
            </w:r>
          </w:p>
        </w:tc>
      </w:tr>
      <w:tr>
        <w:tc>
          <w:tcPr>
            <w:tcW w:type="dxa" w:w="1949"/>
          </w:tcPr>
          <w:p>
            <w:r/>
            <w:r>
              <w:rPr>
                <w:b w:val="0"/>
                <w:i w:val="0"/>
              </w:rPr>
              <w:t>Falta LEVE: uso no autorizado del móvil durante el servicio</w:t>
            </w:r>
          </w:p>
        </w:tc>
        <w:tc>
          <w:tcPr>
            <w:tcW w:type="dxa" w:w="1949"/>
          </w:tcPr>
          <w:p>
            <w:r/>
            <w:r>
              <w:rPr>
                <w:b w:val="0"/>
                <w:i w:val="0"/>
              </w:rPr>
              <w:t>Falta</w:t>
            </w:r>
          </w:p>
        </w:tc>
        <w:tc>
          <w:tcPr>
            <w:tcW w:type="dxa" w:w="1949"/>
          </w:tcPr>
          <w:p>
            <w:r/>
            <w:r>
              <w:rPr>
                <w:b w:val="0"/>
                <w:i w:val="0"/>
              </w:rPr>
              <w:t>Leve</w:t>
            </w:r>
          </w:p>
        </w:tc>
        <w:tc>
          <w:tcPr>
            <w:tcW w:type="dxa" w:w="1949"/>
          </w:tcPr>
          <w:p>
            <w:r/>
          </w:p>
        </w:tc>
        <w:tc>
          <w:tcPr>
            <w:tcW w:type="dxa" w:w="1949"/>
          </w:tcPr>
          <w:p>
            <w:r/>
            <w:r>
              <w:rPr>
                <w:b w:val="0"/>
                <w:i w:val="0"/>
              </w:rPr>
              <w:t>Art. 38.12 ALEH VI</w:t>
            </w:r>
          </w:p>
        </w:tc>
      </w:tr>
      <w:tr>
        <w:tc>
          <w:tcPr>
            <w:tcW w:type="dxa" w:w="1949"/>
          </w:tcPr>
          <w:p>
            <w:r/>
            <w:r>
              <w:rPr>
                <w:b w:val="0"/>
                <w:i w:val="0"/>
              </w:rPr>
              <w:t>Falta GRAVE: no registrar la jornada</w:t>
            </w:r>
          </w:p>
        </w:tc>
        <w:tc>
          <w:tcPr>
            <w:tcW w:type="dxa" w:w="1949"/>
          </w:tcPr>
          <w:p>
            <w:r/>
            <w:r>
              <w:rPr>
                <w:b w:val="0"/>
                <w:i w:val="0"/>
              </w:rPr>
              <w:t>Falta</w:t>
            </w:r>
          </w:p>
        </w:tc>
        <w:tc>
          <w:tcPr>
            <w:tcW w:type="dxa" w:w="1949"/>
          </w:tcPr>
          <w:p>
            <w:r/>
            <w:r>
              <w:rPr>
                <w:b w:val="0"/>
                <w:i w:val="0"/>
              </w:rPr>
              <w:t>Grave</w:t>
            </w:r>
          </w:p>
        </w:tc>
        <w:tc>
          <w:tcPr>
            <w:tcW w:type="dxa" w:w="1949"/>
          </w:tcPr>
          <w:p>
            <w:r/>
            <w:r>
              <w:rPr>
                <w:b w:val="0"/>
                <w:i w:val="0"/>
              </w:rPr>
              <w:t>3 o 4 incumplimientos en un mes</w:t>
            </w:r>
          </w:p>
        </w:tc>
        <w:tc>
          <w:tcPr>
            <w:tcW w:type="dxa" w:w="1949"/>
          </w:tcPr>
          <w:p>
            <w:r/>
            <w:r>
              <w:rPr>
                <w:b w:val="0"/>
                <w:i w:val="0"/>
              </w:rPr>
              <w:t>Art. 39.21 ALEH VI</w:t>
            </w:r>
          </w:p>
        </w:tc>
      </w:tr>
      <w:tr>
        <w:tc>
          <w:tcPr>
            <w:tcW w:type="dxa" w:w="1949"/>
          </w:tcPr>
          <w:p>
            <w:r/>
            <w:r>
              <w:rPr>
                <w:b w:val="0"/>
                <w:i w:val="0"/>
              </w:rPr>
              <w:t>Falta GRAVE: fumar en zonas no permitidas</w:t>
            </w:r>
          </w:p>
        </w:tc>
        <w:tc>
          <w:tcPr>
            <w:tcW w:type="dxa" w:w="1949"/>
          </w:tcPr>
          <w:p>
            <w:r/>
            <w:r>
              <w:rPr>
                <w:b w:val="0"/>
                <w:i w:val="0"/>
              </w:rPr>
              <w:t>Falta</w:t>
            </w:r>
          </w:p>
        </w:tc>
        <w:tc>
          <w:tcPr>
            <w:tcW w:type="dxa" w:w="1949"/>
          </w:tcPr>
          <w:p>
            <w:r/>
            <w:r>
              <w:rPr>
                <w:b w:val="0"/>
                <w:i w:val="0"/>
              </w:rPr>
              <w:t>Grave</w:t>
            </w:r>
          </w:p>
        </w:tc>
        <w:tc>
          <w:tcPr>
            <w:tcW w:type="dxa" w:w="1949"/>
          </w:tcPr>
          <w:p>
            <w:r/>
          </w:p>
        </w:tc>
        <w:tc>
          <w:tcPr>
            <w:tcW w:type="dxa" w:w="1949"/>
          </w:tcPr>
          <w:p>
            <w:r/>
            <w:r>
              <w:rPr>
                <w:b w:val="0"/>
                <w:i w:val="0"/>
              </w:rPr>
              <w:t>Art. 39.20 ALEH VI</w:t>
            </w:r>
          </w:p>
        </w:tc>
      </w:tr>
      <w:tr>
        <w:tc>
          <w:tcPr>
            <w:tcW w:type="dxa" w:w="1949"/>
          </w:tcPr>
          <w:p>
            <w:r/>
            <w:r>
              <w:rPr>
                <w:b w:val="0"/>
                <w:i w:val="0"/>
              </w:rPr>
              <w:t>Falta MUY GRAVE: no registrar la jornada</w:t>
            </w:r>
          </w:p>
        </w:tc>
        <w:tc>
          <w:tcPr>
            <w:tcW w:type="dxa" w:w="1949"/>
          </w:tcPr>
          <w:p>
            <w:r/>
            <w:r>
              <w:rPr>
                <w:b w:val="0"/>
                <w:i w:val="0"/>
              </w:rPr>
              <w:t>Falta</w:t>
            </w:r>
          </w:p>
        </w:tc>
        <w:tc>
          <w:tcPr>
            <w:tcW w:type="dxa" w:w="1949"/>
          </w:tcPr>
          <w:p>
            <w:r/>
            <w:r>
              <w:rPr>
                <w:b w:val="0"/>
                <w:i w:val="0"/>
              </w:rPr>
              <w:t>Muy grave</w:t>
            </w:r>
          </w:p>
        </w:tc>
        <w:tc>
          <w:tcPr>
            <w:tcW w:type="dxa" w:w="1949"/>
          </w:tcPr>
          <w:p>
            <w:r/>
            <w:r>
              <w:rPr>
                <w:b w:val="0"/>
                <w:i w:val="0"/>
              </w:rPr>
              <w:t>5 o más incumplimientos en un mes</w:t>
            </w:r>
          </w:p>
        </w:tc>
        <w:tc>
          <w:tcPr>
            <w:tcW w:type="dxa" w:w="1949"/>
          </w:tcPr>
          <w:p>
            <w:r/>
            <w:r>
              <w:rPr>
                <w:b w:val="0"/>
                <w:i w:val="0"/>
              </w:rPr>
              <w:t>Art. 40.14 ALEH VI</w:t>
            </w:r>
          </w:p>
        </w:tc>
      </w:tr>
      <w:tr>
        <w:tc>
          <w:tcPr>
            <w:tcW w:type="dxa" w:w="1949"/>
          </w:tcPr>
          <w:p>
            <w:r/>
            <w:r>
              <w:rPr>
                <w:b w:val="0"/>
                <w:i w:val="0"/>
              </w:rPr>
              <w:t>Audiencia previa al despido disciplinario</w:t>
            </w:r>
          </w:p>
        </w:tc>
        <w:tc>
          <w:tcPr>
            <w:tcW w:type="dxa" w:w="1949"/>
          </w:tcPr>
          <w:p>
            <w:r/>
            <w:r>
              <w:rPr>
                <w:b w:val="0"/>
                <w:i w:val="0"/>
              </w:rPr>
              <w:t>Procedimiento</w:t>
            </w:r>
          </w:p>
        </w:tc>
        <w:tc>
          <w:tcPr>
            <w:tcW w:type="dxa" w:w="1949"/>
          </w:tcPr>
          <w:p>
            <w:r/>
          </w:p>
        </w:tc>
        <w:tc>
          <w:tcPr>
            <w:tcW w:type="dxa" w:w="1949"/>
          </w:tcPr>
          <w:p>
            <w:r/>
            <w:r>
              <w:rPr>
                <w:b w:val="0"/>
                <w:i w:val="0"/>
              </w:rPr>
              <w:t>2 días para contestar; si se aparta del servicio, con permiso retribuido</w:t>
            </w:r>
          </w:p>
        </w:tc>
        <w:tc>
          <w:tcPr>
            <w:tcW w:type="dxa" w:w="1949"/>
          </w:tcPr>
          <w:p>
            <w:r/>
            <w:r>
              <w:rPr>
                <w:b w:val="0"/>
                <w:i w:val="0"/>
              </w:rPr>
              <w:t>Art. 41.3 ALEH VI, con su excepción, y remisión al art. 55.1 ET</w:t>
            </w:r>
          </w:p>
        </w:tc>
      </w:tr>
      <w:tr>
        <w:tc>
          <w:tcPr>
            <w:tcW w:type="dxa" w:w="1949"/>
          </w:tcPr>
          <w:p>
            <w:r/>
            <w:r>
              <w:rPr>
                <w:b w:val="0"/>
                <w:i w:val="0"/>
              </w:rPr>
              <w:t>Vigencia de la modificación del ALEH VI</w:t>
            </w:r>
          </w:p>
        </w:tc>
        <w:tc>
          <w:tcPr>
            <w:tcW w:type="dxa" w:w="1949"/>
          </w:tcPr>
          <w:p>
            <w:r/>
            <w:r>
              <w:rPr>
                <w:b w:val="0"/>
                <w:i w:val="0"/>
              </w:rPr>
              <w:t>Vigencia</w:t>
            </w:r>
          </w:p>
        </w:tc>
        <w:tc>
          <w:tcPr>
            <w:tcW w:type="dxa" w:w="1949"/>
          </w:tcPr>
          <w:p>
            <w:r/>
          </w:p>
        </w:tc>
        <w:tc>
          <w:tcPr>
            <w:tcW w:type="dxa" w:w="1949"/>
          </w:tcPr>
          <w:p>
            <w:r/>
            <w:r>
              <w:rPr>
                <w:b w:val="0"/>
                <w:i w:val="0"/>
              </w:rPr>
              <w:t>Del 04-09-2026 al 31-12-2030</w:t>
            </w:r>
          </w:p>
        </w:tc>
        <w:tc>
          <w:tcPr>
            <w:tcW w:type="dxa" w:w="1949"/>
          </w:tcPr>
          <w:p>
            <w:r/>
            <w:r>
              <w:rPr>
                <w:b w:val="0"/>
                <w:i w:val="0"/>
              </w:rPr>
              <w:t>BOE-A-2026-18630</w:t>
            </w:r>
          </w:p>
        </w:tc>
      </w:tr>
      <w:tr>
        <w:tc>
          <w:tcPr>
            <w:tcW w:type="dxa" w:w="1949"/>
          </w:tcPr>
          <w:p>
            <w:r/>
            <w:r>
              <w:rPr>
                <w:b w:val="0"/>
                <w:i w:val="0"/>
              </w:rPr>
              <w:t>Indemnización por despido objetivo</w:t>
            </w:r>
          </w:p>
        </w:tc>
        <w:tc>
          <w:tcPr>
            <w:tcW w:type="dxa" w:w="1949"/>
          </w:tcPr>
          <w:p>
            <w:r/>
            <w:r>
              <w:rPr>
                <w:b w:val="0"/>
                <w:i w:val="0"/>
              </w:rPr>
              <w:t>Indemnización</w:t>
            </w:r>
          </w:p>
        </w:tc>
        <w:tc>
          <w:tcPr>
            <w:tcW w:type="dxa" w:w="1949"/>
          </w:tcPr>
          <w:p>
            <w:r/>
          </w:p>
        </w:tc>
        <w:tc>
          <w:tcPr>
            <w:tcW w:type="dxa" w:w="1949"/>
          </w:tcPr>
          <w:p>
            <w:r/>
            <w:r>
              <w:rPr>
                <w:b w:val="0"/>
                <w:i w:val="0"/>
              </w:rPr>
              <w:t>20 días por año, tope de 12 mensualidades, a disposición con la carta</w:t>
            </w:r>
          </w:p>
        </w:tc>
        <w:tc>
          <w:tcPr>
            <w:tcW w:type="dxa" w:w="1949"/>
          </w:tcPr>
          <w:p>
            <w:r/>
            <w:r>
              <w:rPr>
                <w:b w:val="0"/>
                <w:i w:val="0"/>
              </w:rPr>
              <w:t>Art. 53 ET</w:t>
            </w:r>
          </w:p>
        </w:tc>
      </w:tr>
      <w:tr>
        <w:tc>
          <w:tcPr>
            <w:tcW w:type="dxa" w:w="1949"/>
          </w:tcPr>
          <w:p>
            <w:r/>
            <w:r>
              <w:rPr>
                <w:b w:val="0"/>
                <w:i w:val="0"/>
              </w:rPr>
              <w:t>Indemnización por despido improcedente</w:t>
            </w:r>
          </w:p>
        </w:tc>
        <w:tc>
          <w:tcPr>
            <w:tcW w:type="dxa" w:w="1949"/>
          </w:tcPr>
          <w:p>
            <w:r/>
            <w:r>
              <w:rPr>
                <w:b w:val="0"/>
                <w:i w:val="0"/>
              </w:rPr>
              <w:t>Indemnización</w:t>
            </w:r>
          </w:p>
        </w:tc>
        <w:tc>
          <w:tcPr>
            <w:tcW w:type="dxa" w:w="1949"/>
          </w:tcPr>
          <w:p>
            <w:r/>
          </w:p>
        </w:tc>
        <w:tc>
          <w:tcPr>
            <w:tcW w:type="dxa" w:w="1949"/>
          </w:tcPr>
          <w:p>
            <w:r/>
            <w:r>
              <w:rPr>
                <w:b w:val="0"/>
                <w:i w:val="0"/>
              </w:rPr>
              <w:t>33 días por año, tope de 24 mensualidades</w:t>
            </w:r>
          </w:p>
        </w:tc>
        <w:tc>
          <w:tcPr>
            <w:tcW w:type="dxa" w:w="1949"/>
          </w:tcPr>
          <w:p>
            <w:r/>
            <w:r>
              <w:rPr>
                <w:b w:val="0"/>
                <w:i w:val="0"/>
              </w:rPr>
              <w:t>Art. 56 ET</w:t>
            </w:r>
          </w:p>
        </w:tc>
      </w:tr>
      <w:tr>
        <w:tc>
          <w:tcPr>
            <w:tcW w:type="dxa" w:w="1949"/>
          </w:tcPr>
          <w:p>
            <w:r/>
            <w:r>
              <w:rPr>
                <w:b w:val="0"/>
                <w:i w:val="0"/>
              </w:rPr>
              <w:t>Periodo de prueba en hostelería</w:t>
            </w:r>
          </w:p>
        </w:tc>
        <w:tc>
          <w:tcPr>
            <w:tcW w:type="dxa" w:w="1949"/>
          </w:tcPr>
          <w:p>
            <w:r/>
            <w:r>
              <w:rPr>
                <w:b w:val="0"/>
                <w:i w:val="0"/>
              </w:rPr>
              <w:t>Contratación</w:t>
            </w:r>
          </w:p>
        </w:tc>
        <w:tc>
          <w:tcPr>
            <w:tcW w:type="dxa" w:w="1949"/>
          </w:tcPr>
          <w:p>
            <w:r/>
          </w:p>
        </w:tc>
        <w:tc>
          <w:tcPr>
            <w:tcW w:type="dxa" w:w="1949"/>
          </w:tcPr>
          <w:p>
            <w:r/>
            <w:r>
              <w:rPr>
                <w:b w:val="0"/>
                <w:i w:val="0"/>
              </w:rPr>
              <w:t>90 / 60 / 45 días naturales según grupo; el convenio provincial no lo puede modificar</w:t>
            </w:r>
          </w:p>
        </w:tc>
        <w:tc>
          <w:tcPr>
            <w:tcW w:type="dxa" w:w="1949"/>
          </w:tcPr>
          <w:p>
            <w:r/>
            <w:r>
              <w:rPr>
                <w:b w:val="0"/>
                <w:i w:val="0"/>
              </w:rPr>
              <w:t>ALEH VI</w:t>
            </w:r>
          </w:p>
        </w:tc>
      </w:tr>
    </w:tbl>
    <w:p/>
    <w:p>
      <w:pPr>
        <w:jc w:val="center"/>
      </w:pPr>
      <w:r>
        <w:rPr>
          <w:i/>
          <w:color w:val="444444"/>
        </w:rPr>
        <w:t>Verificado el 04-09-2026 · ALEH VI (BOE-A-2023-6344), modificado por la Resolución de la DGT de 25-08-2026 (BOE-A-2026-18630) · https://www.boe.es/diario_boe/txt.php?id=BOE-A-2026-18630</w:t>
      </w:r>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aichef.pro/manual-manager-restaurante · info@aichef.pro</w:t>
      </w:r>
    </w:p>
    <w:p>
      <w:pPr>
        <w:jc w:val="center"/>
      </w:pPr>
      <w:r>
        <w:rPr>
          <w:i/>
          <w:color w:val="444444"/>
        </w:rPr>
        <w:t>Este manual es un documento de trabajo profesional, no un dictamen laboral, fiscal, jurídico ni de prevención de riesgos. El marco normativo que se explica es el ESPAÑOL, y su estado se verificó contra el Boletín Oficial del Estado el 4 de septiembre de 2026, incluida la modificación del ALEH VI publicada ese mismo día: cada afirmación legal lleva su norma y su artículo para que puedas comprobarla y para que sepas dónde mirar cuando cambie. Los plazos, tipos de cotización, umbrales y periodicidades viven en celdas editables de las hojas de cálculo precisamente porque cambian, y porque fuera de España cambian del todo: si cambia el dato, se cambia la celda y todo el libro se recalcula. Los salarios, costes, importes y porcentajes son valores de ejemplo de un restaurante modelado que acompaña a este pack y sirven para que los sustituyas por los tuyos: ninguno es una previsión de tus resultados. La calificación de un caso concreto -si un contrato está bien causado, si una falta es grave o muy grave, si una obligación te alcanza- depende de los hechos de ese caso y del convenio provincial que te aplique. Antes de firmar un contrato, sancionar, despedir o cambiar la forma en la que facturas, contrasta con tu asesoría laboral y fiscal.</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Situaciones Resueltas del Manager de Restaurante</dc:title>
  <dc:subject>Bonus del pack Manual del Manager de Restaurante · Versión 1.0 · septiembre 2026</dc:subject>
  <dc:creator>AI Chef Pro</dc:creator>
  <cp:keywords/>
  <dc:description>AI Chef Pro · aichef.pro</dc:description>
  <cp:lastModifiedBy>AI Chef Pro</cp:lastModifiedBy>
  <cp:revision>1</cp:revision>
  <dcterms:created xsi:type="dcterms:W3CDTF">2026-09-05T00:43:09Z</dcterms:created>
  <dcterms:modified xsi:type="dcterms:W3CDTF">2026-09-05T00:43:09Z</dcterms:modified>
  <cp:category>Manual profesional</cp:category>
</cp:coreProperties>
</file>