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del Manager de Restaurante</w:t>
      </w:r>
    </w:p>
    <w:p>
      <w:r>
        <w:rPr>
          <w:b/>
          <w:i w:val="0"/>
        </w:rPr>
        <w:t>Operaciones, personas, números, servicio y ley - el criterio del día a día, verificado contra el BOE</w:t>
      </w:r>
    </w:p>
    <w:p>
      <w:pPr>
        <w:jc w:val="center"/>
      </w:pPr>
      <w:r>
        <w:rPr>
          <w:i/>
          <w:color w:val="444444"/>
        </w:rPr>
        <w:t>John Guerrero · AI Chef Pro · aichef.pro</w:t>
      </w:r>
    </w:p>
    <w:p>
      <w:r>
        <w:rPr>
          <w:b w:val="0"/>
          <w:i w:val="0"/>
        </w:rPr>
        <w:t>20 capítulos, 7 herramientas en Excel con fórmulas vivas y un bonus de 12 situaciones resueltas para dirigir un restaurante que ya está abierto: los números de la semana, el equipo, el servicio y la ley que te obliga hoy. No es un manual de apertura ni otro paquete de checklists: es el criterio que decide qué se hace con lo que sale de ellos. Todas las cifras del caso salen de los libros de este mismo pack, así que el texto y las hojas de cálculo dicen lo mismo; y cada afirmación legal va con su norma, su artículo y su enlace, verificados contra el Boletín Oficial del Estado el 4 de septiembre de 2026.</w:t>
      </w:r>
    </w:p>
    <w:p>
      <w:r>
        <w:rPr>
          <w:b/>
          <w:i w:val="0"/>
        </w:rPr>
        <w:t>Versión 1.0 · septiembre de 2026 · aichef.pro/manual-manager-restaurante</w:t>
      </w:r>
    </w:p>
    <w:p>
      <w:r>
        <w:br w:type="page"/>
      </w:r>
    </w:p>
    <w:p>
      <w:pPr>
        <w:pStyle w:val="Heading1"/>
      </w:pPr>
      <w:r>
        <w:t>Índice</w:t>
      </w:r>
    </w:p>
    <w:p>
      <w:pPr>
        <w:pStyle w:val="ListNumber"/>
      </w:pPr>
      <w:r>
        <w:rPr>
          <w:b/>
          <w:i w:val="0"/>
        </w:rPr>
        <w:t>Qué es Exactamente un Manager de Restaurante (y para Quién es Este Manual)</w:t>
      </w:r>
      <w:r>
        <w:rPr>
          <w:b w:val="0"/>
          <w:i w:val="0"/>
        </w:rPr>
        <w:t xml:space="preserve"> - el organigrama real del convenio, el mapa de problema a capítulo y a herramienta, y qué está en este pack y qué en otro.</w:t>
      </w:r>
    </w:p>
    <w:p>
      <w:pPr>
        <w:pStyle w:val="ListNumber"/>
      </w:pPr>
      <w:r>
        <w:rPr>
          <w:b/>
          <w:i w:val="0"/>
        </w:rPr>
        <w:t>Los Números que Gobiernan tu Turno: las Definiciones que Casi Nadie Distingue</w:t>
      </w:r>
      <w:r>
        <w:rPr>
          <w:b w:val="0"/>
          <w:i w:val="0"/>
        </w:rPr>
        <w:t xml:space="preserve"> - qué mide cada indicador, con qué se confunde y cuál manda en cada decisión.</w:t>
      </w:r>
    </w:p>
    <w:p>
      <w:pPr>
        <w:pStyle w:val="ListNumber"/>
      </w:pPr>
      <w:r>
        <w:rPr>
          <w:b/>
          <w:i w:val="0"/>
        </w:rPr>
        <w:t>El Cuadro de Mando Semanal: por Qué la Semana y no el Mes</w:t>
      </w:r>
      <w:r>
        <w:rPr>
          <w:b w:val="0"/>
          <w:i w:val="0"/>
        </w:rPr>
        <w:t xml:space="preserve"> - qué se rellena cada lunes en quince minutos, cómo se lee un semáforo y qué esconde el promedio del mes.</w:t>
      </w:r>
    </w:p>
    <w:p>
      <w:pPr>
        <w:pStyle w:val="ListNumber"/>
      </w:pPr>
      <w:r>
        <w:rPr>
          <w:b/>
          <w:i w:val="0"/>
        </w:rPr>
        <w:t>Prime Cost y Coste de Personal: Dónde se Pierde el Margen</w:t>
      </w:r>
      <w:r>
        <w:rPr>
          <w:b w:val="0"/>
          <w:i w:val="0"/>
        </w:rPr>
        <w:t xml:space="preserve"> - del salario bruto al coste-empresa, partida a partida, y el umbral de la casa para sala y para barra.</w:t>
      </w:r>
    </w:p>
    <w:p>
      <w:pPr>
        <w:pStyle w:val="ListNumber"/>
      </w:pPr>
      <w:r>
        <w:rPr>
          <w:b/>
          <w:i w:val="0"/>
        </w:rPr>
        <w:t>El Día del Manager: Apertura, Servicio, Cierre y Handover</w:t>
      </w:r>
      <w:r>
        <w:rPr>
          <w:b w:val="0"/>
          <w:i w:val="0"/>
        </w:rPr>
        <w:t xml:space="preserve"> - qué decide cada bloque del día, qué se delega, qué firma el manager y qué encuentra escrito el turno siguiente.</w:t>
      </w:r>
    </w:p>
    <w:p>
      <w:pPr>
        <w:pStyle w:val="ListNumber"/>
      </w:pPr>
      <w:r>
        <w:rPr>
          <w:b/>
          <w:i w:val="0"/>
        </w:rPr>
        <w:t>La Caja y el Tique: Corte, Arqueo, Cierre - y lo que Viene</w:t>
      </w:r>
      <w:r>
        <w:rPr>
          <w:b w:val="0"/>
          <w:i w:val="0"/>
        </w:rPr>
        <w:t xml:space="preserve"> - los tres pasos y sus tres firmas, el descuadre que se repite, el tique, el efectivo, las propinas y las dos fechas que vienen.</w:t>
      </w:r>
    </w:p>
    <w:p>
      <w:pPr>
        <w:pStyle w:val="ListNumber"/>
      </w:pPr>
      <w:r>
        <w:rPr>
          <w:b/>
          <w:i w:val="0"/>
        </w:rPr>
        <w:t>Mandar sin Quemar al Equipo: Autoridad, Delegación y Cómo Defender un Cambio con Números</w:t>
      </w:r>
      <w:r>
        <w:rPr>
          <w:b w:val="0"/>
          <w:i w:val="0"/>
        </w:rPr>
        <w:t xml:space="preserve"> - autoridad formal frente a autoridad real, señales de desgaste, la propuesta al propietario y la conversación difícil.</w:t>
      </w:r>
    </w:p>
    <w:p>
      <w:pPr>
        <w:pStyle w:val="ListNumber"/>
      </w:pPr>
      <w:r>
        <w:rPr>
          <w:b/>
          <w:i w:val="0"/>
        </w:rPr>
        <w:t>El Convenio que te Aplica: ALEH VI, tu Provincia y lo que no se Negocia</w:t>
      </w:r>
      <w:r>
        <w:rPr>
          <w:b w:val="0"/>
          <w:i w:val="0"/>
        </w:rPr>
        <w:t xml:space="preserve"> - qué fija el acuerdo estatal, qué no puede tocar el convenio provincial, cómo se busca en REGCON y qué pasa cuando caduca.</w:t>
      </w:r>
    </w:p>
    <w:p>
      <w:pPr>
        <w:pStyle w:val="ListNumber"/>
      </w:pPr>
      <w:r>
        <w:rPr>
          <w:b/>
          <w:i w:val="0"/>
        </w:rPr>
        <w:t>Contratar sin Fabricar un Indefinido por Accidente</w:t>
      </w:r>
      <w:r>
        <w:rPr>
          <w:b w:val="0"/>
          <w:i w:val="0"/>
        </w:rPr>
        <w:t xml:space="preserve"> - las dos causas de temporalidad que quedan, el encadenamiento, el fijo-discontinuo y el periodo de prueba de hostelería.</w:t>
      </w:r>
    </w:p>
    <w:p>
      <w:pPr>
        <w:pStyle w:val="ListNumber"/>
      </w:pPr>
      <w:r>
        <w:rPr>
          <w:b/>
          <w:i w:val="0"/>
        </w:rPr>
        <w:t>Selección con Criterio y los Primeros 30 Días</w:t>
      </w:r>
      <w:r>
        <w:rPr>
          <w:b w:val="0"/>
          <w:i w:val="0"/>
        </w:rPr>
        <w:t xml:space="preserve"> - competencias con peso antes de ver a nadie, entrevista estructurada, lo que no se puede preguntar y las cuatro formaciones.</w:t>
      </w:r>
    </w:p>
    <w:p>
      <w:pPr>
        <w:pStyle w:val="ListNumber"/>
      </w:pPr>
      <w:r>
        <w:rPr>
          <w:b/>
          <w:i w:val="0"/>
        </w:rPr>
        <w:t>Jornada, Cuadrante y Registro de Jornada: Tres Documentos que no Son lo Mismo</w:t>
      </w:r>
      <w:r>
        <w:rPr>
          <w:b w:val="0"/>
          <w:i w:val="0"/>
        </w:rPr>
        <w:t xml:space="preserve"> - los topes que no se pactan a la baja, el cómputo de los descansos, las horas extra y el estado real del registro.</w:t>
      </w:r>
    </w:p>
    <w:p>
      <w:pPr>
        <w:pStyle w:val="ListNumber"/>
      </w:pPr>
      <w:r>
        <w:rPr>
          <w:b/>
          <w:i w:val="0"/>
        </w:rPr>
        <w:t>Permisos, Vacaciones y Conciliación sin Sustos</w:t>
      </w:r>
      <w:r>
        <w:rPr>
          <w:b w:val="0"/>
          <w:i w:val="0"/>
        </w:rPr>
        <w:t xml:space="preserve"> - los días que son y los que no, las dos figuras del permiso parental, la guarda legal y el silencio que concede.</w:t>
      </w:r>
    </w:p>
    <w:p>
      <w:pPr>
        <w:pStyle w:val="ListNumber"/>
      </w:pPr>
      <w:r>
        <w:rPr>
          <w:b/>
          <w:i w:val="0"/>
        </w:rPr>
        <w:t>Rotación, Absentismo y Polivalencia: Qué se Puede Medir de Verdad</w:t>
      </w:r>
      <w:r>
        <w:rPr>
          <w:b w:val="0"/>
          <w:i w:val="0"/>
        </w:rPr>
        <w:t xml:space="preserve"> - la fórmula de cada indicador, qué dato existe para hostelería, el punto único de fallo y el coste real de una baja.</w:t>
      </w:r>
    </w:p>
    <w:p>
      <w:pPr>
        <w:pStyle w:val="ListNumber"/>
      </w:pPr>
      <w:r>
        <w:rPr>
          <w:b/>
          <w:i w:val="0"/>
        </w:rPr>
        <w:t>Evaluar, Corregir y, si Toca, Despedir</w:t>
      </w:r>
      <w:r>
        <w:rPr>
          <w:b w:val="0"/>
          <w:i w:val="0"/>
        </w:rPr>
        <w:t xml:space="preserve"> - el estándar escrito, el régimen disciplinario del ALEH VI, la audiencia previa de dos días y los números del despido.</w:t>
      </w:r>
    </w:p>
    <w:p>
      <w:pPr>
        <w:pStyle w:val="ListNumber"/>
      </w:pPr>
      <w:r>
        <w:rPr>
          <w:b/>
          <w:i w:val="0"/>
        </w:rPr>
        <w:t>Lo que Obliga Aunque Seáis Tres: Igualdad, Acoso, Desconexión y PRL</w:t>
      </w:r>
      <w:r>
        <w:rPr>
          <w:b w:val="0"/>
          <w:i w:val="0"/>
        </w:rPr>
        <w:t xml:space="preserve"> - lo que no tiene umbral de plantilla, cómo se cuenta de verdad la plantilla y por qué el reconocimiento médico es voluntario.</w:t>
      </w:r>
    </w:p>
    <w:p>
      <w:pPr>
        <w:pStyle w:val="ListNumber"/>
      </w:pPr>
      <w:r>
        <w:rPr>
          <w:b/>
          <w:i w:val="0"/>
        </w:rPr>
        <w:t>El Servicio: Estándares, Briefing y la Conversación Cocina-Sala</w:t>
      </w:r>
      <w:r>
        <w:rPr>
          <w:b w:val="0"/>
          <w:i w:val="0"/>
        </w:rPr>
        <w:t xml:space="preserve"> - los tres formatos de reunión, el guion de siete minutos, los estándares escritos y el conflicto que es de sistema.</w:t>
      </w:r>
    </w:p>
    <w:p>
      <w:pPr>
        <w:pStyle w:val="ListNumber"/>
      </w:pPr>
      <w:r>
        <w:rPr>
          <w:b/>
          <w:i w:val="0"/>
        </w:rPr>
        <w:t>Quejas, Hojas de Reclamaciones y Reseñas: Tres Cosas Distintas</w:t>
      </w:r>
      <w:r>
        <w:rPr>
          <w:b w:val="0"/>
          <w:i w:val="0"/>
        </w:rPr>
        <w:t xml:space="preserve"> - el protocolo en sala, la hoja oficial y sus plazos autonómicos, quién responde las reseñas y qué dicen tus quejas contadas.</w:t>
      </w:r>
    </w:p>
    <w:p>
      <w:pPr>
        <w:pStyle w:val="ListNumber"/>
      </w:pPr>
      <w:r>
        <w:rPr>
          <w:b/>
          <w:i w:val="0"/>
        </w:rPr>
        <w:t>Reservas, No-shows y Datos del Cliente</w:t>
      </w:r>
      <w:r>
        <w:rPr>
          <w:b w:val="0"/>
          <w:i w:val="0"/>
        </w:rPr>
        <w:t xml:space="preserve"> - la reserva como contrato, qué baja de verdad el no-show, la política de garantía y el RGPD sin consentimiento.</w:t>
      </w:r>
    </w:p>
    <w:p>
      <w:pPr>
        <w:pStyle w:val="ListNumber"/>
      </w:pPr>
      <w:r>
        <w:rPr>
          <w:b/>
          <w:i w:val="0"/>
        </w:rPr>
        <w:t>Seguridad Alimentaria y el Local: de lo que Responde el Manager</w:t>
      </w:r>
      <w:r>
        <w:rPr>
          <w:b w:val="0"/>
          <w:i w:val="0"/>
        </w:rPr>
        <w:t xml:space="preserve"> - cultura de seguridad alimentaria, alérgenos, temperaturas vigentes, y el local: ruido, música, horarios, terraza y envases.</w:t>
      </w:r>
    </w:p>
    <w:p>
      <w:pPr>
        <w:pStyle w:val="ListNumber"/>
      </w:pPr>
      <w:r>
        <w:rPr>
          <w:b/>
          <w:i w:val="0"/>
        </w:rPr>
        <w:t>El Calendario del Manager, la Auditoría Interna y los 90 Días Siguientes</w:t>
      </w:r>
      <w:r>
        <w:rPr>
          <w:b w:val="0"/>
          <w:i w:val="0"/>
        </w:rPr>
        <w:t xml:space="preserve"> - qué tiene fecha fijada por norma y qué no, la auditoría puntuable, y cómo se convierte todo lo anterior en trece semanas.</w:t>
      </w:r>
    </w:p>
    <w:p>
      <w:r>
        <w:br w:type="page"/>
      </w:r>
    </w:p>
    <w:p>
      <w:pPr>
        <w:pStyle w:val="Heading1"/>
      </w:pPr>
      <w:r>
        <w:t>1. Qué es Exactamente un Manager de Restaurante (y para Quién es Este Manual)</w:t>
      </w:r>
    </w:p>
    <w:p>
      <w:pPr>
        <w:pStyle w:val="Heading2"/>
      </w:pPr>
      <w:r>
        <w:t>Gerente, encargado, director, jefe de sala: qué dice el convenio y qué es uso de la casa</w:t>
      </w:r>
    </w:p>
    <w:p>
      <w:r>
        <w:rPr>
          <w:b w:val="0"/>
          <w:i w:val="0"/>
        </w:rPr>
        <w:t>En la puerta de cada restaurante cuelga un nombre distinto para el mismo trabajo; antes de entrar en criterio, conviene resolverlo. El acuerdo estatal vigente, el ALEH VI (BOE de 10 de marzo de 2023), no clasifica a las personas por el título que llevan impreso en la tarjeta: clasifica por áreas funcionales y grupos profesionales. Dentro de esa clasificación conviven dos categorías reales, con nombre propio en el texto del convenio: gerente de centro y jefe o jefa de restaurante o sala. Lo que no existe en el convenio son «encargado», «director» ni «administrador»: son denominaciones de uso, el nombre que cada casa -o cada cadena- decide ponerle al mismo puesto, y «administrador» es además el término que domina en Colombia, Chile y Perú para describir a quien lo ocupa. Nada de eso resta autoridad al cargo: la resta creer que ese nombre fija el sueldo, las funciones o el encuadramiento del contrato.</w:t>
      </w:r>
    </w:p>
    <w:p>
      <w:r>
        <w:rPr>
          <w:b w:val="0"/>
          <w:i w:val="0"/>
        </w:rPr>
        <w:t>Lo que sí fija esas tres cosas es el grupo profesional, que junto con la ocupación tiene que constar en el contrato escrito y en el recibo de salario, por mandato de los arts. 11.2, 15 y 16 del ALEH VI (BOE-A-2023-6344, con la modificación de BOE-A-2026-18630; verificado el 4 de septiembre de 2026). Y ese grupo profesional se traduce en una cifra muy distinta según la provincia: un cocinero de nivel III cobra entre 1.160 € y 1.284 € al mes en Madrid, cuyo convenio expiró el 31 de diciembre de 2025 (convenio de Madrid, BOCM) y sigue en ultraactividad, frente a entre 1.607 € y 1.803 € en Barcelona, con convenio vigente entre 2025 y 2028 (convenio de hostelería de Madrid, BOCM de 6 de abril de 2024, y convenio interprovincial de Cataluña, DOGC de 23 de marzo de 2026; verificado el 4 de septiembre de 2026). El nombre en la puerta no cambia esa cifra: la cambia el convenio provincial.</w:t>
      </w:r>
    </w:p>
    <w:p>
      <w:pPr>
        <w:pStyle w:val="Heading2"/>
      </w:pPr>
      <w:r>
        <w:t>El organigrama del ALEH VI: áreas funcionales y grupos profesionales</w:t>
      </w:r>
    </w:p>
    <w:p>
      <w:r>
        <w:rPr>
          <w:b w:val="0"/>
          <w:i w:val="0"/>
        </w:rPr>
        <w:t>El ALEH VI ordena todo el sector en seis áreas funcionales y tres grupos profesionales. El art. 15 relaciona los puestos de cada área «de forma meramente enunciativa y no excluyente», y el art. 16 los encuadra dentro de esos tres grupos. La que interesa a este manual es el área funcional tercera, la de restaurante, sala, bar y similares. Su grupo profesional primero lo forman cuatro puestos:</w:t>
      </w:r>
    </w:p>
    <w:p>
      <w:pPr>
        <w:pStyle w:val="ListBullet"/>
      </w:pPr>
      <w:r>
        <w:rPr>
          <w:b w:val="0"/>
          <w:i w:val="0"/>
        </w:rPr>
        <w:t>Jefe o jefa de restaurante o sala.</w:t>
      </w:r>
    </w:p>
    <w:p>
      <w:pPr>
        <w:pStyle w:val="ListBullet"/>
      </w:pPr>
      <w:r>
        <w:rPr>
          <w:b w:val="0"/>
          <w:i w:val="0"/>
        </w:rPr>
        <w:t>2.º jefe o jefa de restaurante o sala.</w:t>
      </w:r>
    </w:p>
    <w:p>
      <w:pPr>
        <w:pStyle w:val="ListBullet"/>
      </w:pPr>
      <w:r>
        <w:rPr>
          <w:b w:val="0"/>
          <w:i w:val="0"/>
        </w:rPr>
        <w:t>Jefe o jefa de operaciones de catering.</w:t>
      </w:r>
    </w:p>
    <w:p>
      <w:pPr>
        <w:pStyle w:val="ListBullet"/>
      </w:pPr>
      <w:r>
        <w:rPr>
          <w:b w:val="0"/>
          <w:i w:val="0"/>
        </w:rPr>
        <w:t>Gerente de centro, encuadrado dentro del bloque de restauración moderna -comida rápida y cadenas-, no del de restaurante y bar.</w:t>
      </w:r>
    </w:p>
    <w:p>
      <w:r>
        <w:rPr>
          <w:b w:val="0"/>
          <w:i w:val="0"/>
        </w:rPr>
        <w:t>Fuera de esos cuatro puestos, el convenio no tipifica nada parecido a un «encargado de restaurante»: sus únicos encargados con categoría propia son los de economato, los de pisos y limpieza y los de mantenimiento. Tampoco tipifica «director» ni «administrador». Quien dirige una sala con cualquiera de esos dos nombres en la puerta queda encuadrado, a efectos de convenio, en alguno de los cuatro puestos de arriba o en el grupo profesional que le corresponda por su ocupación real, y eso -no el nombre de la tarjeta- es lo que figura en su contrato y en su recibo de salario. Las tablas salariales las fija el convenio provincial, no el estatal, localizable en el buscador REGCON del Ministerio de Trabajo.</w:t>
      </w:r>
    </w:p>
    <w:p>
      <w:pPr>
        <w:pStyle w:val="Heading2"/>
      </w:pPr>
      <w:r>
        <w:t>Tu problema, su capítulo y su herramienta</w:t>
      </w:r>
    </w:p>
    <w:p>
      <w:r>
        <w:rPr>
          <w:b w:val="0"/>
          <w:i w:val="0"/>
        </w:rPr>
        <w:t>Este manual parte de un punto muy concreto: el local ya está abierto, el equipo ya está contratado y la carta ya está puesta. Aquí no se habla de licencia de actividad, de obra, de plan de negocio ni de inversión inicial: hay un negocio en marcha que exige decidir, hoy, qué hacer con lo que pasa en él. Por eso cada capítulo que sigue arranca de un problema real de gestión, no de la definición de un oficio ya conocido.</w:t>
      </w:r>
    </w:p>
    <w:p>
      <w:r>
        <w:rPr>
          <w:b w:val="0"/>
          <w:i w:val="0"/>
        </w:rPr>
        <w:t>El hilo que recorre todo el manual -y también el resto del pack- es un caso modelado, La Encina, un restaurante con servicio en mesa configurado en las herramientas como negocio de tipo Sala, con una plantilla de 12 personas repartida en 6 estaciones de trabajo y 42 horas de apertura al público a la semana. La Encina no es un cliente real: no tiene declaraciones de nadie detrás, y su única función es sostener los mismos números en cada libro del pack, para que las cifras cuadren de un capítulo a otro.</w:t>
      </w:r>
    </w:p>
    <w:p>
      <w:r>
        <w:rPr>
          <w:b w:val="0"/>
          <w:i w:val="0"/>
        </w:rPr>
        <w:t>La tabla que viene justo a continuación recoge, problema a problema, en qué capítulo de este manual se trata cada uno y con qué herramienta se resuelve, para que sepas en cinco minutos por dónde entrar según lo que te esté pasando hoy en tu restaurante.</w:t>
      </w:r>
    </w:p>
    <w:p>
      <w:pPr>
        <w:pStyle w:val="Heading2"/>
      </w:pPr>
      <w:r>
        <w:t>Qué trae este pack y qué está en los otros productos del catálogo</w:t>
      </w:r>
    </w:p>
    <w:p>
      <w:r>
        <w:rPr>
          <w:b w:val="0"/>
          <w:i w:val="0"/>
        </w:rPr>
        <w:t>Este manual no sustituye a los demás productos del catálogo: reparte el trabajo con ellos, y conviene saber quién hace qué antes de abrir el primer capítulo. El Kit de Tareas aporta las listas de comprobación de apertura, servicio y cierre del día a día. El Kit de Gestión de Personal aporta el cuadrante semanal y el control de las horas trabajadas. El Pack APPCC aporta los registros de seguridad alimentaria que exige la normativa. Y la Guía Food Cost aporta el escandallo de cada receta y el análisis de la carta, plato a plato. Ninguno de esos cuatro productos toma la decisión por ti: cada uno entrega un dato, un registro o una lista ya hecha. Lo que aporta este manual es el criterio para decidir qué hacer con lo que sale de todos ellos -cuándo el dato del escandallo justifica subir un precio, cuándo una tarea sin firmar es un problema de supervisión y no de plantilla-, además de siete herramientas propias que ningún otro producto del catálogo tiene.</w:t>
      </w:r>
    </w:p>
    <w:p>
      <w:r>
        <w:rPr>
          <w:b w:val="0"/>
          <w:i w:val="0"/>
        </w:rPr>
        <w:t>Dos de esas siete herramientas trabajan sobre los números del caso de La Encina a lo largo de todo el manual. El cuadro de mando semanal registra unas ventas netas de 1.226.661 € y 46.737 cubiertos en el año del caso, con un objetivo de prime cost del 65 % fijado como criterio de la casa para un negocio con servicio en mesa: el umbral que se aplicaría en barra o autoservicio es distinto, y aquí no se usa porque La Encina trabaja en sala. La auditoría interna de servicio, por su parte, recorre 60 puntos de control repartidos por área del restaurante. Ninguna de las dos cifras sustituye a lo que ya calculan el Kit de Gestión de Personal o la Guía Food Cost: las usa como entrada para decidir, semana a semana, si el negocio va bien encaminado, que es exactamente lo que no hace ninguno de los otros productos por separado. La diferencia está en el tipo de trabajo que exige cada cosa: una lista de comprobación firmada, un registro de temperatura o una ficha de escandallo son hechos, y están bien o están mal, así que el propio producto te lo dice. Decidir si conviene subir un precio esta temporada, cubrir una baja con una hora extra o abrir una incidencia formal de personal exige mirar varios de esos hechos a la vez y elegir entre opciones que ninguna hoja de cálculo resuelve sola. Eso es lo que trabaja este manual, capítulo a capítulo. Los siete libros son complementarios entre sí, y este manual da por hecho que el lector puede tener alguno, todos o ninguno de los demás: cada capítulo explica lo que necesitas saber sin exigirte haber abierto antes otra herramienta del catálogo.</w:t>
      </w:r>
    </w:p>
    <w:p>
      <w:pPr>
        <w:pStyle w:val="Heading2"/>
      </w:pPr>
      <w:r>
        <w:t>Cómo llamamos aquí a cada cosa</w:t>
      </w:r>
    </w:p>
    <w:p>
      <w:r>
        <w:rPr>
          <w:b w:val="0"/>
          <w:i w:val="0"/>
        </w:rPr>
        <w:t>A partir de aquí usamos siempre las mismas palabras, para no traducir mentalmente cada página. Manager (gerente/encargado) es quien tiene el criterio final sobre lo que pasa en el turno. El cuadrante (horario del personal) es el reparto semanal de turnos y estaciones. El arqueo (corte de caja) es el cierre de caja al final del servicio. La nómina (planilla) es el documento donde consta el grupo profesional, la ocupación y el salario de cada persona. La sala (salón) es el espacio de atención al cliente, distinto de cocina y de barra. Y el camarero (mesero) es quien atiende esa sala. Cada término lleva su equivalencia una sola vez, aquí; el resto del manual usa la forma española a secas, sin repetir el paréntesis. Y es el mismo glosario que usan los demás libros del pack: si ya conoces alguno, las palabras no cambian de un producto a otro.</w:t>
      </w:r>
    </w:p>
    <w:p>
      <w:r>
        <w:rPr>
          <w:b w:val="0"/>
          <w:i w:val="0"/>
        </w:rPr>
        <w:t>El marco legal que se cita en este manual es el español, y se dice expresamente cada vez que se entra en materia normativa: convenio colectivo, Estatuto de los Trabajadores, prevención de riesgos laborales, seguridad alimentaria. Quien trabaje fuera de España encuentra el mismo criterio y las mismas siete herramientas, pero con las casillas de porcentajes, umbrales y partidas de coste dejadas en blanco para editarlas con su propia normativa laboral y fiscal, que no es la que aquí se explica: en ese caso, consulta tu normativa local antes de dar por buena una cifra que en este manual es española. Ese ajuste no reduce el valor del método. El escandallo, el control de tareas y el criterio de decisión funcionan igual en cualquier país; lo único que cambia, de una provincia española a un país de Hispanoamérica, es el número que hay que escribir en la casilla.</w:t>
      </w:r>
    </w:p>
    <w:p>
      <w:r>
        <w:rPr>
          <w:b/>
          <w:i w:val="0"/>
        </w:rPr>
        <w:t>Tu problema, el capítulo que lo trata y la herramienta que lo resuelve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tu problema es...</w:t>
            </w:r>
          </w:p>
        </w:tc>
        <w:tc>
          <w:tcPr>
            <w:tcW w:type="dxa" w:w="3249"/>
          </w:tcPr>
          <w:p>
            <w:r/>
            <w:r>
              <w:rPr>
                <w:b/>
                <w:i w:val="0"/>
              </w:rPr>
              <w:t>Capítulo</w:t>
            </w:r>
          </w:p>
        </w:tc>
        <w:tc>
          <w:tcPr>
            <w:tcW w:type="dxa" w:w="3249"/>
          </w:tcPr>
          <w:p>
            <w:r/>
            <w:r>
              <w:rPr>
                <w:b/>
                <w:i w:val="0"/>
              </w:rPr>
              <w:t>Herramienta</w:t>
            </w:r>
          </w:p>
        </w:tc>
      </w:tr>
      <w:tr>
        <w:tc>
          <w:tcPr>
            <w:tcW w:type="dxa" w:w="3249"/>
          </w:tcPr>
          <w:p>
            <w:r/>
            <w:r>
              <w:rPr>
                <w:b w:val="0"/>
                <w:i w:val="0"/>
              </w:rPr>
              <w:t>No sé qué números mirar ni cada cuánto</w:t>
            </w:r>
          </w:p>
        </w:tc>
        <w:tc>
          <w:tcPr>
            <w:tcW w:type="dxa" w:w="3249"/>
          </w:tcPr>
          <w:p>
            <w:r/>
            <w:r>
              <w:rPr>
                <w:b w:val="0"/>
                <w:i w:val="0"/>
              </w:rPr>
              <w:t>2 y 3</w:t>
            </w:r>
          </w:p>
        </w:tc>
        <w:tc>
          <w:tcPr>
            <w:tcW w:type="dxa" w:w="3249"/>
          </w:tcPr>
          <w:p>
            <w:r/>
            <w:r>
              <w:rPr>
                <w:b w:val="0"/>
                <w:i w:val="0"/>
              </w:rPr>
              <w:t>cuadro-de-mando-semanal-manager.xlsx</w:t>
            </w:r>
          </w:p>
        </w:tc>
      </w:tr>
      <w:tr>
        <w:tc>
          <w:tcPr>
            <w:tcW w:type="dxa" w:w="3249"/>
          </w:tcPr>
          <w:p>
            <w:r/>
            <w:r>
              <w:rPr>
                <w:b w:val="0"/>
                <w:i w:val="0"/>
              </w:rPr>
              <w:t>Vendo y no gano</w:t>
            </w:r>
          </w:p>
        </w:tc>
        <w:tc>
          <w:tcPr>
            <w:tcW w:type="dxa" w:w="3249"/>
          </w:tcPr>
          <w:p>
            <w:r/>
            <w:r>
              <w:rPr>
                <w:b w:val="0"/>
                <w:i w:val="0"/>
              </w:rPr>
              <w:t>4</w:t>
            </w:r>
          </w:p>
        </w:tc>
        <w:tc>
          <w:tcPr>
            <w:tcW w:type="dxa" w:w="3249"/>
          </w:tcPr>
          <w:p>
            <w:r/>
            <w:r>
              <w:rPr>
                <w:b w:val="0"/>
                <w:i w:val="0"/>
              </w:rPr>
              <w:t>cuadro-de-mando-semanal-manager.xlsx</w:t>
            </w:r>
          </w:p>
        </w:tc>
      </w:tr>
      <w:tr>
        <w:tc>
          <w:tcPr>
            <w:tcW w:type="dxa" w:w="3249"/>
          </w:tcPr>
          <w:p>
            <w:r/>
            <w:r>
              <w:rPr>
                <w:b w:val="0"/>
                <w:i w:val="0"/>
              </w:rPr>
              <w:t>El día se me va en apagar fuegos</w:t>
            </w:r>
          </w:p>
        </w:tc>
        <w:tc>
          <w:tcPr>
            <w:tcW w:type="dxa" w:w="3249"/>
          </w:tcPr>
          <w:p>
            <w:r/>
            <w:r>
              <w:rPr>
                <w:b w:val="0"/>
                <w:i w:val="0"/>
              </w:rPr>
              <w:t>5</w:t>
            </w:r>
          </w:p>
        </w:tc>
        <w:tc>
          <w:tcPr>
            <w:tcW w:type="dxa" w:w="3249"/>
          </w:tcPr>
          <w:p>
            <w:r/>
            <w:r>
              <w:rPr>
                <w:b w:val="0"/>
                <w:i w:val="0"/>
              </w:rPr>
              <w:t>auditoria-interna-servicio.xlsx</w:t>
            </w:r>
          </w:p>
        </w:tc>
      </w:tr>
      <w:tr>
        <w:tc>
          <w:tcPr>
            <w:tcW w:type="dxa" w:w="3249"/>
          </w:tcPr>
          <w:p>
            <w:r/>
            <w:r>
              <w:rPr>
                <w:b w:val="0"/>
                <w:i w:val="0"/>
              </w:rPr>
              <w:t>La caja no cuadra</w:t>
            </w:r>
          </w:p>
        </w:tc>
        <w:tc>
          <w:tcPr>
            <w:tcW w:type="dxa" w:w="3249"/>
          </w:tcPr>
          <w:p>
            <w:r/>
            <w:r>
              <w:rPr>
                <w:b w:val="0"/>
                <w:i w:val="0"/>
              </w:rPr>
              <w:t>6</w:t>
            </w:r>
          </w:p>
        </w:tc>
        <w:tc>
          <w:tcPr>
            <w:tcW w:type="dxa" w:w="3249"/>
          </w:tcPr>
          <w:p>
            <w:r/>
            <w:r>
              <w:rPr>
                <w:b w:val="0"/>
                <w:i w:val="0"/>
              </w:rPr>
              <w:t>cuadro-de-mando-semanal-manager.xlsx</w:t>
            </w:r>
          </w:p>
        </w:tc>
      </w:tr>
      <w:tr>
        <w:tc>
          <w:tcPr>
            <w:tcW w:type="dxa" w:w="3249"/>
          </w:tcPr>
          <w:p>
            <w:r/>
            <w:r>
              <w:rPr>
                <w:b w:val="0"/>
                <w:i w:val="0"/>
              </w:rPr>
              <w:t>Mando pero no me siguen</w:t>
            </w:r>
          </w:p>
        </w:tc>
        <w:tc>
          <w:tcPr>
            <w:tcW w:type="dxa" w:w="3249"/>
          </w:tcPr>
          <w:p>
            <w:r/>
            <w:r>
              <w:rPr>
                <w:b w:val="0"/>
                <w:i w:val="0"/>
              </w:rPr>
              <w:t>7</w:t>
            </w:r>
          </w:p>
        </w:tc>
        <w:tc>
          <w:tcPr>
            <w:tcW w:type="dxa" w:w="3249"/>
          </w:tcPr>
          <w:p>
            <w:r/>
            <w:r>
              <w:rPr>
                <w:b w:val="0"/>
                <w:i w:val="0"/>
              </w:rPr>
              <w:t>reuniones-acuerdos-plan-90-dias.xlsx</w:t>
            </w:r>
          </w:p>
        </w:tc>
      </w:tr>
      <w:tr>
        <w:tc>
          <w:tcPr>
            <w:tcW w:type="dxa" w:w="3249"/>
          </w:tcPr>
          <w:p>
            <w:r/>
            <w:r>
              <w:rPr>
                <w:b w:val="0"/>
                <w:i w:val="0"/>
              </w:rPr>
              <w:t>No sé qué convenio me aplica</w:t>
            </w:r>
          </w:p>
        </w:tc>
        <w:tc>
          <w:tcPr>
            <w:tcW w:type="dxa" w:w="3249"/>
          </w:tcPr>
          <w:p>
            <w:r/>
            <w:r>
              <w:rPr>
                <w:b w:val="0"/>
                <w:i w:val="0"/>
              </w:rPr>
              <w:t>8</w:t>
            </w:r>
          </w:p>
        </w:tc>
        <w:tc>
          <w:tcPr>
            <w:tcW w:type="dxa" w:w="3249"/>
          </w:tcPr>
          <w:p>
            <w:r/>
            <w:r>
              <w:rPr>
                <w:b w:val="0"/>
                <w:i w:val="0"/>
              </w:rPr>
              <w:t>calendario-cumplimiento-legal.xlsx</w:t>
            </w:r>
          </w:p>
        </w:tc>
      </w:tr>
      <w:tr>
        <w:tc>
          <w:tcPr>
            <w:tcW w:type="dxa" w:w="3249"/>
          </w:tcPr>
          <w:p>
            <w:r/>
            <w:r>
              <w:rPr>
                <w:b w:val="0"/>
                <w:i w:val="0"/>
              </w:rPr>
              <w:t>Voy a contratar y me da miedo el contrato</w:t>
            </w:r>
          </w:p>
        </w:tc>
        <w:tc>
          <w:tcPr>
            <w:tcW w:type="dxa" w:w="3249"/>
          </w:tcPr>
          <w:p>
            <w:r/>
            <w:r>
              <w:rPr>
                <w:b w:val="0"/>
                <w:i w:val="0"/>
              </w:rPr>
              <w:t>9</w:t>
            </w:r>
          </w:p>
        </w:tc>
        <w:tc>
          <w:tcPr>
            <w:tcW w:type="dxa" w:w="3249"/>
          </w:tcPr>
          <w:p>
            <w:r/>
            <w:r>
              <w:rPr>
                <w:b w:val="0"/>
                <w:i w:val="0"/>
              </w:rPr>
              <w:t>calendario-cumplimiento-legal.xlsx</w:t>
            </w:r>
          </w:p>
        </w:tc>
      </w:tr>
      <w:tr>
        <w:tc>
          <w:tcPr>
            <w:tcW w:type="dxa" w:w="3249"/>
          </w:tcPr>
          <w:p>
            <w:r/>
            <w:r>
              <w:rPr>
                <w:b w:val="0"/>
                <w:i w:val="0"/>
              </w:rPr>
              <w:t>Elijo mal a la gente</w:t>
            </w:r>
          </w:p>
        </w:tc>
        <w:tc>
          <w:tcPr>
            <w:tcW w:type="dxa" w:w="3249"/>
          </w:tcPr>
          <w:p>
            <w:r/>
            <w:r>
              <w:rPr>
                <w:b w:val="0"/>
                <w:i w:val="0"/>
              </w:rPr>
              <w:t>10</w:t>
            </w:r>
          </w:p>
        </w:tc>
        <w:tc>
          <w:tcPr>
            <w:tcW w:type="dxa" w:w="3249"/>
          </w:tcPr>
          <w:p>
            <w:r/>
            <w:r>
              <w:rPr>
                <w:b w:val="0"/>
                <w:i w:val="0"/>
              </w:rPr>
              <w:t>seleccion-scorecard-entrevista.xlsx</w:t>
            </w:r>
          </w:p>
        </w:tc>
      </w:tr>
      <w:tr>
        <w:tc>
          <w:tcPr>
            <w:tcW w:type="dxa" w:w="3249"/>
          </w:tcPr>
          <w:p>
            <w:r/>
            <w:r>
              <w:rPr>
                <w:b w:val="0"/>
                <w:i w:val="0"/>
              </w:rPr>
              <w:t>El cuadrante y el registro me tienen frito</w:t>
            </w:r>
          </w:p>
        </w:tc>
        <w:tc>
          <w:tcPr>
            <w:tcW w:type="dxa" w:w="3249"/>
          </w:tcPr>
          <w:p>
            <w:r/>
            <w:r>
              <w:rPr>
                <w:b w:val="0"/>
                <w:i w:val="0"/>
              </w:rPr>
              <w:t>11</w:t>
            </w:r>
          </w:p>
        </w:tc>
        <w:tc>
          <w:tcPr>
            <w:tcW w:type="dxa" w:w="3249"/>
          </w:tcPr>
          <w:p>
            <w:r/>
            <w:r>
              <w:rPr>
                <w:b w:val="0"/>
                <w:i w:val="0"/>
              </w:rPr>
              <w:t>calendario-cumplimiento-legal.xlsx</w:t>
            </w:r>
          </w:p>
        </w:tc>
      </w:tr>
      <w:tr>
        <w:tc>
          <w:tcPr>
            <w:tcW w:type="dxa" w:w="3249"/>
          </w:tcPr>
          <w:p>
            <w:r/>
            <w:r>
              <w:rPr>
                <w:b w:val="0"/>
                <w:i w:val="0"/>
              </w:rPr>
              <w:t>Piden un permiso y no sé qué contestar</w:t>
            </w:r>
          </w:p>
        </w:tc>
        <w:tc>
          <w:tcPr>
            <w:tcW w:type="dxa" w:w="3249"/>
          </w:tcPr>
          <w:p>
            <w:r/>
            <w:r>
              <w:rPr>
                <w:b w:val="0"/>
                <w:i w:val="0"/>
              </w:rPr>
              <w:t>12</w:t>
            </w:r>
          </w:p>
        </w:tc>
        <w:tc>
          <w:tcPr>
            <w:tcW w:type="dxa" w:w="3249"/>
          </w:tcPr>
          <w:p>
            <w:r/>
            <w:r>
              <w:rPr>
                <w:b w:val="0"/>
                <w:i w:val="0"/>
              </w:rPr>
              <w:t>calendario-cumplimiento-legal.xlsx</w:t>
            </w:r>
          </w:p>
        </w:tc>
      </w:tr>
      <w:tr>
        <w:tc>
          <w:tcPr>
            <w:tcW w:type="dxa" w:w="3249"/>
          </w:tcPr>
          <w:p>
            <w:r/>
            <w:r>
              <w:rPr>
                <w:b w:val="0"/>
                <w:i w:val="0"/>
              </w:rPr>
              <w:t>Se me va la gente y no sé cuánto me cuesta</w:t>
            </w:r>
          </w:p>
        </w:tc>
        <w:tc>
          <w:tcPr>
            <w:tcW w:type="dxa" w:w="3249"/>
          </w:tcPr>
          <w:p>
            <w:r/>
            <w:r>
              <w:rPr>
                <w:b w:val="0"/>
                <w:i w:val="0"/>
              </w:rPr>
              <w:t>13</w:t>
            </w:r>
          </w:p>
        </w:tc>
        <w:tc>
          <w:tcPr>
            <w:tcW w:type="dxa" w:w="3249"/>
          </w:tcPr>
          <w:p>
            <w:r/>
            <w:r>
              <w:rPr>
                <w:b w:val="0"/>
                <w:i w:val="0"/>
              </w:rPr>
              <w:t>matriz-formacion-polivalencia.xlsx</w:t>
            </w:r>
          </w:p>
        </w:tc>
      </w:tr>
      <w:tr>
        <w:tc>
          <w:tcPr>
            <w:tcW w:type="dxa" w:w="3249"/>
          </w:tcPr>
          <w:p>
            <w:r/>
            <w:r>
              <w:rPr>
                <w:b w:val="0"/>
                <w:i w:val="0"/>
              </w:rPr>
              <w:t>Tengo que corregir o despedir a alguien</w:t>
            </w:r>
          </w:p>
        </w:tc>
        <w:tc>
          <w:tcPr>
            <w:tcW w:type="dxa" w:w="3249"/>
          </w:tcPr>
          <w:p>
            <w:r/>
            <w:r>
              <w:rPr>
                <w:b w:val="0"/>
                <w:i w:val="0"/>
              </w:rPr>
              <w:t>14</w:t>
            </w:r>
          </w:p>
        </w:tc>
        <w:tc>
          <w:tcPr>
            <w:tcW w:type="dxa" w:w="3249"/>
          </w:tcPr>
          <w:p>
            <w:r/>
            <w:r>
              <w:rPr>
                <w:b w:val="0"/>
                <w:i w:val="0"/>
              </w:rPr>
              <w:t>calendario-cumplimiento-legal.xlsx</w:t>
            </w:r>
          </w:p>
        </w:tc>
      </w:tr>
      <w:tr>
        <w:tc>
          <w:tcPr>
            <w:tcW w:type="dxa" w:w="3249"/>
          </w:tcPr>
          <w:p>
            <w:r/>
            <w:r>
              <w:rPr>
                <w:b w:val="0"/>
                <w:i w:val="0"/>
              </w:rPr>
              <w:t>Somos pocos, ¿esto también me obliga?</w:t>
            </w:r>
          </w:p>
        </w:tc>
        <w:tc>
          <w:tcPr>
            <w:tcW w:type="dxa" w:w="3249"/>
          </w:tcPr>
          <w:p>
            <w:r/>
            <w:r>
              <w:rPr>
                <w:b w:val="0"/>
                <w:i w:val="0"/>
              </w:rPr>
              <w:t>15</w:t>
            </w:r>
          </w:p>
        </w:tc>
        <w:tc>
          <w:tcPr>
            <w:tcW w:type="dxa" w:w="3249"/>
          </w:tcPr>
          <w:p>
            <w:r/>
            <w:r>
              <w:rPr>
                <w:b w:val="0"/>
                <w:i w:val="0"/>
              </w:rPr>
              <w:t>calendario-cumplimiento-legal.xlsx</w:t>
            </w:r>
          </w:p>
        </w:tc>
      </w:tr>
      <w:tr>
        <w:tc>
          <w:tcPr>
            <w:tcW w:type="dxa" w:w="3249"/>
          </w:tcPr>
          <w:p>
            <w:r/>
            <w:r>
              <w:rPr>
                <w:b w:val="0"/>
                <w:i w:val="0"/>
              </w:rPr>
              <w:t>Cocina y sala están enfrentadas</w:t>
            </w:r>
          </w:p>
        </w:tc>
        <w:tc>
          <w:tcPr>
            <w:tcW w:type="dxa" w:w="3249"/>
          </w:tcPr>
          <w:p>
            <w:r/>
            <w:r>
              <w:rPr>
                <w:b w:val="0"/>
                <w:i w:val="0"/>
              </w:rPr>
              <w:t>16</w:t>
            </w:r>
          </w:p>
        </w:tc>
        <w:tc>
          <w:tcPr>
            <w:tcW w:type="dxa" w:w="3249"/>
          </w:tcPr>
          <w:p>
            <w:r/>
            <w:r>
              <w:rPr>
                <w:b w:val="0"/>
                <w:i w:val="0"/>
              </w:rPr>
              <w:t>reuniones-acuerdos-plan-90-dias.xlsx</w:t>
            </w:r>
          </w:p>
        </w:tc>
      </w:tr>
      <w:tr>
        <w:tc>
          <w:tcPr>
            <w:tcW w:type="dxa" w:w="3249"/>
          </w:tcPr>
          <w:p>
            <w:r/>
            <w:r>
              <w:rPr>
                <w:b w:val="0"/>
                <w:i w:val="0"/>
              </w:rPr>
              <w:t>Las quejas y las reseñas me superan</w:t>
            </w:r>
          </w:p>
        </w:tc>
        <w:tc>
          <w:tcPr>
            <w:tcW w:type="dxa" w:w="3249"/>
          </w:tcPr>
          <w:p>
            <w:r/>
            <w:r>
              <w:rPr>
                <w:b w:val="0"/>
                <w:i w:val="0"/>
              </w:rPr>
              <w:t>17</w:t>
            </w:r>
          </w:p>
        </w:tc>
        <w:tc>
          <w:tcPr>
            <w:tcW w:type="dxa" w:w="3249"/>
          </w:tcPr>
          <w:p>
            <w:r/>
            <w:r>
              <w:rPr>
                <w:b w:val="0"/>
                <w:i w:val="0"/>
              </w:rPr>
              <w:t>quejas-reclamaciones-resenas.xlsx</w:t>
            </w:r>
          </w:p>
        </w:tc>
      </w:tr>
      <w:tr>
        <w:tc>
          <w:tcPr>
            <w:tcW w:type="dxa" w:w="3249"/>
          </w:tcPr>
          <w:p>
            <w:r/>
            <w:r>
              <w:rPr>
                <w:b w:val="0"/>
                <w:i w:val="0"/>
              </w:rPr>
              <w:t>Reservas que no aparecen</w:t>
            </w:r>
          </w:p>
        </w:tc>
        <w:tc>
          <w:tcPr>
            <w:tcW w:type="dxa" w:w="3249"/>
          </w:tcPr>
          <w:p>
            <w:r/>
            <w:r>
              <w:rPr>
                <w:b w:val="0"/>
                <w:i w:val="0"/>
              </w:rPr>
              <w:t>18</w:t>
            </w:r>
          </w:p>
        </w:tc>
        <w:tc>
          <w:tcPr>
            <w:tcW w:type="dxa" w:w="3249"/>
          </w:tcPr>
          <w:p>
            <w:r/>
            <w:r>
              <w:rPr>
                <w:b w:val="0"/>
                <w:i w:val="0"/>
              </w:rPr>
              <w:t>quejas-reclamaciones-resenas.xlsx</w:t>
            </w:r>
          </w:p>
        </w:tc>
      </w:tr>
      <w:tr>
        <w:tc>
          <w:tcPr>
            <w:tcW w:type="dxa" w:w="3249"/>
          </w:tcPr>
          <w:p>
            <w:r/>
            <w:r>
              <w:rPr>
                <w:b w:val="0"/>
                <w:i w:val="0"/>
              </w:rPr>
              <w:t>Viene una inspección y no sé qué me van a pedir</w:t>
            </w:r>
          </w:p>
        </w:tc>
        <w:tc>
          <w:tcPr>
            <w:tcW w:type="dxa" w:w="3249"/>
          </w:tcPr>
          <w:p>
            <w:r/>
            <w:r>
              <w:rPr>
                <w:b w:val="0"/>
                <w:i w:val="0"/>
              </w:rPr>
              <w:t>19</w:t>
            </w:r>
          </w:p>
        </w:tc>
        <w:tc>
          <w:tcPr>
            <w:tcW w:type="dxa" w:w="3249"/>
          </w:tcPr>
          <w:p>
            <w:r/>
            <w:r>
              <w:rPr>
                <w:b w:val="0"/>
                <w:i w:val="0"/>
              </w:rPr>
              <w:t>calendario-cumplimiento-legal.xlsx</w:t>
            </w:r>
          </w:p>
        </w:tc>
      </w:tr>
      <w:tr>
        <w:tc>
          <w:tcPr>
            <w:tcW w:type="dxa" w:w="3249"/>
          </w:tcPr>
          <w:p>
            <w:r/>
            <w:r>
              <w:rPr>
                <w:b w:val="0"/>
                <w:i w:val="0"/>
              </w:rPr>
              <w:t>Tengo el diagnóstico y no lo aplico</w:t>
            </w:r>
          </w:p>
        </w:tc>
        <w:tc>
          <w:tcPr>
            <w:tcW w:type="dxa" w:w="3249"/>
          </w:tcPr>
          <w:p>
            <w:r/>
            <w:r>
              <w:rPr>
                <w:b w:val="0"/>
                <w:i w:val="0"/>
              </w:rPr>
              <w:t>20</w:t>
            </w:r>
          </w:p>
        </w:tc>
        <w:tc>
          <w:tcPr>
            <w:tcW w:type="dxa" w:w="3249"/>
          </w:tcPr>
          <w:p>
            <w:r/>
            <w:r>
              <w:rPr>
                <w:b w:val="0"/>
                <w:i w:val="0"/>
              </w:rPr>
              <w:t>reuniones-acuerdos-plan-90-dias.xlsx</w:t>
            </w:r>
          </w:p>
        </w:tc>
      </w:tr>
    </w:tbl>
    <w:p/>
    <w:p>
      <w:pPr>
        <w:jc w:val="center"/>
      </w:pPr>
      <w:r>
        <w:rPr>
          <w:i/>
          <w:color w:val="444444"/>
        </w:rPr>
        <w:t>Los siete libros comparten el mismo restaurante modelado y la misma plantilla, así que puedes saltar al capítulo que te interese sin perder el hilo de las cifras.</w:t>
      </w:r>
    </w:p>
    <w:p>
      <w:r>
        <w:rPr>
          <w:b/>
          <w:i w:val="0"/>
        </w:rPr>
        <w:t>Qué incluye este pack y qué está en otro producto del catálogo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Lo que necesitas</w:t>
            </w:r>
          </w:p>
        </w:tc>
        <w:tc>
          <w:tcPr>
            <w:tcW w:type="dxa" w:w="3249"/>
          </w:tcPr>
          <w:p>
            <w:r/>
            <w:r>
              <w:rPr>
                <w:b/>
                <w:i w:val="0"/>
              </w:rPr>
              <w:t>Dónde está</w:t>
            </w:r>
          </w:p>
        </w:tc>
        <w:tc>
          <w:tcPr>
            <w:tcW w:type="dxa" w:w="3249"/>
          </w:tcPr>
          <w:p>
            <w:r/>
            <w:r>
              <w:rPr>
                <w:b/>
                <w:i w:val="0"/>
              </w:rPr>
              <w:t>Qué hace este manual con ello</w:t>
            </w:r>
          </w:p>
        </w:tc>
      </w:tr>
      <w:tr>
        <w:tc>
          <w:tcPr>
            <w:tcW w:type="dxa" w:w="3249"/>
          </w:tcPr>
          <w:p>
            <w:r/>
            <w:r>
              <w:rPr>
                <w:b w:val="0"/>
                <w:i w:val="0"/>
              </w:rPr>
              <w:t>Cuadro de mando semanal, KPI y definiciones</w:t>
            </w:r>
          </w:p>
        </w:tc>
        <w:tc>
          <w:tcPr>
            <w:tcW w:type="dxa" w:w="3249"/>
          </w:tcPr>
          <w:p>
            <w:r/>
            <w:r>
              <w:rPr>
                <w:b w:val="0"/>
                <w:i w:val="0"/>
              </w:rPr>
              <w:t>En este pack</w:t>
            </w:r>
          </w:p>
        </w:tc>
        <w:tc>
          <w:tcPr>
            <w:tcW w:type="dxa" w:w="3249"/>
          </w:tcPr>
          <w:p>
            <w:r/>
            <w:r>
              <w:rPr>
                <w:b w:val="0"/>
                <w:i w:val="0"/>
              </w:rPr>
              <w:t>Caps. 2, 3, 4 y 6</w:t>
            </w:r>
          </w:p>
        </w:tc>
      </w:tr>
      <w:tr>
        <w:tc>
          <w:tcPr>
            <w:tcW w:type="dxa" w:w="3249"/>
          </w:tcPr>
          <w:p>
            <w:r/>
            <w:r>
              <w:rPr>
                <w:b w:val="0"/>
                <w:i w:val="0"/>
              </w:rPr>
              <w:t>Matriz de polivalencia y coste de una baja</w:t>
            </w:r>
          </w:p>
        </w:tc>
        <w:tc>
          <w:tcPr>
            <w:tcW w:type="dxa" w:w="3249"/>
          </w:tcPr>
          <w:p>
            <w:r/>
            <w:r>
              <w:rPr>
                <w:b w:val="0"/>
                <w:i w:val="0"/>
              </w:rPr>
              <w:t>En este pack</w:t>
            </w:r>
          </w:p>
        </w:tc>
        <w:tc>
          <w:tcPr>
            <w:tcW w:type="dxa" w:w="3249"/>
          </w:tcPr>
          <w:p>
            <w:r/>
            <w:r>
              <w:rPr>
                <w:b w:val="0"/>
                <w:i w:val="0"/>
              </w:rPr>
              <w:t>Cap. 13</w:t>
            </w:r>
          </w:p>
        </w:tc>
      </w:tr>
      <w:tr>
        <w:tc>
          <w:tcPr>
            <w:tcW w:type="dxa" w:w="3249"/>
          </w:tcPr>
          <w:p>
            <w:r/>
            <w:r>
              <w:rPr>
                <w:b w:val="0"/>
                <w:i w:val="0"/>
              </w:rPr>
              <w:t>Quejas, reclamaciones formales y reseñas</w:t>
            </w:r>
          </w:p>
        </w:tc>
        <w:tc>
          <w:tcPr>
            <w:tcW w:type="dxa" w:w="3249"/>
          </w:tcPr>
          <w:p>
            <w:r/>
            <w:r>
              <w:rPr>
                <w:b w:val="0"/>
                <w:i w:val="0"/>
              </w:rPr>
              <w:t>En este pack</w:t>
            </w:r>
          </w:p>
        </w:tc>
        <w:tc>
          <w:tcPr>
            <w:tcW w:type="dxa" w:w="3249"/>
          </w:tcPr>
          <w:p>
            <w:r/>
            <w:r>
              <w:rPr>
                <w:b w:val="0"/>
                <w:i w:val="0"/>
              </w:rPr>
              <w:t>Caps. 17 y 18</w:t>
            </w:r>
          </w:p>
        </w:tc>
      </w:tr>
      <w:tr>
        <w:tc>
          <w:tcPr>
            <w:tcW w:type="dxa" w:w="3249"/>
          </w:tcPr>
          <w:p>
            <w:r/>
            <w:r>
              <w:rPr>
                <w:b w:val="0"/>
                <w:i w:val="0"/>
              </w:rPr>
              <w:t>Scorecard de selección y guion de entrevista</w:t>
            </w:r>
          </w:p>
        </w:tc>
        <w:tc>
          <w:tcPr>
            <w:tcW w:type="dxa" w:w="3249"/>
          </w:tcPr>
          <w:p>
            <w:r/>
            <w:r>
              <w:rPr>
                <w:b w:val="0"/>
                <w:i w:val="0"/>
              </w:rPr>
              <w:t>En este pack</w:t>
            </w:r>
          </w:p>
        </w:tc>
        <w:tc>
          <w:tcPr>
            <w:tcW w:type="dxa" w:w="3249"/>
          </w:tcPr>
          <w:p>
            <w:r/>
            <w:r>
              <w:rPr>
                <w:b w:val="0"/>
                <w:i w:val="0"/>
              </w:rPr>
              <w:t>Cap. 10</w:t>
            </w:r>
          </w:p>
        </w:tc>
      </w:tr>
      <w:tr>
        <w:tc>
          <w:tcPr>
            <w:tcW w:type="dxa" w:w="3249"/>
          </w:tcPr>
          <w:p>
            <w:r/>
            <w:r>
              <w:rPr>
                <w:b w:val="0"/>
                <w:i w:val="0"/>
              </w:rPr>
              <w:t>Calendario legal, topes, permisos y régimen disciplinario</w:t>
            </w:r>
          </w:p>
        </w:tc>
        <w:tc>
          <w:tcPr>
            <w:tcW w:type="dxa" w:w="3249"/>
          </w:tcPr>
          <w:p>
            <w:r/>
            <w:r>
              <w:rPr>
                <w:b w:val="0"/>
                <w:i w:val="0"/>
              </w:rPr>
              <w:t>En este pack</w:t>
            </w:r>
          </w:p>
        </w:tc>
        <w:tc>
          <w:tcPr>
            <w:tcW w:type="dxa" w:w="3249"/>
          </w:tcPr>
          <w:p>
            <w:r/>
            <w:r>
              <w:rPr>
                <w:b w:val="0"/>
                <w:i w:val="0"/>
              </w:rPr>
              <w:t>Caps. 8, 9, 11, 12, 14, 15, 19 y 20</w:t>
            </w:r>
          </w:p>
        </w:tc>
      </w:tr>
      <w:tr>
        <w:tc>
          <w:tcPr>
            <w:tcW w:type="dxa" w:w="3249"/>
          </w:tcPr>
          <w:p>
            <w:r/>
            <w:r>
              <w:rPr>
                <w:b w:val="0"/>
                <w:i w:val="0"/>
              </w:rPr>
              <w:t>Reuniones, acuerdos y plan de 90 días</w:t>
            </w:r>
          </w:p>
        </w:tc>
        <w:tc>
          <w:tcPr>
            <w:tcW w:type="dxa" w:w="3249"/>
          </w:tcPr>
          <w:p>
            <w:r/>
            <w:r>
              <w:rPr>
                <w:b w:val="0"/>
                <w:i w:val="0"/>
              </w:rPr>
              <w:t>En este pack</w:t>
            </w:r>
          </w:p>
        </w:tc>
        <w:tc>
          <w:tcPr>
            <w:tcW w:type="dxa" w:w="3249"/>
          </w:tcPr>
          <w:p>
            <w:r/>
            <w:r>
              <w:rPr>
                <w:b w:val="0"/>
                <w:i w:val="0"/>
              </w:rPr>
              <w:t>Caps. 7, 16 y 20</w:t>
            </w:r>
          </w:p>
        </w:tc>
      </w:tr>
      <w:tr>
        <w:tc>
          <w:tcPr>
            <w:tcW w:type="dxa" w:w="3249"/>
          </w:tcPr>
          <w:p>
            <w:r/>
            <w:r>
              <w:rPr>
                <w:b w:val="0"/>
                <w:i w:val="0"/>
              </w:rPr>
              <w:t>Auditoría interna de servicio</w:t>
            </w:r>
          </w:p>
        </w:tc>
        <w:tc>
          <w:tcPr>
            <w:tcW w:type="dxa" w:w="3249"/>
          </w:tcPr>
          <w:p>
            <w:r/>
            <w:r>
              <w:rPr>
                <w:b w:val="0"/>
                <w:i w:val="0"/>
              </w:rPr>
              <w:t>En este pack</w:t>
            </w:r>
          </w:p>
        </w:tc>
        <w:tc>
          <w:tcPr>
            <w:tcW w:type="dxa" w:w="3249"/>
          </w:tcPr>
          <w:p>
            <w:r/>
            <w:r>
              <w:rPr>
                <w:b w:val="0"/>
                <w:i w:val="0"/>
              </w:rPr>
              <w:t>Caps. 5 y 20</w:t>
            </w:r>
          </w:p>
        </w:tc>
      </w:tr>
      <w:tr>
        <w:tc>
          <w:tcPr>
            <w:tcW w:type="dxa" w:w="3249"/>
          </w:tcPr>
          <w:p>
            <w:r/>
            <w:r>
              <w:rPr>
                <w:b w:val="0"/>
                <w:i w:val="0"/>
              </w:rPr>
              <w:t>Checklists de apertura, servicio y cierre</w:t>
            </w:r>
          </w:p>
        </w:tc>
        <w:tc>
          <w:tcPr>
            <w:tcW w:type="dxa" w:w="3249"/>
          </w:tcPr>
          <w:p>
            <w:r/>
            <w:r>
              <w:rPr>
                <w:b w:val="0"/>
                <w:i w:val="0"/>
              </w:rPr>
              <w:t>Kit de Tareas</w:t>
            </w:r>
          </w:p>
        </w:tc>
        <w:tc>
          <w:tcPr>
            <w:tcW w:type="dxa" w:w="3249"/>
          </w:tcPr>
          <w:p>
            <w:r/>
            <w:r>
              <w:rPr>
                <w:b w:val="0"/>
                <w:i w:val="0"/>
              </w:rPr>
              <w:t>Se cita en el cap. 5; aquí va el criterio, no la lista</w:t>
            </w:r>
          </w:p>
        </w:tc>
      </w:tr>
      <w:tr>
        <w:tc>
          <w:tcPr>
            <w:tcW w:type="dxa" w:w="3249"/>
          </w:tcPr>
          <w:p>
            <w:r/>
            <w:r>
              <w:rPr>
                <w:b w:val="0"/>
                <w:i w:val="0"/>
              </w:rPr>
              <w:t>Arqueo de caja diario</w:t>
            </w:r>
          </w:p>
        </w:tc>
        <w:tc>
          <w:tcPr>
            <w:tcW w:type="dxa" w:w="3249"/>
          </w:tcPr>
          <w:p>
            <w:r/>
            <w:r>
              <w:rPr>
                <w:b w:val="0"/>
                <w:i w:val="0"/>
              </w:rPr>
              <w:t>Kit de Tareas</w:t>
            </w:r>
          </w:p>
        </w:tc>
        <w:tc>
          <w:tcPr>
            <w:tcW w:type="dxa" w:w="3249"/>
          </w:tcPr>
          <w:p>
            <w:r/>
            <w:r>
              <w:rPr>
                <w:b w:val="0"/>
                <w:i w:val="0"/>
              </w:rPr>
              <w:t>Se cita en el cap. 6</w:t>
            </w:r>
          </w:p>
        </w:tc>
      </w:tr>
      <w:tr>
        <w:tc>
          <w:tcPr>
            <w:tcW w:type="dxa" w:w="3249"/>
          </w:tcPr>
          <w:p>
            <w:r/>
            <w:r>
              <w:rPr>
                <w:b w:val="0"/>
                <w:i w:val="0"/>
              </w:rPr>
              <w:t>Cuadrante de turnos y control de horas</w:t>
            </w:r>
          </w:p>
        </w:tc>
        <w:tc>
          <w:tcPr>
            <w:tcW w:type="dxa" w:w="3249"/>
          </w:tcPr>
          <w:p>
            <w:r/>
            <w:r>
              <w:rPr>
                <w:b w:val="0"/>
                <w:i w:val="0"/>
              </w:rPr>
              <w:t>Kit de Gestión de Personal</w:t>
            </w:r>
          </w:p>
        </w:tc>
        <w:tc>
          <w:tcPr>
            <w:tcW w:type="dxa" w:w="3249"/>
          </w:tcPr>
          <w:p>
            <w:r/>
            <w:r>
              <w:rPr>
                <w:b w:val="0"/>
                <w:i w:val="0"/>
              </w:rPr>
              <w:t>Se cita en el cap. 11</w:t>
            </w:r>
          </w:p>
        </w:tc>
      </w:tr>
      <w:tr>
        <w:tc>
          <w:tcPr>
            <w:tcW w:type="dxa" w:w="3249"/>
          </w:tcPr>
          <w:p>
            <w:r/>
            <w:r>
              <w:rPr>
                <w:b w:val="0"/>
                <w:i w:val="0"/>
              </w:rPr>
              <w:t>Coste laboral por persona, onboarding, vacaciones y evaluación</w:t>
            </w:r>
          </w:p>
        </w:tc>
        <w:tc>
          <w:tcPr>
            <w:tcW w:type="dxa" w:w="3249"/>
          </w:tcPr>
          <w:p>
            <w:r/>
            <w:r>
              <w:rPr>
                <w:b w:val="0"/>
                <w:i w:val="0"/>
              </w:rPr>
              <w:t>Kit de Gestión de Personal</w:t>
            </w:r>
          </w:p>
        </w:tc>
        <w:tc>
          <w:tcPr>
            <w:tcW w:type="dxa" w:w="3249"/>
          </w:tcPr>
          <w:p>
            <w:r/>
            <w:r>
              <w:rPr>
                <w:b w:val="0"/>
                <w:i w:val="0"/>
              </w:rPr>
              <w:t>Se cita en los caps. 4, 10, 12 y 14</w:t>
            </w:r>
          </w:p>
        </w:tc>
      </w:tr>
      <w:tr>
        <w:tc>
          <w:tcPr>
            <w:tcW w:type="dxa" w:w="3249"/>
          </w:tcPr>
          <w:p>
            <w:r/>
            <w:r>
              <w:rPr>
                <w:b w:val="0"/>
                <w:i w:val="0"/>
              </w:rPr>
              <w:t>Registros de APPCC, limpieza y temperaturas</w:t>
            </w:r>
          </w:p>
        </w:tc>
        <w:tc>
          <w:tcPr>
            <w:tcW w:type="dxa" w:w="3249"/>
          </w:tcPr>
          <w:p>
            <w:r/>
            <w:r>
              <w:rPr>
                <w:b w:val="0"/>
                <w:i w:val="0"/>
              </w:rPr>
              <w:t>Pack APPCC</w:t>
            </w:r>
          </w:p>
        </w:tc>
        <w:tc>
          <w:tcPr>
            <w:tcW w:type="dxa" w:w="3249"/>
          </w:tcPr>
          <w:p>
            <w:r/>
            <w:r>
              <w:rPr>
                <w:b w:val="0"/>
                <w:i w:val="0"/>
              </w:rPr>
              <w:t>Se cita en el cap. 19</w:t>
            </w:r>
          </w:p>
        </w:tc>
      </w:tr>
      <w:tr>
        <w:tc>
          <w:tcPr>
            <w:tcW w:type="dxa" w:w="3249"/>
          </w:tcPr>
          <w:p>
            <w:r/>
            <w:r>
              <w:rPr>
                <w:b w:val="0"/>
                <w:i w:val="0"/>
              </w:rPr>
              <w:t>Escandallo, precios y matriz de carta</w:t>
            </w:r>
          </w:p>
        </w:tc>
        <w:tc>
          <w:tcPr>
            <w:tcW w:type="dxa" w:w="3249"/>
          </w:tcPr>
          <w:p>
            <w:r/>
            <w:r>
              <w:rPr>
                <w:b w:val="0"/>
                <w:i w:val="0"/>
              </w:rPr>
              <w:t>Guía Food Cost + Ingeniería de Menú</w:t>
            </w:r>
          </w:p>
        </w:tc>
        <w:tc>
          <w:tcPr>
            <w:tcW w:type="dxa" w:w="3249"/>
          </w:tcPr>
          <w:p>
            <w:r/>
            <w:r>
              <w:rPr>
                <w:b w:val="0"/>
                <w:i w:val="0"/>
              </w:rPr>
              <w:t>Se cita en los caps. 4 y 6</w:t>
            </w:r>
          </w:p>
        </w:tc>
      </w:tr>
    </w:tbl>
    <w:p/>
    <w:p>
      <w:pPr>
        <w:jc w:val="center"/>
      </w:pPr>
      <w:r>
        <w:rPr>
          <w:i/>
          <w:color w:val="444444"/>
        </w:rPr>
        <w:t>Este manual no reproduce ninguna de las plantillas de la columna de la derecha: las cita por su nombre y explica qué decisión se toma con lo que sale de ellas. Quien tenga los dos productos no duplica nada.</w:t>
      </w:r>
    </w:p>
    <w:p>
      <w:r>
        <w:br w:type="page"/>
      </w:r>
    </w:p>
    <w:p>
      <w:pPr>
        <w:pStyle w:val="Heading1"/>
      </w:pPr>
      <w:r>
        <w:t>2. Los Números que Gobiernan tu Turno: las Definiciones que Casi Nadie Distingue</w:t>
      </w:r>
    </w:p>
    <w:p>
      <w:pPr>
        <w:pStyle w:val="Heading2"/>
      </w:pPr>
      <w:r>
        <w:t>Ventas netas, consumo y food cost: qué entra y qué no entra</w:t>
      </w:r>
    </w:p>
    <w:p>
      <w:r>
        <w:rPr>
          <w:b w:val="0"/>
          <w:i w:val="0"/>
        </w:rPr>
        <w:t>Casi todos los errores de gestión de un restaurante empiezan en una definición, no en una decisión. Quien llama ticket medio al gasto por cubierto toma decisiones de carta con el número equivocado: indicadores de nombre parecido que miden cosas distintas, el hilo de este capítulo. El primer trío a separar: ventas netas, consumo de materia prima y food cost.</w:t>
      </w:r>
    </w:p>
    <w:p>
      <w:r>
        <w:rPr>
          <w:b w:val="0"/>
          <w:i w:val="0"/>
        </w:rPr>
        <w:t>Las ventas netas son la facturación del periodo sin el IVA repercutido ni las anulaciones de comanda; en La Encina, el año cerró con 1.226.661 € de ventas netas, base de los porcentajes del capítulo. El consumo de materia prima no son las compras del periodo. Al consumo entra:</w:t>
      </w:r>
    </w:p>
    <w:p>
      <w:pPr>
        <w:pStyle w:val="ListBullet"/>
      </w:pPr>
      <w:r>
        <w:rPr>
          <w:b w:val="0"/>
          <w:i w:val="0"/>
        </w:rPr>
        <w:t>el stock inicial de almacén y cámaras al empezar el periodo;</w:t>
      </w:r>
    </w:p>
    <w:p>
      <w:pPr>
        <w:pStyle w:val="ListBullet"/>
      </w:pPr>
      <w:r>
        <w:rPr>
          <w:b w:val="0"/>
          <w:i w:val="0"/>
        </w:rPr>
        <w:t>más las compras registradas dentro del periodo;</w:t>
      </w:r>
    </w:p>
    <w:p>
      <w:pPr>
        <w:pStyle w:val="ListBullet"/>
      </w:pPr>
      <w:r>
        <w:rPr>
          <w:b w:val="0"/>
          <w:i w:val="0"/>
        </w:rPr>
        <w:t>menos el stock final al cerrarlo.</w:t>
      </w:r>
    </w:p>
    <w:p>
      <w:r>
        <w:rPr>
          <w:b w:val="0"/>
          <w:i w:val="0"/>
        </w:rPr>
        <w:t>Confundir consumo con compras es el error más caro de los tres: si el almacén sube o baja de un mes a otro, la factura de proveedor ya no refleja lo que ha salido de cocina; un pedido grande antes de un puente infla el gasto sin subir el consumo real, y tirar de stock enseña un consumo que no se sostiene después. El consumo del año de La Encina fue de 389.464 €, numerador del food cost, nunca el total de facturas del periodo.</w:t>
      </w:r>
    </w:p>
    <w:p>
      <w:r>
        <w:rPr>
          <w:b w:val="0"/>
          <w:i w:val="0"/>
        </w:rPr>
        <w:t>El food cost del año, ponderado, cerró en el 31,7 %, de dividir ese consumo real entre las ventas netas del periodo: no es la media simple de los food cost de cada plato ni de cada semana, porque pesa más la referencia que más se vende. El de un evento flojo no dice nada por sí solo: sobre la compra manda el food cost ponderado ya cerrado.</w:t>
      </w:r>
    </w:p>
    <w:p>
      <w:pPr>
        <w:pStyle w:val="Heading2"/>
      </w:pPr>
      <w:r>
        <w:t>Coste de personal: del bruto a lo que sale de la caja</w:t>
      </w:r>
    </w:p>
    <w:p>
      <w:r>
        <w:rPr>
          <w:b w:val="0"/>
          <w:i w:val="0"/>
        </w:rPr>
        <w:t>El coste de personal tampoco es la nómina (planilla) bruta de cada trabajador: es el bruto más la cotización a la Seguridad Social a cargo de la empresa, y quedarse en el bruto deja fuera casi un tercio del coste real de cada puesto. Ese desglose se ve más adelante en el manual: comparar puestos nunca es cosa del bruto, sino del coste-empresa completo que sale de caja cada mes. En La Encina, el coste de personal con Seguridad Social del año fue de 380.531 €, numerador del labor cost, igual que el consumo real -no las compras- lo es del food cost.</w:t>
      </w:r>
    </w:p>
    <w:p>
      <w:r>
        <w:rPr>
          <w:b w:val="0"/>
          <w:i w:val="0"/>
        </w:rPr>
        <w:t>El labor cost del año, ponderado, cerró en el 31,0 %. Sirve de referencia la Encuesta Anual de Coste Laboral, resultados por secciones de la CNAE-09 (INE, 2025): el coste laboral bruto por trabajador y año en hostelería es el más bajo de las 18 secciones de actividad, un 61 % de la media nacional -23.690,02 € frente a 38.748,94 € de media-, y los sueldos son también los más bajos de todas las secciones. Es un dato de bruto por trabajador, no de labor cost sobre ventas, pero explica el peso del personal en la cuenta pese a ser, en términos absolutos, de las partidas más bajas del país.</w:t>
      </w:r>
    </w:p>
    <w:p>
      <w:pPr>
        <w:pStyle w:val="Heading2"/>
      </w:pPr>
      <w:r>
        <w:t>Prime cost y margen tras prime cost</w:t>
      </w:r>
    </w:p>
    <w:p>
      <w:r>
        <w:rPr>
          <w:b w:val="0"/>
          <w:i w:val="0"/>
        </w:rPr>
        <w:t>El prime cost suma el food cost y el labor cost del mismo periodo: en La Encina, ya con esa suma hecha en la herramienta, el año cerró con un food cost del 31,7 %, un labor cost del 31,0 % y un prime cost del 62,8 %, el indicador que dice si el negocio aguanta, al juntar en un número sus dos partidas variables más grandes. El margen tras prime cost del año fue de 456.666 €, y no es el beneficio: de ahí no ha salido el alquiler, los suministros, los seguros ni la amortización del equipo; es lo que queda para pagar todo lo demás, no lo que se lleva el propietario.</w:t>
      </w:r>
    </w:p>
    <w:p>
      <w:r>
        <w:rPr>
          <w:b w:val="0"/>
          <w:i w:val="0"/>
        </w:rPr>
        <w:t>Para situar el 62,8 % sirve una referencia externa, con dos cautelas. CaixaBankLab, con elBullifoundation, en «Consumos y beneficios de un restaurante» (2017, revisado en 2022), sitúa el producto en el 30 % de la venta -28 % en comida, 34,5 % en bebida-, el personal en el 30-35 % en servicio integrado y en el 15-25 % en parcial, el alquiler hasta el 5 %, los gastos generales en el 17 % y un EBITDA que llama sano en el 10-13 %. Cautela de vocabulario: la fuente habla de integrado y parcial, nunca de barra ni autoservicio; esa equivalencia no es suya. Cautela de aritmética: sus tramos -30, 32,5, 5 y 17- suman 15,5 %, no el 10-13 % que anuncia; el EBITDA se cita como afirmación suya, no como resultado recalculable.</w:t>
      </w:r>
    </w:p>
    <w:p>
      <w:r>
        <w:rPr>
          <w:b w:val="0"/>
          <w:i w:val="0"/>
        </w:rPr>
        <w:t>De esa estructura sale el criterio de la casa: un umbral del 65 % en servicio en mesa y del 55 % en barra o autoservicio no es cifra oficial española ni convención de software, sino un límite de esa referencia, presentado como criterio de la casa. Con un prime cost del 62,8 %, La Encina opera bajo el umbral de servicio en mesa: margen para aguantar una subida de precio de proveedor sin tocar la carta.</w:t>
      </w:r>
    </w:p>
    <w:p>
      <w:pPr>
        <w:pStyle w:val="Heading2"/>
      </w:pPr>
      <w:r>
        <w:t>Ticket medio, gasto por cubierto y ventas por hora: tres cosas distintas</w:t>
      </w:r>
    </w:p>
    <w:p>
      <w:r>
        <w:rPr>
          <w:b w:val="0"/>
          <w:i w:val="0"/>
        </w:rPr>
        <w:t>El ticket medio, el gasto por cubierto y las ventas por hora trabajada miden tres cosas distintas, y confundirlos es el error con el que se abre este capítulo: quien llama ticket medio al gasto por cubierto toma decisiones de carta con el número equivocado. El ticket medio es el importe medio de cada mesa o cada comanda cerrada; el gasto por cubierto es ese mismo importe repartido entre los comensales sentados en la mesa, y por eso siempre es igual o menor que el ticket medio. En La Encina, el ticket medio del año fue de 55,10 €, y el gasto medio por cubierto, de 26,25 €. Usar el ticket medio para fijar el precio de un plato piensa en la mesa; usar el gasto por cubierto piensa en la persona, y es el que hay que mirar para comparar la carta de un servicio con la de otro, porque el número de comensales por mesa cambia de un día para otro. Una noche con mesas más numerosas sube el ticket medio sin que haya subido lo que cada comensal deja en el local, y decidir sobre la carta con ese ticket inflado por el tamaño de grupo esconde lo que de verdad paga cada persona.</w:t>
      </w:r>
    </w:p>
    <w:p>
      <w:r>
        <w:rPr>
          <w:b w:val="0"/>
          <w:i w:val="0"/>
        </w:rPr>
        <w:t>Las ventas por hora trabajada miden algo distinto todavía: cuánto factura el negocio por cada hora que la plantilla ha estado en el turno, no por cada hora que el local ha estado abierto. En La Encina, las ventas por hora trabajada del año fueron de 52,28 €. Confundir esta cifra con los cubiertos por hora de apertura es el segundo error del capítulo: la primera mide cómo rinde la plantilla que está trabajando, y la segunda mide la demanda de la sala (salón), que depende de la ubicación y de la reserva, no del servicio.</w:t>
      </w:r>
    </w:p>
    <w:p>
      <w:r>
        <w:rPr>
          <w:b w:val="0"/>
          <w:i w:val="0"/>
        </w:rPr>
        <w:t>Para situar el ticket medio de La Encina sirve una referencia sectorial, con varias acotaciones. Según el Informe Sectorial Turismo (CaixaBank Research, 16 de enero de 2025), el ticket medio de la restauración española, medido sobre pagos con tarjeta, fue de 21 €, con Baleares en el máximo (35 €) y Álava en el mínimo (16,5 €). Son datos de 2024, media de enero a septiembre, y no del primer semestre de 2025 (CaixaBank Research, 2025); excluyen el efectivo y reflejan la cuota de mercado de una sola entidad financiera. Es el ticket de toda la restauración española, y no se puede extrapolar a la alta cocina, segmento del que no existe cifra pública fiable. El de La Encina, 55,10 €, queda muy por encima de esa media nacional, que mezcla bajo un mismo dato todos los formatos de restauración.</w:t>
      </w:r>
    </w:p>
    <w:p>
      <w:pPr>
        <w:pStyle w:val="Heading2"/>
      </w:pPr>
      <w:r>
        <w:t>Rotación, absentismo y temporalidad no son sinónimos</w:t>
      </w:r>
    </w:p>
    <w:p>
      <w:r>
        <w:rPr>
          <w:b w:val="0"/>
          <w:i w:val="0"/>
        </w:rPr>
        <w:t>La rotación, el absentismo y la temporalidad son tres indicadores de personas que se usan como sinónimos sin serlo, y mezclarlos es lo que hace circular cifras que nadie puede sostener con un cálculo detrás:</w:t>
      </w:r>
    </w:p>
    <w:p>
      <w:pPr>
        <w:pStyle w:val="ListBullet"/>
      </w:pPr>
      <w:r>
        <w:rPr>
          <w:b w:val="0"/>
          <w:i w:val="0"/>
        </w:rPr>
        <w:t>la rotación mide las bajas de plantilla sobre la plantilla media del periodo;</w:t>
      </w:r>
    </w:p>
    <w:p>
      <w:pPr>
        <w:pStyle w:val="ListBullet"/>
      </w:pPr>
      <w:r>
        <w:rPr>
          <w:b w:val="0"/>
          <w:i w:val="0"/>
        </w:rPr>
        <w:t>el absentismo mide las horas no trabajadas sobre las horas pactadas en el cuadrante (horario del personal);</w:t>
      </w:r>
    </w:p>
    <w:p>
      <w:pPr>
        <w:pStyle w:val="ListBullet"/>
      </w:pPr>
      <w:r>
        <w:rPr>
          <w:b w:val="0"/>
          <w:i w:val="0"/>
        </w:rPr>
        <w:t>la temporalidad mide contratos, no personas.</w:t>
      </w:r>
    </w:p>
    <w:p>
      <w:r>
        <w:rPr>
          <w:b w:val="0"/>
          <w:i w:val="0"/>
        </w:rPr>
        <w:t>La rotación dice cuántos puestos se han tenido que cubrir de nuevo, no cuántas personas distintas han pasado por la empresa. El absentismo puede dar el mismo porcentaje con causas completamente distintas detrás: una única baja médica larga o una acumulación de ausencias cortas de varios trabajadores pesan igual en el cálculo. Y la temporalidad, al contar contratos, hace que la misma persona con dos contratos temporales seguidos en el mismo puesto cuente dos veces en la tasa, sin que haya habido una sola baja ni una sola hora de absentismo detrás.</w:t>
      </w:r>
    </w:p>
    <w:p>
      <w:r>
        <w:rPr>
          <w:b w:val="0"/>
          <w:i w:val="0"/>
        </w:rPr>
        <w:t>El manager (gerente/encargado) que lleva estos tres números en la misma casilla de una hoja de cálculo, o que responde uno cuando le preguntan por otro, está tomando decisiones de plantilla con un termómetro que no mide lo que cree medir. Ninguno de los tres se calcula con una cifra sectorial única: la rotación y el coste de cubrir una baja se calculan con los datos propios del restaurante, no con una cifra de mercado, y la plantilla del Kit de Gestión de Personal recoge esa cuenta caso a caso.</w:t>
      </w:r>
    </w:p>
    <w:p>
      <w:r>
        <w:rPr>
          <w:b w:val="0"/>
          <w:i w:val="0"/>
        </w:rPr>
        <w:t>La carta se decide por el margen; la compra, por el food cost; si el negocio aguanta lo dice el prime cost; y si la sala rinde lo dicen las ventas por hora trabajada, no los cubiertos por hora de apertura, que miden la demanda y no el rendimiento del servicio.</w:t>
      </w:r>
    </w:p>
    <w:p>
      <w:r>
        <w:rPr>
          <w:b/>
          <w:i w:val="0"/>
        </w:rPr>
        <w:t>Cada indicador, cómo se calcula, en qué se estropea y cada cuánto se mira (cuadro-de-mando-semanal-manager.xlsx, hoja «KPI y Definiciones»)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Indicador</w:t>
            </w:r>
          </w:p>
        </w:tc>
        <w:tc>
          <w:tcPr>
            <w:tcW w:type="dxa" w:w="1949"/>
          </w:tcPr>
          <w:p>
            <w:r/>
            <w:r>
              <w:rPr>
                <w:b/>
                <w:i w:val="0"/>
              </w:rPr>
              <w:t>Cómo se calcula</w:t>
            </w:r>
          </w:p>
        </w:tc>
        <w:tc>
          <w:tcPr>
            <w:tcW w:type="dxa" w:w="1949"/>
          </w:tcPr>
          <w:p>
            <w:r/>
            <w:r>
              <w:rPr>
                <w:b/>
                <w:i w:val="0"/>
              </w:rPr>
              <w:t>Unidad</w:t>
            </w:r>
          </w:p>
        </w:tc>
        <w:tc>
          <w:tcPr>
            <w:tcW w:type="dxa" w:w="1949"/>
          </w:tcPr>
          <w:p>
            <w:r/>
            <w:r>
              <w:rPr>
                <w:b/>
                <w:i w:val="0"/>
              </w:rPr>
              <w:t>Error típico</w:t>
            </w:r>
          </w:p>
        </w:tc>
        <w:tc>
          <w:tcPr>
            <w:tcW w:type="dxa" w:w="1949"/>
          </w:tcPr>
          <w:p>
            <w:r/>
            <w:r>
              <w:rPr>
                <w:b/>
                <w:i w:val="0"/>
              </w:rPr>
              <w:t>Cadencia</w:t>
            </w:r>
          </w:p>
        </w:tc>
      </w:tr>
      <w:tr>
        <w:tc>
          <w:tcPr>
            <w:tcW w:type="dxa" w:w="1949"/>
          </w:tcPr>
          <w:p>
            <w:r/>
            <w:r>
              <w:rPr>
                <w:b w:val="0"/>
                <w:i w:val="0"/>
              </w:rPr>
              <w:t>Ventas netas</w:t>
            </w:r>
          </w:p>
        </w:tc>
        <w:tc>
          <w:tcPr>
            <w:tcW w:type="dxa" w:w="1949"/>
          </w:tcPr>
          <w:p>
            <w:r/>
            <w:r>
              <w:rPr>
                <w:b w:val="0"/>
                <w:i w:val="0"/>
              </w:rPr>
              <w:t>Lo cobrado por comida y bebida SIN IVA, después de descuentos e invitaciones</w:t>
            </w:r>
          </w:p>
        </w:tc>
        <w:tc>
          <w:tcPr>
            <w:tcW w:type="dxa" w:w="1949"/>
          </w:tcPr>
          <w:p>
            <w:r/>
            <w:r>
              <w:rPr>
                <w:b w:val="0"/>
                <w:i w:val="0"/>
              </w:rPr>
              <w:t>€</w:t>
            </w:r>
          </w:p>
        </w:tc>
        <w:tc>
          <w:tcPr>
            <w:tcW w:type="dxa" w:w="1949"/>
          </w:tcPr>
          <w:p>
            <w:r/>
            <w:r>
              <w:rPr>
                <w:b w:val="0"/>
                <w:i w:val="0"/>
              </w:rPr>
              <w:t>Usar la cifra con IVA: infla las ventas un 10 % y hace parecer bueno un food cost que no lo es</w:t>
            </w:r>
          </w:p>
        </w:tc>
        <w:tc>
          <w:tcPr>
            <w:tcW w:type="dxa" w:w="1949"/>
          </w:tcPr>
          <w:p>
            <w:r/>
            <w:r>
              <w:rPr>
                <w:b w:val="0"/>
                <w:i w:val="0"/>
              </w:rPr>
              <w:t>Semanal</w:t>
            </w:r>
          </w:p>
        </w:tc>
      </w:tr>
      <w:tr>
        <w:tc>
          <w:tcPr>
            <w:tcW w:type="dxa" w:w="1949"/>
          </w:tcPr>
          <w:p>
            <w:r/>
            <w:r>
              <w:rPr>
                <w:b w:val="0"/>
                <w:i w:val="0"/>
              </w:rPr>
              <w:t>Consumo de materia prima</w:t>
            </w:r>
          </w:p>
        </w:tc>
        <w:tc>
          <w:tcPr>
            <w:tcW w:type="dxa" w:w="1949"/>
          </w:tcPr>
          <w:p>
            <w:r/>
            <w:r>
              <w:rPr>
                <w:b w:val="0"/>
                <w:i w:val="0"/>
              </w:rPr>
              <w:t>Stock inicial + compras del periodo - stock final</w:t>
            </w:r>
          </w:p>
        </w:tc>
        <w:tc>
          <w:tcPr>
            <w:tcW w:type="dxa" w:w="1949"/>
          </w:tcPr>
          <w:p>
            <w:r/>
            <w:r>
              <w:rPr>
                <w:b w:val="0"/>
                <w:i w:val="0"/>
              </w:rPr>
              <w:t>€</w:t>
            </w:r>
          </w:p>
        </w:tc>
        <w:tc>
          <w:tcPr>
            <w:tcW w:type="dxa" w:w="1949"/>
          </w:tcPr>
          <w:p>
            <w:r/>
            <w:r>
              <w:rPr>
                <w:b w:val="0"/>
                <w:i w:val="0"/>
              </w:rPr>
              <w:t>Usar las compras en lugar del consumo: una semana con un pedido grande sale disparada y la siguiente, regalada</w:t>
            </w:r>
          </w:p>
        </w:tc>
        <w:tc>
          <w:tcPr>
            <w:tcW w:type="dxa" w:w="1949"/>
          </w:tcPr>
          <w:p>
            <w:r/>
            <w:r>
              <w:rPr>
                <w:b w:val="0"/>
                <w:i w:val="0"/>
              </w:rPr>
              <w:t>Semanal</w:t>
            </w:r>
          </w:p>
        </w:tc>
      </w:tr>
      <w:tr>
        <w:tc>
          <w:tcPr>
            <w:tcW w:type="dxa" w:w="1949"/>
          </w:tcPr>
          <w:p>
            <w:r/>
            <w:r>
              <w:rPr>
                <w:b w:val="0"/>
                <w:i w:val="0"/>
              </w:rPr>
              <w:t>Food cost %</w:t>
            </w:r>
          </w:p>
        </w:tc>
        <w:tc>
          <w:tcPr>
            <w:tcW w:type="dxa" w:w="1949"/>
          </w:tcPr>
          <w:p>
            <w:r/>
            <w:r>
              <w:rPr>
                <w:b w:val="0"/>
                <w:i w:val="0"/>
              </w:rPr>
              <w:t>Consumo de materia prima ÷ ventas netas</w:t>
            </w:r>
          </w:p>
        </w:tc>
        <w:tc>
          <w:tcPr>
            <w:tcW w:type="dxa" w:w="1949"/>
          </w:tcPr>
          <w:p>
            <w:r/>
            <w:r>
              <w:rPr>
                <w:b w:val="0"/>
                <w:i w:val="0"/>
              </w:rPr>
              <w:t>%</w:t>
            </w:r>
          </w:p>
        </w:tc>
        <w:tc>
          <w:tcPr>
            <w:tcW w:type="dxa" w:w="1949"/>
          </w:tcPr>
          <w:p>
            <w:r/>
            <w:r>
              <w:rPr>
                <w:b w:val="0"/>
                <w:i w:val="0"/>
              </w:rPr>
              <w:t>Calcularlo sin contar el inventario, o mezclando comida y bebida cuando el objetivo de cada una es distinto</w:t>
            </w:r>
          </w:p>
        </w:tc>
        <w:tc>
          <w:tcPr>
            <w:tcW w:type="dxa" w:w="1949"/>
          </w:tcPr>
          <w:p>
            <w:r/>
            <w:r>
              <w:rPr>
                <w:b w:val="0"/>
                <w:i w:val="0"/>
              </w:rPr>
              <w:t>Semanal</w:t>
            </w:r>
          </w:p>
        </w:tc>
      </w:tr>
      <w:tr>
        <w:tc>
          <w:tcPr>
            <w:tcW w:type="dxa" w:w="1949"/>
          </w:tcPr>
          <w:p>
            <w:r/>
            <w:r>
              <w:rPr>
                <w:b w:val="0"/>
                <w:i w:val="0"/>
              </w:rPr>
              <w:t>Coste de personal</w:t>
            </w:r>
          </w:p>
        </w:tc>
        <w:tc>
          <w:tcPr>
            <w:tcW w:type="dxa" w:w="1949"/>
          </w:tcPr>
          <w:p>
            <w:r/>
            <w:r>
              <w:rPr>
                <w:b w:val="0"/>
                <w:i w:val="0"/>
              </w:rPr>
              <w:t>Salarios brutos × (1 + Seguridad Social a cargo de la empresa) + otros costes de personal</w:t>
            </w:r>
          </w:p>
        </w:tc>
        <w:tc>
          <w:tcPr>
            <w:tcW w:type="dxa" w:w="1949"/>
          </w:tcPr>
          <w:p>
            <w:r/>
            <w:r>
              <w:rPr>
                <w:b w:val="0"/>
                <w:i w:val="0"/>
              </w:rPr>
              <w:t>€</w:t>
            </w:r>
          </w:p>
        </w:tc>
        <w:tc>
          <w:tcPr>
            <w:tcW w:type="dxa" w:w="1949"/>
          </w:tcPr>
          <w:p>
            <w:r/>
            <w:r>
              <w:rPr>
                <w:b w:val="0"/>
                <w:i w:val="0"/>
              </w:rPr>
              <w:t>Quedarse en el bruto y olvidar la cotización: se deja fuera aproximadamente un tercio del coste</w:t>
            </w:r>
          </w:p>
        </w:tc>
        <w:tc>
          <w:tcPr>
            <w:tcW w:type="dxa" w:w="1949"/>
          </w:tcPr>
          <w:p>
            <w:r/>
            <w:r>
              <w:rPr>
                <w:b w:val="0"/>
                <w:i w:val="0"/>
              </w:rPr>
              <w:t>Semanal</w:t>
            </w:r>
          </w:p>
        </w:tc>
      </w:tr>
      <w:tr>
        <w:tc>
          <w:tcPr>
            <w:tcW w:type="dxa" w:w="1949"/>
          </w:tcPr>
          <w:p>
            <w:r/>
            <w:r>
              <w:rPr>
                <w:b w:val="0"/>
                <w:i w:val="0"/>
              </w:rPr>
              <w:t>Labor cost %</w:t>
            </w:r>
          </w:p>
        </w:tc>
        <w:tc>
          <w:tcPr>
            <w:tcW w:type="dxa" w:w="1949"/>
          </w:tcPr>
          <w:p>
            <w:r/>
            <w:r>
              <w:rPr>
                <w:b w:val="0"/>
                <w:i w:val="0"/>
              </w:rPr>
              <w:t>Coste de personal ÷ ventas netas</w:t>
            </w:r>
          </w:p>
        </w:tc>
        <w:tc>
          <w:tcPr>
            <w:tcW w:type="dxa" w:w="1949"/>
          </w:tcPr>
          <w:p>
            <w:r/>
            <w:r>
              <w:rPr>
                <w:b w:val="0"/>
                <w:i w:val="0"/>
              </w:rPr>
              <w:t>%</w:t>
            </w:r>
          </w:p>
        </w:tc>
        <w:tc>
          <w:tcPr>
            <w:tcW w:type="dxa" w:w="1949"/>
          </w:tcPr>
          <w:p>
            <w:r/>
            <w:r>
              <w:rPr>
                <w:b w:val="0"/>
                <w:i w:val="0"/>
              </w:rPr>
              <w:t>Compararlo con el de otro local sin mirar si aquel es de sala o de barra: no juegan la misma liga</w:t>
            </w:r>
          </w:p>
        </w:tc>
        <w:tc>
          <w:tcPr>
            <w:tcW w:type="dxa" w:w="1949"/>
          </w:tcPr>
          <w:p>
            <w:r/>
            <w:r>
              <w:rPr>
                <w:b w:val="0"/>
                <w:i w:val="0"/>
              </w:rPr>
              <w:t>Semanal</w:t>
            </w:r>
          </w:p>
        </w:tc>
      </w:tr>
      <w:tr>
        <w:tc>
          <w:tcPr>
            <w:tcW w:type="dxa" w:w="1949"/>
          </w:tcPr>
          <w:p>
            <w:r/>
            <w:r>
              <w:rPr>
                <w:b w:val="0"/>
                <w:i w:val="0"/>
              </w:rPr>
              <w:t>Prime cost %</w:t>
            </w:r>
          </w:p>
        </w:tc>
        <w:tc>
          <w:tcPr>
            <w:tcW w:type="dxa" w:w="1949"/>
          </w:tcPr>
          <w:p>
            <w:r/>
            <w:r>
              <w:rPr>
                <w:b w:val="0"/>
                <w:i w:val="0"/>
              </w:rPr>
              <w:t>Food cost % + labor cost %</w:t>
            </w:r>
          </w:p>
        </w:tc>
        <w:tc>
          <w:tcPr>
            <w:tcW w:type="dxa" w:w="1949"/>
          </w:tcPr>
          <w:p>
            <w:r/>
            <w:r>
              <w:rPr>
                <w:b w:val="0"/>
                <w:i w:val="0"/>
              </w:rPr>
              <w:t>%</w:t>
            </w:r>
          </w:p>
        </w:tc>
        <w:tc>
          <w:tcPr>
            <w:tcW w:type="dxa" w:w="1949"/>
          </w:tcPr>
          <w:p>
            <w:r/>
            <w:r>
              <w:rPr>
                <w:b w:val="0"/>
                <w:i w:val="0"/>
              </w:rPr>
              <w:t>Mirar sólo el food cost: un 28 % de producto no salva un 40 % de personal</w:t>
            </w:r>
          </w:p>
        </w:tc>
        <w:tc>
          <w:tcPr>
            <w:tcW w:type="dxa" w:w="1949"/>
          </w:tcPr>
          <w:p>
            <w:r/>
            <w:r>
              <w:rPr>
                <w:b w:val="0"/>
                <w:i w:val="0"/>
              </w:rPr>
              <w:t>Semanal</w:t>
            </w:r>
          </w:p>
        </w:tc>
      </w:tr>
      <w:tr>
        <w:tc>
          <w:tcPr>
            <w:tcW w:type="dxa" w:w="1949"/>
          </w:tcPr>
          <w:p>
            <w:r/>
            <w:r>
              <w:rPr>
                <w:b w:val="0"/>
                <w:i w:val="0"/>
              </w:rPr>
              <w:t>Margen tras prime cost</w:t>
            </w:r>
          </w:p>
        </w:tc>
        <w:tc>
          <w:tcPr>
            <w:tcW w:type="dxa" w:w="1949"/>
          </w:tcPr>
          <w:p>
            <w:r/>
            <w:r>
              <w:rPr>
                <w:b w:val="0"/>
                <w:i w:val="0"/>
              </w:rPr>
              <w:t>Ventas netas - consumo de materia prima - coste de personal</w:t>
            </w:r>
          </w:p>
        </w:tc>
        <w:tc>
          <w:tcPr>
            <w:tcW w:type="dxa" w:w="1949"/>
          </w:tcPr>
          <w:p>
            <w:r/>
            <w:r>
              <w:rPr>
                <w:b w:val="0"/>
                <w:i w:val="0"/>
              </w:rPr>
              <w:t>€</w:t>
            </w:r>
          </w:p>
        </w:tc>
        <w:tc>
          <w:tcPr>
            <w:tcW w:type="dxa" w:w="1949"/>
          </w:tcPr>
          <w:p>
            <w:r/>
            <w:r>
              <w:rPr>
                <w:b w:val="0"/>
                <w:i w:val="0"/>
              </w:rPr>
              <w:t>Confundirlo con el beneficio: de aquí todavía salen alquiler, suministros, amortización e impuestos</w:t>
            </w:r>
          </w:p>
        </w:tc>
        <w:tc>
          <w:tcPr>
            <w:tcW w:type="dxa" w:w="1949"/>
          </w:tcPr>
          <w:p>
            <w:r/>
            <w:r>
              <w:rPr>
                <w:b w:val="0"/>
                <w:i w:val="0"/>
              </w:rPr>
              <w:t>Semanal</w:t>
            </w:r>
          </w:p>
        </w:tc>
      </w:tr>
      <w:tr>
        <w:tc>
          <w:tcPr>
            <w:tcW w:type="dxa" w:w="1949"/>
          </w:tcPr>
          <w:p>
            <w:r/>
            <w:r>
              <w:rPr>
                <w:b w:val="0"/>
                <w:i w:val="0"/>
              </w:rPr>
              <w:t>Ticket medio</w:t>
            </w:r>
          </w:p>
        </w:tc>
        <w:tc>
          <w:tcPr>
            <w:tcW w:type="dxa" w:w="1949"/>
          </w:tcPr>
          <w:p>
            <w:r/>
            <w:r>
              <w:rPr>
                <w:b w:val="0"/>
                <w:i w:val="0"/>
              </w:rPr>
              <w:t>Ventas netas ÷ número de tickets (mesas cobradas)</w:t>
            </w:r>
          </w:p>
        </w:tc>
        <w:tc>
          <w:tcPr>
            <w:tcW w:type="dxa" w:w="1949"/>
          </w:tcPr>
          <w:p>
            <w:r/>
            <w:r>
              <w:rPr>
                <w:b w:val="0"/>
                <w:i w:val="0"/>
              </w:rPr>
              <w:t>€</w:t>
            </w:r>
          </w:p>
        </w:tc>
        <w:tc>
          <w:tcPr>
            <w:tcW w:type="dxa" w:w="1949"/>
          </w:tcPr>
          <w:p>
            <w:r/>
            <w:r>
              <w:rPr>
                <w:b w:val="0"/>
                <w:i w:val="0"/>
              </w:rPr>
              <w:t>Llamarle ticket medio al gasto por cubierto: en una mesa de dos, el ticket es el doble</w:t>
            </w:r>
          </w:p>
        </w:tc>
        <w:tc>
          <w:tcPr>
            <w:tcW w:type="dxa" w:w="1949"/>
          </w:tcPr>
          <w:p>
            <w:r/>
            <w:r>
              <w:rPr>
                <w:b w:val="0"/>
                <w:i w:val="0"/>
              </w:rPr>
              <w:t>Semanal</w:t>
            </w:r>
          </w:p>
        </w:tc>
      </w:tr>
      <w:tr>
        <w:tc>
          <w:tcPr>
            <w:tcW w:type="dxa" w:w="1949"/>
          </w:tcPr>
          <w:p>
            <w:r/>
            <w:r>
              <w:rPr>
                <w:b w:val="0"/>
                <w:i w:val="0"/>
              </w:rPr>
              <w:t>Gasto medio por cubierto</w:t>
            </w:r>
          </w:p>
        </w:tc>
        <w:tc>
          <w:tcPr>
            <w:tcW w:type="dxa" w:w="1949"/>
          </w:tcPr>
          <w:p>
            <w:r/>
            <w:r>
              <w:rPr>
                <w:b w:val="0"/>
                <w:i w:val="0"/>
              </w:rPr>
              <w:t>Ventas netas ÷ número de cubiertos (comensales)</w:t>
            </w:r>
          </w:p>
        </w:tc>
        <w:tc>
          <w:tcPr>
            <w:tcW w:type="dxa" w:w="1949"/>
          </w:tcPr>
          <w:p>
            <w:r/>
            <w:r>
              <w:rPr>
                <w:b w:val="0"/>
                <w:i w:val="0"/>
              </w:rPr>
              <w:t>€</w:t>
            </w:r>
          </w:p>
        </w:tc>
        <w:tc>
          <w:tcPr>
            <w:tcW w:type="dxa" w:w="1949"/>
          </w:tcPr>
          <w:p>
            <w:r/>
            <w:r>
              <w:rPr>
                <w:b w:val="0"/>
                <w:i w:val="0"/>
              </w:rPr>
              <w:t>Contar como cubierto a quien sólo toma café: distorsiona la serie y hace ilegible la comparación</w:t>
            </w:r>
          </w:p>
        </w:tc>
        <w:tc>
          <w:tcPr>
            <w:tcW w:type="dxa" w:w="1949"/>
          </w:tcPr>
          <w:p>
            <w:r/>
            <w:r>
              <w:rPr>
                <w:b w:val="0"/>
                <w:i w:val="0"/>
              </w:rPr>
              <w:t>Semanal</w:t>
            </w:r>
          </w:p>
        </w:tc>
      </w:tr>
      <w:tr>
        <w:tc>
          <w:tcPr>
            <w:tcW w:type="dxa" w:w="1949"/>
          </w:tcPr>
          <w:p>
            <w:r/>
            <w:r>
              <w:rPr>
                <w:b w:val="0"/>
                <w:i w:val="0"/>
              </w:rPr>
              <w:t>Cubiertos por hora de apertura</w:t>
            </w:r>
          </w:p>
        </w:tc>
        <w:tc>
          <w:tcPr>
            <w:tcW w:type="dxa" w:w="1949"/>
          </w:tcPr>
          <w:p>
            <w:r/>
            <w:r>
              <w:rPr>
                <w:b w:val="0"/>
                <w:i w:val="0"/>
              </w:rPr>
              <w:t>Cubiertos ÷ horas de apertura al público</w:t>
            </w:r>
          </w:p>
        </w:tc>
        <w:tc>
          <w:tcPr>
            <w:tcW w:type="dxa" w:w="1949"/>
          </w:tcPr>
          <w:p>
            <w:r/>
            <w:r>
              <w:rPr>
                <w:b w:val="0"/>
                <w:i w:val="0"/>
              </w:rPr>
              <w:t>cubiertos/h</w:t>
            </w:r>
          </w:p>
        </w:tc>
        <w:tc>
          <w:tcPr>
            <w:tcW w:type="dxa" w:w="1949"/>
          </w:tcPr>
          <w:p>
            <w:r/>
            <w:r>
              <w:rPr>
                <w:b w:val="0"/>
                <w:i w:val="0"/>
              </w:rPr>
              <w:t>Usarlo para medir a la sala: mide la demanda y el aforo, no el rendimiento del equipo</w:t>
            </w:r>
          </w:p>
        </w:tc>
        <w:tc>
          <w:tcPr>
            <w:tcW w:type="dxa" w:w="1949"/>
          </w:tcPr>
          <w:p>
            <w:r/>
            <w:r>
              <w:rPr>
                <w:b w:val="0"/>
                <w:i w:val="0"/>
              </w:rPr>
              <w:t>Semanal</w:t>
            </w:r>
          </w:p>
        </w:tc>
      </w:tr>
      <w:tr>
        <w:tc>
          <w:tcPr>
            <w:tcW w:type="dxa" w:w="1949"/>
          </w:tcPr>
          <w:p>
            <w:r/>
            <w:r>
              <w:rPr>
                <w:b w:val="0"/>
                <w:i w:val="0"/>
              </w:rPr>
              <w:t>Ventas por hora trabajada</w:t>
            </w:r>
          </w:p>
        </w:tc>
        <w:tc>
          <w:tcPr>
            <w:tcW w:type="dxa" w:w="1949"/>
          </w:tcPr>
          <w:p>
            <w:r/>
            <w:r>
              <w:rPr>
                <w:b w:val="0"/>
                <w:i w:val="0"/>
              </w:rPr>
              <w:t>Ventas netas ÷ horas realmente trabajadas por toda la plantilla</w:t>
            </w:r>
          </w:p>
        </w:tc>
        <w:tc>
          <w:tcPr>
            <w:tcW w:type="dxa" w:w="1949"/>
          </w:tcPr>
          <w:p>
            <w:r/>
            <w:r>
              <w:rPr>
                <w:b w:val="0"/>
                <w:i w:val="0"/>
              </w:rPr>
              <w:t>€/h</w:t>
            </w:r>
          </w:p>
        </w:tc>
        <w:tc>
          <w:tcPr>
            <w:tcW w:type="dxa" w:w="1949"/>
          </w:tcPr>
          <w:p>
            <w:r/>
            <w:r>
              <w:rPr>
                <w:b w:val="0"/>
                <w:i w:val="0"/>
              </w:rPr>
              <w:t>Alimentarlo con las horas del contrato en lugar de las del registro de jornada</w:t>
            </w:r>
          </w:p>
        </w:tc>
        <w:tc>
          <w:tcPr>
            <w:tcW w:type="dxa" w:w="1949"/>
          </w:tcPr>
          <w:p>
            <w:r/>
            <w:r>
              <w:rPr>
                <w:b w:val="0"/>
                <w:i w:val="0"/>
              </w:rPr>
              <w:t>Semanal</w:t>
            </w:r>
          </w:p>
        </w:tc>
      </w:tr>
      <w:tr>
        <w:tc>
          <w:tcPr>
            <w:tcW w:type="dxa" w:w="1949"/>
          </w:tcPr>
          <w:p>
            <w:r/>
            <w:r>
              <w:rPr>
                <w:b w:val="0"/>
                <w:i w:val="0"/>
              </w:rPr>
              <w:t>Rotación</w:t>
            </w:r>
          </w:p>
        </w:tc>
        <w:tc>
          <w:tcPr>
            <w:tcW w:type="dxa" w:w="1949"/>
          </w:tcPr>
          <w:p>
            <w:r/>
            <w:r>
              <w:rPr>
                <w:b w:val="0"/>
                <w:i w:val="0"/>
              </w:rPr>
              <w:t>Bajas del periodo ÷ plantilla media del periodo</w:t>
            </w:r>
          </w:p>
        </w:tc>
        <w:tc>
          <w:tcPr>
            <w:tcW w:type="dxa" w:w="1949"/>
          </w:tcPr>
          <w:p>
            <w:r/>
            <w:r>
              <w:rPr>
                <w:b w:val="0"/>
                <w:i w:val="0"/>
              </w:rPr>
              <w:t>%</w:t>
            </w:r>
          </w:p>
        </w:tc>
        <w:tc>
          <w:tcPr>
            <w:tcW w:type="dxa" w:w="1949"/>
          </w:tcPr>
          <w:p>
            <w:r/>
            <w:r>
              <w:rPr>
                <w:b w:val="0"/>
                <w:i w:val="0"/>
              </w:rPr>
              <w:t>Mezclarla con el absentismo y con la temporalidad: son tres cosas distintas y se corrigen distinto</w:t>
            </w:r>
          </w:p>
        </w:tc>
        <w:tc>
          <w:tcPr>
            <w:tcW w:type="dxa" w:w="1949"/>
          </w:tcPr>
          <w:p>
            <w:r/>
            <w:r>
              <w:rPr>
                <w:b w:val="0"/>
                <w:i w:val="0"/>
              </w:rPr>
              <w:t>Trimestral</w:t>
            </w:r>
          </w:p>
        </w:tc>
      </w:tr>
      <w:tr>
        <w:tc>
          <w:tcPr>
            <w:tcW w:type="dxa" w:w="1949"/>
          </w:tcPr>
          <w:p>
            <w:r/>
            <w:r>
              <w:rPr>
                <w:b w:val="0"/>
                <w:i w:val="0"/>
              </w:rPr>
              <w:t>Absentismo</w:t>
            </w:r>
          </w:p>
        </w:tc>
        <w:tc>
          <w:tcPr>
            <w:tcW w:type="dxa" w:w="1949"/>
          </w:tcPr>
          <w:p>
            <w:r/>
            <w:r>
              <w:rPr>
                <w:b w:val="0"/>
                <w:i w:val="0"/>
              </w:rPr>
              <w:t>Horas no trabajadas por ausencia ÷ horas pactadas efectivas</w:t>
            </w:r>
          </w:p>
        </w:tc>
        <w:tc>
          <w:tcPr>
            <w:tcW w:type="dxa" w:w="1949"/>
          </w:tcPr>
          <w:p>
            <w:r/>
            <w:r>
              <w:rPr>
                <w:b w:val="0"/>
                <w:i w:val="0"/>
              </w:rPr>
              <w:t>%</w:t>
            </w:r>
          </w:p>
        </w:tc>
        <w:tc>
          <w:tcPr>
            <w:tcW w:type="dxa" w:w="1949"/>
          </w:tcPr>
          <w:p>
            <w:r/>
            <w:r>
              <w:rPr>
                <w:b w:val="0"/>
                <w:i w:val="0"/>
              </w:rPr>
              <w:t>Meter las vacaciones dentro: las vacaciones son un derecho planificado, no una ausencia</w:t>
            </w:r>
          </w:p>
        </w:tc>
        <w:tc>
          <w:tcPr>
            <w:tcW w:type="dxa" w:w="1949"/>
          </w:tcPr>
          <w:p>
            <w:r/>
            <w:r>
              <w:rPr>
                <w:b w:val="0"/>
                <w:i w:val="0"/>
              </w:rPr>
              <w:t>Mensual</w:t>
            </w:r>
          </w:p>
        </w:tc>
      </w:tr>
      <w:tr>
        <w:tc>
          <w:tcPr>
            <w:tcW w:type="dxa" w:w="1949"/>
          </w:tcPr>
          <w:p>
            <w:r/>
            <w:r>
              <w:rPr>
                <w:b w:val="0"/>
                <w:i w:val="0"/>
              </w:rPr>
              <w:t>Cobertura por estación</w:t>
            </w:r>
          </w:p>
        </w:tc>
        <w:tc>
          <w:tcPr>
            <w:tcW w:type="dxa" w:w="1949"/>
          </w:tcPr>
          <w:p>
            <w:r/>
            <w:r>
              <w:rPr>
                <w:b w:val="0"/>
                <w:i w:val="0"/>
              </w:rPr>
              <w:t>Personas a nivel 2 o 3 en la estación ÷ personas de esa área</w:t>
            </w:r>
          </w:p>
        </w:tc>
        <w:tc>
          <w:tcPr>
            <w:tcW w:type="dxa" w:w="1949"/>
          </w:tcPr>
          <w:p>
            <w:r/>
            <w:r>
              <w:rPr>
                <w:b w:val="0"/>
                <w:i w:val="0"/>
              </w:rPr>
              <w:t>%</w:t>
            </w:r>
          </w:p>
        </w:tc>
        <w:tc>
          <w:tcPr>
            <w:tcW w:type="dxa" w:w="1949"/>
          </w:tcPr>
          <w:p>
            <w:r/>
            <w:r>
              <w:rPr>
                <w:b w:val="0"/>
                <w:i w:val="0"/>
              </w:rPr>
              <w:t>Dar por cubierta una estación porque «todos han estado alguna vez»: nivel 1 no cubre un servicio</w:t>
            </w:r>
          </w:p>
        </w:tc>
        <w:tc>
          <w:tcPr>
            <w:tcW w:type="dxa" w:w="1949"/>
          </w:tcPr>
          <w:p>
            <w:r/>
            <w:r>
              <w:rPr>
                <w:b w:val="0"/>
                <w:i w:val="0"/>
              </w:rPr>
              <w:t>Trimestral</w:t>
            </w:r>
          </w:p>
        </w:tc>
      </w:tr>
    </w:tbl>
    <w:p/>
    <w:p>
      <w:pPr>
        <w:jc w:val="center"/>
      </w:pPr>
      <w:r>
        <w:rPr>
          <w:i/>
          <w:color w:val="444444"/>
        </w:rPr>
        <w:t>La columna del error típico es la que más se usa: casi todos los indicadores de un restaurante se estropean por cómo se alimentan, no por cómo se calculan.</w:t>
      </w:r>
    </w:p>
    <w:p>
      <w:r>
        <w:br w:type="page"/>
      </w:r>
    </w:p>
    <w:p>
      <w:pPr>
        <w:pStyle w:val="Heading1"/>
      </w:pPr>
      <w:r>
        <w:t>3. El Cuadro de Mando Semanal: por Qué la Semana y no el Mes</w:t>
      </w:r>
    </w:p>
    <w:p>
      <w:pPr>
        <w:pStyle w:val="Heading2"/>
      </w:pPr>
      <w:r>
        <w:t>Qué mide el cierre del mes y qué no puede medir</w:t>
      </w:r>
    </w:p>
    <w:p>
      <w:r>
        <w:rPr>
          <w:b w:val="0"/>
          <w:i w:val="0"/>
        </w:rPr>
        <w:t>El cierre de mes es contabilidad, y ahí sigue siendo insustituible: agrupa treinta días de ventas, de compras y de costes de personal en una cifra que sirve para la cuenta de resultados, para hablar con el banco y para la declaración trimestral. Lo que no puede hacer es avisar a tiempo. Cuando ese cierre dice que el prime cost se ha disparado, el problema no acaba de empezar: lleva ahí cuatro semanas seguidas, y el propio cierre no distingue en cuál arrancó, si fue una carta que subió de precio al proveedor sin trasladarlo a la venta, un fin de semana con la plantilla sobredimensionada o una racha de mermas que nadie contó a tiempo. El mes entrega el diagnóstico cuando ya no queda margen de reacción sobre esas cuatro semanas: solo queda actuar sobre las que faltan.</w:t>
      </w:r>
    </w:p>
    <w:p>
      <w:r>
        <w:rPr>
          <w:b w:val="0"/>
          <w:i w:val="0"/>
        </w:rPr>
        <w:t>Ese desfase no es un matiz técnico. En 2025 la restauración española facturó un 3,1 % más y aun así perdió rentabilidad (facturación +3,1 % y rentabilidad -0,9 %, según Hostelería de España, Anuario 2025, vía Hostelería Digital, 2026). Un cierre de mes que solo mira el agregado anual cuenta exactamente esa historia y ninguna más: más ventas, menos margen, sin decir en qué semana se fue el margen ni por qué concepto se fue. Es el resumen que necesita el fisco y el que menos sirve al manager (gerente/encargado) que tiene que decidir algo el lunes por la mañana. El cuadro de mando semanal no sustituye ese cierre: lo adelanta. Mide las mismas categorías -comida, bebida, personal- pero en una unidad de tiempo en la que todavía se puede corregir antes de que la mala racha se convierta en el resultado del mes entero.</w:t>
      </w:r>
    </w:p>
    <w:p>
      <w:pPr>
        <w:pStyle w:val="Heading2"/>
      </w:pPr>
      <w:r>
        <w:t>Las columnas que se rellenan cada lunes, y de dónde sale cada dato</w:t>
      </w:r>
    </w:p>
    <w:p>
      <w:r>
        <w:rPr>
          <w:b w:val="0"/>
          <w:i w:val="0"/>
        </w:rPr>
        <w:t>La hoja no pide criterio, pide datos, y son pocos: ventas de comida, ventas de bebida, stock inicial, compras, stock final, salarios brutos -los que salen de la nómina (planilla) de esa semana-, otros costes de personal, cubiertos, tickets y horas trabajadas. Diez casillas, una vez a la semana, siempre el mismo día. A partir de ahí no hay nada más que teclear: el food cost, el labor cost, el prime cost, el margen tras esos dos costes y el color del semáforo salen solos, calculados sobre esas diez cifras, sin fórmulas que revisar ni celdas que tocar.</w:t>
      </w:r>
    </w:p>
    <w:p>
      <w:r>
        <w:rPr>
          <w:b w:val="0"/>
          <w:i w:val="0"/>
        </w:rPr>
        <w:t>Esa separación -lo que se escribe y lo que se calcula- es la que hace posible sostener el ritual sin que se convierta en una tarea de una hora. El dato manual es el que solo el manager o quien lleve la caja esa semana puede saber: cuánto se vendió en comida y en bebida, cuánto se compró, cuánto stock quedó al cierre, cuánto se pagó en salarios brutos y en el resto de costes de personal, cuántos cubiertos y tickets hubo y cuántas horas se trabajaron. El dato calculado es el que se deriva de esos diez números con la misma fórmula todas las semanas del año, así que dos semanas cualquiera son comparables entre sí sin que nadie tenga que revisar cómo se hizo la cuenta ni discutir el criterio empleado.</w:t>
      </w:r>
    </w:p>
    <w:p>
      <w:pPr>
        <w:pStyle w:val="Heading2"/>
      </w:pPr>
      <w:r>
        <w:t>Cómo se lee un semáforo sin discutirlo</w:t>
      </w:r>
    </w:p>
    <w:p>
      <w:r>
        <w:rPr>
          <w:b w:val="0"/>
          <w:i w:val="0"/>
        </w:rPr>
        <w:t>El semáforo compara el prime cost de la semana contra un objetivo que vive en una casilla de la hoja «Parámetros» y que se fija una sola vez, no cada lunes. El objetivo en vigor es del 65 %, y el prime cost del año, ponderado, cierra en el 62,8 %: por debajo del umbral, en verde en el agregado. Que el objetivo esté en una casilla y no en la cabeza de nadie es lo que evita la discusión: no se negocia si el prime cost de una semana concreta está bien o mal, se compara contra el número pactado de antemano y se lee el color que resulta.</w:t>
      </w:r>
    </w:p>
    <w:p>
      <w:r>
        <w:rPr>
          <w:b w:val="0"/>
          <w:i w:val="0"/>
        </w:rPr>
        <w:t>Conviene decir de dónde sale ese 65 % y no dejarlo como una cifra caída del cielo: es criterio de la casa, derivado de la estructura de costes de referencia del sector, y no una convención llegada de fuera. La fuente (CaixaBankLab x elBullifoundation, «Consumos y beneficios de un restaurante», 2017, revisado en 2022) sitúa el coste de producto en el 30 % de la venta -28 % en comida y 34,5 % en bebida-, el coste de personal en el 30-35 % en lo que la fuente llama servicio integrado y en el 15-25 % en lo que llama servicio parcial, el alquiler hasta el 5 %, los gastos generales en el 17 % y certifica como sano un EBITDA del 10-13 %. De ahí sale el umbral del 65 % para un local con servicio en mesa y el del 55 % para uno de barra o autoservicio -la traducción de esos dos últimos términos es de la casa, la fuente no los usa-, y por eso el semáforo no admite opinión: el umbral ya está decidido antes de que empiece la semana, y lo único que cabe el lunes es leerlo.</w:t>
      </w:r>
    </w:p>
    <w:p>
      <w:pPr>
        <w:pStyle w:val="Heading2"/>
      </w:pPr>
      <w:r>
        <w:t>La semana mala que el promedio mensual esconde</w:t>
      </w:r>
    </w:p>
    <w:p>
      <w:r>
        <w:rPr>
          <w:b w:val="0"/>
          <w:i w:val="0"/>
        </w:rPr>
        <w:t>La semana ISO 33 es el ejemplo que sostiene la tesis de todo este capítulo. El prime cost se disparó al 71,0 %, muy por encima del objetivo del 65 % en vigor, y no lo hizo por un solo lado: el food cost subió al 36,9 % y el labor cost al 34,1 % a la vez, con unas ventas netas de 22.041 € y un margen tras prime cost de solo 6.393 €. Dos costes disparados en la misma semana no cuentan la misma historia que uno solo: cuando sube nada más el food cost, se mira la carta, las mermas y el proveedor; cuando sube nada más el labor cost, se mira el cuadrante (horario del personal); cuando suben los dos a la vez con la venta sostenida, lo primero que hay que descartar es que el problema esté en la venta, y mirar en cambio cómo se compró y cómo se cubrió el servicio esa semana concreta.</w:t>
      </w:r>
    </w:p>
    <w:p>
      <w:r>
        <w:rPr>
          <w:b w:val="0"/>
          <w:i w:val="0"/>
        </w:rPr>
        <w:t>Con esos tres números delante -prime cost, food cost y labor cost de la semana, no del mes- las preguntas del lunes por la mañana dejan de ser genéricas: qué entró en compras esa semana que no estaba en la carta habitual, si hubo algún evento o algún turno reforzado que disparara las horas trabajadas, si el stock final cuadra con lo que debería quedar o hay una merma sin registrar, y si el margen de 6.393 € basta para cubrir lo que esa semana tocaba cubrir. Ninguna de esas preguntas se puede formular con un cierre de mes que ya mezcló la semana 33 con las otras tres o cuatro semanas del periodo.</w:t>
      </w:r>
    </w:p>
    <w:p>
      <w:r>
        <w:rPr>
          <w:b w:val="0"/>
          <w:i w:val="0"/>
        </w:rPr>
        <w:t>Y aquí está la parte que un promedio simple falsea: el prime cost del año, ponderado, es del 62,8 %, por debajo del objetivo del 65 % pese a esa semana mala. No es la media aritmética de las 52 semanas del año -eso habría diluido la semana 33 en una cincuentaidosava parte igual que cualquier otra-, es un ponderado por lo que cada semana factura: una semana pesa en el resultado del año lo que factura, ni más ni menos, y una semana de 22.041 € de venta no arrastra el año entero aunque su prime cost se dispare, mientras que la misma desviación en una semana de más venta sí lo haría. Por eso el ponderado del año puede seguir por debajo del objetivo y aun así haber tenido, dentro, una semana que en su momento mereció parar y preguntar.</w:t>
      </w:r>
    </w:p>
    <w:p>
      <w:pPr>
        <w:pStyle w:val="Heading2"/>
      </w:pPr>
      <w:r>
        <w:t>Quince minutos, un día fijo y el cuaderno cerrado</w:t>
      </w:r>
    </w:p>
    <w:p>
      <w:r>
        <w:rPr>
          <w:b w:val="0"/>
          <w:i w:val="0"/>
        </w:rPr>
        <w:t>El ritual que sostiene todo esto no compite con el turno: quince minutos, siempre el mismo día de la semana, con las diez casillas ya rellenas de la semana anterior y el semáforo ya calculado antes de sentarse a mirarlo. Fijar siempre el mismo día no es una manía de calendario: es lo que permite comparar la semana 33 con la anterior y con la siguiente en igualdad de condiciones, sin que un cambio de fecha desplace ventas o compras de una casilla a otra y falsee la comparación. No es una reunión de personal ni un repaso de incidencias de servicio: es leer tres colores, decidir si alguno pide una acción esa misma semana y anotar cuál. Cuando el semáforo está en verde, los quince minutos confirman que el rumbo se mantiene y ahí se acaba; cuando está en ámbar o en rojo, se usan para decidir una sola cosa concreta -revisar un proveedor, ajustar el cuadrante, recontar un stock- y no para reabrir cada semana la conversación sobre el umbral, que ya quedó fijado en la hoja «Parámetros».</w:t>
      </w:r>
    </w:p>
    <w:p>
      <w:r>
        <w:rPr>
          <w:b w:val="0"/>
          <w:i w:val="0"/>
        </w:rPr>
        <w:t>Cerrar el cuaderno significa eso: una vez tomada la decisión de la semana, se cierra y se vuelve al servicio hasta el lunes siguiente. El indicador de cubiertos por hora de apertura, que cierra el año en 21,5 sobre 2.177 horas de apertura registradas, cumple la misma función que el prime cost pero mirando la productividad del turno en vez del coste: si un lunes ese número cae de forma sostenida, la pregunta no es de precios ni de salarios sino de cómo se está aprovechando cada hora de apertura, y se anota igual que se anota una desviación de prime cost. El objetivo del ritual no es discutir cada cifra hasta agotarla: es sostenerlo cada semana del año sin que se convierta en una carga, con un lugar fijo donde queda apuntada la decisión y la certeza de que el lunes siguiente vuelve a empezar con la hoja en blanco y los mismos diez datos por rellenar.</w:t>
      </w:r>
    </w:p>
    <w:p>
      <w:r>
        <w:rPr>
          <w:b/>
          <w:i w:val="0"/>
        </w:rPr>
        <w:t>Nueve semanas seguidas, con la mala en medio (cuadro-de-mando-semanal-manager.xlsx, hoja «Semana»)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Semana ISO</w:t>
            </w:r>
          </w:p>
        </w:tc>
        <w:tc>
          <w:tcPr>
            <w:tcW w:type="dxa" w:w="1218"/>
          </w:tcPr>
          <w:p>
            <w:r/>
            <w:r>
              <w:rPr>
                <w:b/>
                <w:i w:val="0"/>
              </w:rPr>
              <w:t>Ventas netas (€)</w:t>
            </w:r>
          </w:p>
        </w:tc>
        <w:tc>
          <w:tcPr>
            <w:tcW w:type="dxa" w:w="1218"/>
          </w:tcPr>
          <w:p>
            <w:r/>
            <w:r>
              <w:rPr>
                <w:b/>
                <w:i w:val="0"/>
              </w:rPr>
              <w:t>Food cost (%)</w:t>
            </w:r>
          </w:p>
        </w:tc>
        <w:tc>
          <w:tcPr>
            <w:tcW w:type="dxa" w:w="1218"/>
          </w:tcPr>
          <w:p>
            <w:r/>
            <w:r>
              <w:rPr>
                <w:b/>
                <w:i w:val="0"/>
              </w:rPr>
              <w:t>Labor cost (%)</w:t>
            </w:r>
          </w:p>
        </w:tc>
        <w:tc>
          <w:tcPr>
            <w:tcW w:type="dxa" w:w="1218"/>
          </w:tcPr>
          <w:p>
            <w:r/>
            <w:r>
              <w:rPr>
                <w:b/>
                <w:i w:val="0"/>
              </w:rPr>
              <w:t>Prime cost (%)</w:t>
            </w:r>
          </w:p>
        </w:tc>
        <w:tc>
          <w:tcPr>
            <w:tcW w:type="dxa" w:w="1218"/>
          </w:tcPr>
          <w:p>
            <w:r/>
            <w:r>
              <w:rPr>
                <w:b/>
                <w:i w:val="0"/>
              </w:rPr>
              <w:t>Objetivo (%)</w:t>
            </w:r>
          </w:p>
        </w:tc>
        <w:tc>
          <w:tcPr>
            <w:tcW w:type="dxa" w:w="1218"/>
          </w:tcPr>
          <w:p>
            <w:r/>
            <w:r>
              <w:rPr>
                <w:b/>
                <w:i w:val="0"/>
              </w:rPr>
              <w:t>Lectura</w:t>
            </w:r>
          </w:p>
        </w:tc>
        <w:tc>
          <w:tcPr>
            <w:tcW w:type="dxa" w:w="1218"/>
          </w:tcPr>
          <w:p>
            <w:r/>
            <w:r>
              <w:rPr>
                <w:b/>
                <w:i w:val="0"/>
              </w:rPr>
              <w:t>Margen tras prime cost (€)</w:t>
            </w:r>
          </w:p>
        </w:tc>
      </w:tr>
      <w:tr>
        <w:tc>
          <w:tcPr>
            <w:tcW w:type="dxa" w:w="1218"/>
          </w:tcPr>
          <w:p>
            <w:r/>
            <w:r>
              <w:rPr>
                <w:b w:val="0"/>
                <w:i w:val="0"/>
              </w:rPr>
              <w:t>29</w:t>
            </w:r>
          </w:p>
        </w:tc>
        <w:tc>
          <w:tcPr>
            <w:tcW w:type="dxa" w:w="1218"/>
          </w:tcPr>
          <w:p>
            <w:r/>
            <w:r>
              <w:rPr>
                <w:b w:val="0"/>
                <w:i w:val="0"/>
              </w:rPr>
              <w:t>26.501 €</w:t>
            </w:r>
          </w:p>
        </w:tc>
        <w:tc>
          <w:tcPr>
            <w:tcW w:type="dxa" w:w="1218"/>
          </w:tcPr>
          <w:p>
            <w:r/>
            <w:r>
              <w:rPr>
                <w:b w:val="0"/>
                <w:i w:val="0"/>
              </w:rPr>
              <w:t>32,4 %</w:t>
            </w:r>
          </w:p>
        </w:tc>
        <w:tc>
          <w:tcPr>
            <w:tcW w:type="dxa" w:w="1218"/>
          </w:tcPr>
          <w:p>
            <w:r/>
            <w:r>
              <w:rPr>
                <w:b w:val="0"/>
                <w:i w:val="0"/>
              </w:rPr>
              <w:t>29,7 %</w:t>
            </w:r>
          </w:p>
        </w:tc>
        <w:tc>
          <w:tcPr>
            <w:tcW w:type="dxa" w:w="1218"/>
          </w:tcPr>
          <w:p>
            <w:r/>
            <w:r>
              <w:rPr>
                <w:b w:val="0"/>
                <w:i w:val="0"/>
              </w:rPr>
              <w:t>62,1 %</w:t>
            </w:r>
          </w:p>
        </w:tc>
        <w:tc>
          <w:tcPr>
            <w:tcW w:type="dxa" w:w="1218"/>
          </w:tcPr>
          <w:p>
            <w:r/>
            <w:r>
              <w:rPr>
                <w:b w:val="0"/>
                <w:i w:val="0"/>
              </w:rPr>
              <w:t>65,0 %</w:t>
            </w:r>
          </w:p>
        </w:tc>
        <w:tc>
          <w:tcPr>
            <w:tcW w:type="dxa" w:w="1218"/>
          </w:tcPr>
          <w:p>
            <w:r/>
            <w:r>
              <w:rPr>
                <w:b w:val="0"/>
                <w:i w:val="0"/>
              </w:rPr>
              <w:t>En objetivo</w:t>
            </w:r>
          </w:p>
        </w:tc>
        <w:tc>
          <w:tcPr>
            <w:tcW w:type="dxa" w:w="1218"/>
          </w:tcPr>
          <w:p>
            <w:r/>
            <w:r>
              <w:rPr>
                <w:b w:val="0"/>
                <w:i w:val="0"/>
              </w:rPr>
              <w:t>10.038 €</w:t>
            </w:r>
          </w:p>
        </w:tc>
      </w:tr>
      <w:tr>
        <w:tc>
          <w:tcPr>
            <w:tcW w:type="dxa" w:w="1218"/>
          </w:tcPr>
          <w:p>
            <w:r/>
            <w:r>
              <w:rPr>
                <w:b w:val="0"/>
                <w:i w:val="0"/>
              </w:rPr>
              <w:t>30</w:t>
            </w:r>
          </w:p>
        </w:tc>
        <w:tc>
          <w:tcPr>
            <w:tcW w:type="dxa" w:w="1218"/>
          </w:tcPr>
          <w:p>
            <w:r/>
            <w:r>
              <w:rPr>
                <w:b w:val="0"/>
                <w:i w:val="0"/>
              </w:rPr>
              <w:t>26.764 €</w:t>
            </w:r>
          </w:p>
        </w:tc>
        <w:tc>
          <w:tcPr>
            <w:tcW w:type="dxa" w:w="1218"/>
          </w:tcPr>
          <w:p>
            <w:r/>
            <w:r>
              <w:rPr>
                <w:b w:val="0"/>
                <w:i w:val="0"/>
              </w:rPr>
              <w:t>32,4 %</w:t>
            </w:r>
          </w:p>
        </w:tc>
        <w:tc>
          <w:tcPr>
            <w:tcW w:type="dxa" w:w="1218"/>
          </w:tcPr>
          <w:p>
            <w:r/>
            <w:r>
              <w:rPr>
                <w:b w:val="0"/>
                <w:i w:val="0"/>
              </w:rPr>
              <w:t>29,5 %</w:t>
            </w:r>
          </w:p>
        </w:tc>
        <w:tc>
          <w:tcPr>
            <w:tcW w:type="dxa" w:w="1218"/>
          </w:tcPr>
          <w:p>
            <w:r/>
            <w:r>
              <w:rPr>
                <w:b w:val="0"/>
                <w:i w:val="0"/>
              </w:rPr>
              <w:t>62,0 %</w:t>
            </w:r>
          </w:p>
        </w:tc>
        <w:tc>
          <w:tcPr>
            <w:tcW w:type="dxa" w:w="1218"/>
          </w:tcPr>
          <w:p>
            <w:r/>
            <w:r>
              <w:rPr>
                <w:b w:val="0"/>
                <w:i w:val="0"/>
              </w:rPr>
              <w:t>65,0 %</w:t>
            </w:r>
          </w:p>
        </w:tc>
        <w:tc>
          <w:tcPr>
            <w:tcW w:type="dxa" w:w="1218"/>
          </w:tcPr>
          <w:p>
            <w:r/>
            <w:r>
              <w:rPr>
                <w:b w:val="0"/>
                <w:i w:val="0"/>
              </w:rPr>
              <w:t>En objetivo</w:t>
            </w:r>
          </w:p>
        </w:tc>
        <w:tc>
          <w:tcPr>
            <w:tcW w:type="dxa" w:w="1218"/>
          </w:tcPr>
          <w:p>
            <w:r/>
            <w:r>
              <w:rPr>
                <w:b w:val="0"/>
                <w:i w:val="0"/>
              </w:rPr>
              <w:t>10.177 €</w:t>
            </w:r>
          </w:p>
        </w:tc>
      </w:tr>
      <w:tr>
        <w:tc>
          <w:tcPr>
            <w:tcW w:type="dxa" w:w="1218"/>
          </w:tcPr>
          <w:p>
            <w:r/>
            <w:r>
              <w:rPr>
                <w:b w:val="0"/>
                <w:i w:val="0"/>
              </w:rPr>
              <w:t>31</w:t>
            </w:r>
          </w:p>
        </w:tc>
        <w:tc>
          <w:tcPr>
            <w:tcW w:type="dxa" w:w="1218"/>
          </w:tcPr>
          <w:p>
            <w:r/>
            <w:r>
              <w:rPr>
                <w:b w:val="0"/>
                <w:i w:val="0"/>
              </w:rPr>
              <w:t>25.714 €</w:t>
            </w:r>
          </w:p>
        </w:tc>
        <w:tc>
          <w:tcPr>
            <w:tcW w:type="dxa" w:w="1218"/>
          </w:tcPr>
          <w:p>
            <w:r/>
            <w:r>
              <w:rPr>
                <w:b w:val="0"/>
                <w:i w:val="0"/>
              </w:rPr>
              <w:t>32,4 %</w:t>
            </w:r>
          </w:p>
        </w:tc>
        <w:tc>
          <w:tcPr>
            <w:tcW w:type="dxa" w:w="1218"/>
          </w:tcPr>
          <w:p>
            <w:r/>
            <w:r>
              <w:rPr>
                <w:b w:val="0"/>
                <w:i w:val="0"/>
              </w:rPr>
              <w:t>30,1 %</w:t>
            </w:r>
          </w:p>
        </w:tc>
        <w:tc>
          <w:tcPr>
            <w:tcW w:type="dxa" w:w="1218"/>
          </w:tcPr>
          <w:p>
            <w:r/>
            <w:r>
              <w:rPr>
                <w:b w:val="0"/>
                <w:i w:val="0"/>
              </w:rPr>
              <w:t>62,6 %</w:t>
            </w:r>
          </w:p>
        </w:tc>
        <w:tc>
          <w:tcPr>
            <w:tcW w:type="dxa" w:w="1218"/>
          </w:tcPr>
          <w:p>
            <w:r/>
            <w:r>
              <w:rPr>
                <w:b w:val="0"/>
                <w:i w:val="0"/>
              </w:rPr>
              <w:t>65,0 %</w:t>
            </w:r>
          </w:p>
        </w:tc>
        <w:tc>
          <w:tcPr>
            <w:tcW w:type="dxa" w:w="1218"/>
          </w:tcPr>
          <w:p>
            <w:r/>
            <w:r>
              <w:rPr>
                <w:b w:val="0"/>
                <w:i w:val="0"/>
              </w:rPr>
              <w:t>En objetivo</w:t>
            </w:r>
          </w:p>
        </w:tc>
        <w:tc>
          <w:tcPr>
            <w:tcW w:type="dxa" w:w="1218"/>
          </w:tcPr>
          <w:p>
            <w:r/>
            <w:r>
              <w:rPr>
                <w:b w:val="0"/>
                <w:i w:val="0"/>
              </w:rPr>
              <w:t>9.624 €</w:t>
            </w:r>
          </w:p>
        </w:tc>
      </w:tr>
      <w:tr>
        <w:tc>
          <w:tcPr>
            <w:tcW w:type="dxa" w:w="1218"/>
          </w:tcPr>
          <w:p>
            <w:r/>
            <w:r>
              <w:rPr>
                <w:b w:val="0"/>
                <w:i w:val="0"/>
              </w:rPr>
              <w:t>32</w:t>
            </w:r>
          </w:p>
        </w:tc>
        <w:tc>
          <w:tcPr>
            <w:tcW w:type="dxa" w:w="1218"/>
          </w:tcPr>
          <w:p>
            <w:r/>
            <w:r>
              <w:rPr>
                <w:b w:val="0"/>
                <w:i w:val="0"/>
              </w:rPr>
              <w:t>22.940 €</w:t>
            </w:r>
          </w:p>
        </w:tc>
        <w:tc>
          <w:tcPr>
            <w:tcW w:type="dxa" w:w="1218"/>
          </w:tcPr>
          <w:p>
            <w:r/>
            <w:r>
              <w:rPr>
                <w:b w:val="0"/>
                <w:i w:val="0"/>
              </w:rPr>
              <w:t>31,0 %</w:t>
            </w:r>
          </w:p>
        </w:tc>
        <w:tc>
          <w:tcPr>
            <w:tcW w:type="dxa" w:w="1218"/>
          </w:tcPr>
          <w:p>
            <w:r/>
            <w:r>
              <w:rPr>
                <w:b w:val="0"/>
                <w:i w:val="0"/>
              </w:rPr>
              <w:t>33,5 %</w:t>
            </w:r>
          </w:p>
        </w:tc>
        <w:tc>
          <w:tcPr>
            <w:tcW w:type="dxa" w:w="1218"/>
          </w:tcPr>
          <w:p>
            <w:r/>
            <w:r>
              <w:rPr>
                <w:b w:val="0"/>
                <w:i w:val="0"/>
              </w:rPr>
              <w:t>64,5 %</w:t>
            </w:r>
          </w:p>
        </w:tc>
        <w:tc>
          <w:tcPr>
            <w:tcW w:type="dxa" w:w="1218"/>
          </w:tcPr>
          <w:p>
            <w:r/>
            <w:r>
              <w:rPr>
                <w:b w:val="0"/>
                <w:i w:val="0"/>
              </w:rPr>
              <w:t>65,0 %</w:t>
            </w:r>
          </w:p>
        </w:tc>
        <w:tc>
          <w:tcPr>
            <w:tcW w:type="dxa" w:w="1218"/>
          </w:tcPr>
          <w:p>
            <w:r/>
            <w:r>
              <w:rPr>
                <w:b w:val="0"/>
                <w:i w:val="0"/>
              </w:rPr>
              <w:t>En objetivo</w:t>
            </w:r>
          </w:p>
        </w:tc>
        <w:tc>
          <w:tcPr>
            <w:tcW w:type="dxa" w:w="1218"/>
          </w:tcPr>
          <w:p>
            <w:r/>
            <w:r>
              <w:rPr>
                <w:b w:val="0"/>
                <w:i w:val="0"/>
              </w:rPr>
              <w:t>8.149 €</w:t>
            </w:r>
          </w:p>
        </w:tc>
      </w:tr>
      <w:tr>
        <w:tc>
          <w:tcPr>
            <w:tcW w:type="dxa" w:w="1218"/>
          </w:tcPr>
          <w:p>
            <w:r/>
            <w:r>
              <w:rPr>
                <w:b w:val="0"/>
                <w:i w:val="0"/>
              </w:rPr>
              <w:t>33</w:t>
            </w:r>
          </w:p>
        </w:tc>
        <w:tc>
          <w:tcPr>
            <w:tcW w:type="dxa" w:w="1218"/>
          </w:tcPr>
          <w:p>
            <w:r/>
            <w:r>
              <w:rPr>
                <w:b w:val="0"/>
                <w:i w:val="0"/>
              </w:rPr>
              <w:t>22.041 €</w:t>
            </w:r>
          </w:p>
        </w:tc>
        <w:tc>
          <w:tcPr>
            <w:tcW w:type="dxa" w:w="1218"/>
          </w:tcPr>
          <w:p>
            <w:r/>
            <w:r>
              <w:rPr>
                <w:b w:val="0"/>
                <w:i w:val="0"/>
              </w:rPr>
              <w:t>36,9 %</w:t>
            </w:r>
          </w:p>
        </w:tc>
        <w:tc>
          <w:tcPr>
            <w:tcW w:type="dxa" w:w="1218"/>
          </w:tcPr>
          <w:p>
            <w:r/>
            <w:r>
              <w:rPr>
                <w:b w:val="0"/>
                <w:i w:val="0"/>
              </w:rPr>
              <w:t>34,1 %</w:t>
            </w:r>
          </w:p>
        </w:tc>
        <w:tc>
          <w:tcPr>
            <w:tcW w:type="dxa" w:w="1218"/>
          </w:tcPr>
          <w:p>
            <w:r/>
            <w:r>
              <w:rPr>
                <w:b w:val="0"/>
                <w:i w:val="0"/>
              </w:rPr>
              <w:t>71,0 %</w:t>
            </w:r>
          </w:p>
        </w:tc>
        <w:tc>
          <w:tcPr>
            <w:tcW w:type="dxa" w:w="1218"/>
          </w:tcPr>
          <w:p>
            <w:r/>
            <w:r>
              <w:rPr>
                <w:b w:val="0"/>
                <w:i w:val="0"/>
              </w:rPr>
              <w:t>65,0 %</w:t>
            </w:r>
          </w:p>
        </w:tc>
        <w:tc>
          <w:tcPr>
            <w:tcW w:type="dxa" w:w="1218"/>
          </w:tcPr>
          <w:p>
            <w:r/>
            <w:r>
              <w:rPr>
                <w:b w:val="0"/>
                <w:i w:val="0"/>
              </w:rPr>
              <w:t>Por encima del objetivo</w:t>
            </w:r>
          </w:p>
        </w:tc>
        <w:tc>
          <w:tcPr>
            <w:tcW w:type="dxa" w:w="1218"/>
          </w:tcPr>
          <w:p>
            <w:r/>
            <w:r>
              <w:rPr>
                <w:b w:val="0"/>
                <w:i w:val="0"/>
              </w:rPr>
              <w:t>6.393 €</w:t>
            </w:r>
          </w:p>
        </w:tc>
      </w:tr>
      <w:tr>
        <w:tc>
          <w:tcPr>
            <w:tcW w:type="dxa" w:w="1218"/>
          </w:tcPr>
          <w:p>
            <w:r/>
            <w:r>
              <w:rPr>
                <w:b w:val="0"/>
                <w:i w:val="0"/>
              </w:rPr>
              <w:t>34</w:t>
            </w:r>
          </w:p>
        </w:tc>
        <w:tc>
          <w:tcPr>
            <w:tcW w:type="dxa" w:w="1218"/>
          </w:tcPr>
          <w:p>
            <w:r/>
            <w:r>
              <w:rPr>
                <w:b w:val="0"/>
                <w:i w:val="0"/>
              </w:rPr>
              <w:t>22.265 €</w:t>
            </w:r>
          </w:p>
        </w:tc>
        <w:tc>
          <w:tcPr>
            <w:tcW w:type="dxa" w:w="1218"/>
          </w:tcPr>
          <w:p>
            <w:r/>
            <w:r>
              <w:rPr>
                <w:b w:val="0"/>
                <w:i w:val="0"/>
              </w:rPr>
              <w:t>31,0 %</w:t>
            </w:r>
          </w:p>
        </w:tc>
        <w:tc>
          <w:tcPr>
            <w:tcW w:type="dxa" w:w="1218"/>
          </w:tcPr>
          <w:p>
            <w:r/>
            <w:r>
              <w:rPr>
                <w:b w:val="0"/>
                <w:i w:val="0"/>
              </w:rPr>
              <w:t>34,0 %</w:t>
            </w:r>
          </w:p>
        </w:tc>
        <w:tc>
          <w:tcPr>
            <w:tcW w:type="dxa" w:w="1218"/>
          </w:tcPr>
          <w:p>
            <w:r/>
            <w:r>
              <w:rPr>
                <w:b w:val="0"/>
                <w:i w:val="0"/>
              </w:rPr>
              <w:t>65,0 %</w:t>
            </w:r>
          </w:p>
        </w:tc>
        <w:tc>
          <w:tcPr>
            <w:tcW w:type="dxa" w:w="1218"/>
          </w:tcPr>
          <w:p>
            <w:r/>
            <w:r>
              <w:rPr>
                <w:b w:val="0"/>
                <w:i w:val="0"/>
              </w:rPr>
              <w:t>65,0 %</w:t>
            </w:r>
          </w:p>
        </w:tc>
        <w:tc>
          <w:tcPr>
            <w:tcW w:type="dxa" w:w="1218"/>
          </w:tcPr>
          <w:p>
            <w:r/>
            <w:r>
              <w:rPr>
                <w:b w:val="0"/>
                <w:i w:val="0"/>
              </w:rPr>
              <w:t>En objetivo</w:t>
            </w:r>
          </w:p>
        </w:tc>
        <w:tc>
          <w:tcPr>
            <w:tcW w:type="dxa" w:w="1218"/>
          </w:tcPr>
          <w:p>
            <w:r/>
            <w:r>
              <w:rPr>
                <w:b w:val="0"/>
                <w:i w:val="0"/>
              </w:rPr>
              <w:t>7.796 €</w:t>
            </w:r>
          </w:p>
        </w:tc>
      </w:tr>
      <w:tr>
        <w:tc>
          <w:tcPr>
            <w:tcW w:type="dxa" w:w="1218"/>
          </w:tcPr>
          <w:p>
            <w:r/>
            <w:r>
              <w:rPr>
                <w:b w:val="0"/>
                <w:i w:val="0"/>
              </w:rPr>
              <w:t>35</w:t>
            </w:r>
          </w:p>
        </w:tc>
        <w:tc>
          <w:tcPr>
            <w:tcW w:type="dxa" w:w="1218"/>
          </w:tcPr>
          <w:p>
            <w:r/>
            <w:r>
              <w:rPr>
                <w:b w:val="0"/>
                <w:i w:val="0"/>
              </w:rPr>
              <w:t>22.715 €</w:t>
            </w:r>
          </w:p>
        </w:tc>
        <w:tc>
          <w:tcPr>
            <w:tcW w:type="dxa" w:w="1218"/>
          </w:tcPr>
          <w:p>
            <w:r/>
            <w:r>
              <w:rPr>
                <w:b w:val="0"/>
                <w:i w:val="0"/>
              </w:rPr>
              <w:t>38,6 %</w:t>
            </w:r>
          </w:p>
        </w:tc>
        <w:tc>
          <w:tcPr>
            <w:tcW w:type="dxa" w:w="1218"/>
          </w:tcPr>
          <w:p>
            <w:r/>
            <w:r>
              <w:rPr>
                <w:b w:val="0"/>
                <w:i w:val="0"/>
              </w:rPr>
              <w:t>33,6 %</w:t>
            </w:r>
          </w:p>
        </w:tc>
        <w:tc>
          <w:tcPr>
            <w:tcW w:type="dxa" w:w="1218"/>
          </w:tcPr>
          <w:p>
            <w:r/>
            <w:r>
              <w:rPr>
                <w:b w:val="0"/>
                <w:i w:val="0"/>
              </w:rPr>
              <w:t>72,2 %</w:t>
            </w:r>
          </w:p>
        </w:tc>
        <w:tc>
          <w:tcPr>
            <w:tcW w:type="dxa" w:w="1218"/>
          </w:tcPr>
          <w:p>
            <w:r/>
            <w:r>
              <w:rPr>
                <w:b w:val="0"/>
                <w:i w:val="0"/>
              </w:rPr>
              <w:t>65,0 %</w:t>
            </w:r>
          </w:p>
        </w:tc>
        <w:tc>
          <w:tcPr>
            <w:tcW w:type="dxa" w:w="1218"/>
          </w:tcPr>
          <w:p>
            <w:r/>
            <w:r>
              <w:rPr>
                <w:b w:val="0"/>
                <w:i w:val="0"/>
              </w:rPr>
              <w:t>Por encima del objetivo</w:t>
            </w:r>
          </w:p>
        </w:tc>
        <w:tc>
          <w:tcPr>
            <w:tcW w:type="dxa" w:w="1218"/>
          </w:tcPr>
          <w:p>
            <w:r/>
            <w:r>
              <w:rPr>
                <w:b w:val="0"/>
                <w:i w:val="0"/>
              </w:rPr>
              <w:t>6.315 €</w:t>
            </w:r>
          </w:p>
        </w:tc>
      </w:tr>
      <w:tr>
        <w:tc>
          <w:tcPr>
            <w:tcW w:type="dxa" w:w="1218"/>
          </w:tcPr>
          <w:p>
            <w:r/>
            <w:r>
              <w:rPr>
                <w:b w:val="0"/>
                <w:i w:val="0"/>
              </w:rPr>
              <w:t>36</w:t>
            </w:r>
          </w:p>
        </w:tc>
        <w:tc>
          <w:tcPr>
            <w:tcW w:type="dxa" w:w="1218"/>
          </w:tcPr>
          <w:p>
            <w:r/>
            <w:r>
              <w:rPr>
                <w:b w:val="0"/>
                <w:i w:val="0"/>
              </w:rPr>
              <w:t>23.878 €</w:t>
            </w:r>
          </w:p>
        </w:tc>
        <w:tc>
          <w:tcPr>
            <w:tcW w:type="dxa" w:w="1218"/>
          </w:tcPr>
          <w:p>
            <w:r/>
            <w:r>
              <w:rPr>
                <w:b w:val="0"/>
                <w:i w:val="0"/>
              </w:rPr>
              <w:t>36,1 %</w:t>
            </w:r>
          </w:p>
        </w:tc>
        <w:tc>
          <w:tcPr>
            <w:tcW w:type="dxa" w:w="1218"/>
          </w:tcPr>
          <w:p>
            <w:r/>
            <w:r>
              <w:rPr>
                <w:b w:val="0"/>
                <w:i w:val="0"/>
              </w:rPr>
              <w:t>30,7 %</w:t>
            </w:r>
          </w:p>
        </w:tc>
        <w:tc>
          <w:tcPr>
            <w:tcW w:type="dxa" w:w="1218"/>
          </w:tcPr>
          <w:p>
            <w:r/>
            <w:r>
              <w:rPr>
                <w:b w:val="0"/>
                <w:i w:val="0"/>
              </w:rPr>
              <w:t>66,8 %</w:t>
            </w:r>
          </w:p>
        </w:tc>
        <w:tc>
          <w:tcPr>
            <w:tcW w:type="dxa" w:w="1218"/>
          </w:tcPr>
          <w:p>
            <w:r/>
            <w:r>
              <w:rPr>
                <w:b w:val="0"/>
                <w:i w:val="0"/>
              </w:rPr>
              <w:t>65,0 %</w:t>
            </w:r>
          </w:p>
        </w:tc>
        <w:tc>
          <w:tcPr>
            <w:tcW w:type="dxa" w:w="1218"/>
          </w:tcPr>
          <w:p>
            <w:r/>
            <w:r>
              <w:rPr>
                <w:b w:val="0"/>
                <w:i w:val="0"/>
              </w:rPr>
              <w:t>Por encima del objetivo</w:t>
            </w:r>
          </w:p>
        </w:tc>
        <w:tc>
          <w:tcPr>
            <w:tcW w:type="dxa" w:w="1218"/>
          </w:tcPr>
          <w:p>
            <w:r/>
            <w:r>
              <w:rPr>
                <w:b w:val="0"/>
                <w:i w:val="0"/>
              </w:rPr>
              <w:t>7.927 €</w:t>
            </w:r>
          </w:p>
        </w:tc>
      </w:tr>
      <w:tr>
        <w:tc>
          <w:tcPr>
            <w:tcW w:type="dxa" w:w="1218"/>
          </w:tcPr>
          <w:p>
            <w:r/>
            <w:r>
              <w:rPr>
                <w:b w:val="0"/>
                <w:i w:val="0"/>
              </w:rPr>
              <w:t>37</w:t>
            </w:r>
          </w:p>
        </w:tc>
        <w:tc>
          <w:tcPr>
            <w:tcW w:type="dxa" w:w="1218"/>
          </w:tcPr>
          <w:p>
            <w:r/>
            <w:r>
              <w:rPr>
                <w:b w:val="0"/>
                <w:i w:val="0"/>
              </w:rPr>
              <w:t>24.862 €</w:t>
            </w:r>
          </w:p>
        </w:tc>
        <w:tc>
          <w:tcPr>
            <w:tcW w:type="dxa" w:w="1218"/>
          </w:tcPr>
          <w:p>
            <w:r/>
            <w:r>
              <w:rPr>
                <w:b w:val="0"/>
                <w:i w:val="0"/>
              </w:rPr>
              <w:t>28,2 %</w:t>
            </w:r>
          </w:p>
        </w:tc>
        <w:tc>
          <w:tcPr>
            <w:tcW w:type="dxa" w:w="1218"/>
          </w:tcPr>
          <w:p>
            <w:r/>
            <w:r>
              <w:rPr>
                <w:b w:val="0"/>
                <w:i w:val="0"/>
              </w:rPr>
              <w:t>30,1 %</w:t>
            </w:r>
          </w:p>
        </w:tc>
        <w:tc>
          <w:tcPr>
            <w:tcW w:type="dxa" w:w="1218"/>
          </w:tcPr>
          <w:p>
            <w:r/>
            <w:r>
              <w:rPr>
                <w:b w:val="0"/>
                <w:i w:val="0"/>
              </w:rPr>
              <w:t>58,4 %</w:t>
            </w:r>
          </w:p>
        </w:tc>
        <w:tc>
          <w:tcPr>
            <w:tcW w:type="dxa" w:w="1218"/>
          </w:tcPr>
          <w:p>
            <w:r/>
            <w:r>
              <w:rPr>
                <w:b w:val="0"/>
                <w:i w:val="0"/>
              </w:rPr>
              <w:t>65,0 %</w:t>
            </w:r>
          </w:p>
        </w:tc>
        <w:tc>
          <w:tcPr>
            <w:tcW w:type="dxa" w:w="1218"/>
          </w:tcPr>
          <w:p>
            <w:r/>
            <w:r>
              <w:rPr>
                <w:b w:val="0"/>
                <w:i w:val="0"/>
              </w:rPr>
              <w:t>En objetivo</w:t>
            </w:r>
          </w:p>
        </w:tc>
        <w:tc>
          <w:tcPr>
            <w:tcW w:type="dxa" w:w="1218"/>
          </w:tcPr>
          <w:p>
            <w:r/>
            <w:r>
              <w:rPr>
                <w:b w:val="0"/>
                <w:i w:val="0"/>
              </w:rPr>
              <w:t>10.354 €</w:t>
            </w:r>
          </w:p>
        </w:tc>
      </w:tr>
    </w:tbl>
    <w:p/>
    <w:p>
      <w:pPr>
        <w:jc w:val="center"/>
      </w:pPr>
      <w:r>
        <w:rPr>
          <w:i/>
          <w:color w:val="444444"/>
        </w:rPr>
        <w:t>Mira la columna del margen, no sólo la del porcentaje: es la que dice cuántos euros quedaron esa semana para pagar alquiler, suministros y todo lo demás.</w:t>
      </w:r>
    </w:p>
    <w:p>
      <w:r>
        <w:br w:type="page"/>
      </w:r>
    </w:p>
    <w:p>
      <w:pPr>
        <w:pStyle w:val="Heading1"/>
      </w:pPr>
      <w:r>
        <w:t>4. Prime Cost y Coste de Personal: Dónde se Pierde el Margen</w:t>
      </w:r>
    </w:p>
    <w:p>
      <w:pPr>
        <w:pStyle w:val="Heading2"/>
      </w:pPr>
      <w:r>
        <w:t>Qué suma el prime cost y por qué se miran juntos</w:t>
      </w:r>
    </w:p>
    <w:p>
      <w:r>
        <w:rPr>
          <w:b w:val="0"/>
          <w:i w:val="0"/>
        </w:rPr>
        <w:t>El food cost por sí solo miente por omisión. Vigilar sólo el coste de producto empuja a comprar más elaborado y dejar que las horas de cocina se disparen sin control; al revés, elaborar todo en casa compra un food cost bonito a cambio de una plantilla sobredimensionada que nadie suma. Son vasos comunicantes: bajar uno casi siempre sube el otro, y ninguno de los dos, aislado, dice si el negocio va bien.</w:t>
      </w:r>
    </w:p>
    <w:p>
      <w:r>
        <w:rPr>
          <w:b w:val="0"/>
          <w:i w:val="0"/>
        </w:rPr>
        <w:t>El prime cost suma el coste de producto y el de personal contra la misma venta. En «La Encina», el cuadro de mando semanal del manager (gerente/encargado) cierra el año con un food cost ponderado del 31,7 % y un labor cost ponderado del 31,0 %, que sumados dan un prime cost del 62,8 %: por debajo del objetivo del 65 % de la hoja «Parámetros». El reparto no es simétrico -food cost por encima del objetivo del 30 %, labor cost por debajo del 33 %-, compensación que mirar cada partida por separado habría escondido. El margen tras cubrir ambas partidas es de 456.666 € en el año: la cifra que sostiene alquiler, suministros, amortización y resultado.</w:t>
      </w:r>
    </w:p>
    <w:p>
      <w:r>
        <w:rPr>
          <w:b w:val="0"/>
          <w:i w:val="0"/>
        </w:rPr>
        <w:t>Esto no sustituye al food cost por partida ni al labor cost por turno, herramientas diarias; el prime cost aporta la vista de conjunto que impide juzgar una decisión operativa por su efecto en una sola columna cuando mueve las dos.</w:t>
      </w:r>
    </w:p>
    <w:p>
      <w:pPr>
        <w:pStyle w:val="Heading2"/>
      </w:pPr>
      <w:r>
        <w:t>Del salario bruto al coste-empresa: la cotización, partida a partida</w:t>
      </w:r>
    </w:p>
    <w:p>
      <w:r>
        <w:rPr>
          <w:b w:val="0"/>
          <w:i w:val="0"/>
        </w:rPr>
        <w:t>El error más caro de este capítulo es una etiqueta mal puesta: casi todo el mundo llama «la Seguridad Social de la empresa» al 23,60 % de la nómina (planilla), y ese 23,60 % es sólo la cotización por contingencias comunes a cargo de la empresa, según el art. 4.a) de la Orden PJC/297/2026, de 30 de marzo, verificado el 4 de septiembre de 2026; la persona trabajadora cotiza aparte un 4,70 %, y el tope de la base de cotización es de 5.101,20 € mensuales desde el 1 de enero de 2026. Presupuestar con ese 23,60 % deja fuera el desempleo, el FOGASA, la formación profesional, la prima de accidentes de trabajo y enfermedades profesionales y el mecanismo de equidad intergeneracional. Sumadas todas las partidas, la cotización total a cargo de la empresa en hostelería para 2026 queda en el 32,15 % con contrato indefinido y en el 33,35 % con contrato temporal, según los arts. 4.a), 4.b), 16 y 33.2 de la misma Orden y la disposición adicional 61.ª del TRLGSS, verificado el 4 de septiembre de 2026: casi nueve puntos por encima del 23,60 % que circula como atajo.</w:t>
      </w:r>
    </w:p>
    <w:p>
      <w:r>
        <w:rPr>
          <w:b w:val="0"/>
          <w:i w:val="0"/>
        </w:rPr>
        <w:t>Las plantillas de la familia -esta hoja «Semana» y la de coste laboral del Kit de Gestión de Personal- redondean esa cotización al 33 %, la convención de la casa. Con ese 33 % en «Parámetros», el coste de personal con Seguridad Social de «La Encina» en el año asciende a 380.531 € sobre unos salarios brutos de 273.910 €: la diferencia es lo que un presupuesto con el 23,60 % dejaría fuera. El salario mínimo interprofesional para 2026 sube un 3,1 % respecto a 2025, con efectos retroactivos desde el 1 de enero; el Real Decreto 126/2026, de 18 de febrero, verificado el 4 de septiembre de 2026, fija 1.221 €/mes en 14 pagas y 40,70 €/día, y los 17.094 € al año son cálculo propio, no una cifra de la norma.</w:t>
      </w:r>
    </w:p>
    <w:p>
      <w:r>
        <w:rPr>
          <w:b w:val="0"/>
          <w:i w:val="0"/>
        </w:rPr>
        <w:t>Quien quiera el coste-empresa de una persona concreta, con su categoría y su convenio provincial, la resuelve en la plantilla de coste laboral del Kit de Gestión de Personal. Aquí se trabaja el agregado semanal y el criterio para no quedarse corto al presupuestar.</w:t>
      </w:r>
    </w:p>
    <w:p>
      <w:pPr>
        <w:pStyle w:val="Heading2"/>
      </w:pPr>
      <w:r>
        <w:t>El umbral de la casa: 65 % en sala, 55 % en barra</w:t>
      </w:r>
    </w:p>
    <w:p>
      <w:r>
        <w:rPr>
          <w:b w:val="0"/>
          <w:i w:val="0"/>
        </w:rPr>
        <w:t>El 65 % de prime cost que trae por defecto el cuadro de mando no lo publica ningún organismo: es criterio de la casa, derivado de la estructura de costes de referencia española de CaixaBankLab y elBullifoundation, «Consumos y beneficios de un restaurante» (publicado en 2017 y revisado en 2022). Esa referencia sitúa el coste de producto en el 30 % de la venta -28 % en comida y 34,5 % en bebida- y el coste de personal en el 30-35 % en lo que la fuente llama servicio integrado, frente al 15-25 % del servicio parcial; presentar el 65 % como dato de fuente sería el error que este manual corrige en el resto del sector.</w:t>
      </w:r>
    </w:p>
    <w:p>
      <w:r>
        <w:rPr>
          <w:b w:val="0"/>
          <w:i w:val="0"/>
        </w:rPr>
        <w:t>De ahí sale el segundo umbral, el 55 % de barra o autoservicio: la fuente habla de servicio integrado y servicio parcial, nunca de «barra» ni de «autoservicio»; esa traducción es lectura propia del manual, no etiqueta de la fuente. La hoja «Parámetros» lleva una casilla de tipo de negocio que decide cuál de los dos criterios aplica, y cambiarla mueve a la vez los tres objetivos: el 30 % de food cost, el 33 % de labor cost y el umbral de prime cost resultante. Un local de barra medido con el objetivo de sala (salón) aplica una vara equivocada, y el semáforo lo señalará como problema cuando su estructura de costes es otra.</w:t>
      </w:r>
    </w:p>
    <w:p>
      <w:r>
        <w:rPr>
          <w:b w:val="0"/>
          <w:i w:val="0"/>
        </w:rPr>
        <w:t>La tabla siguiente recoge cómo cambian los tres objetivos según el tipo de negocio marcado en esa casilla: conviene revisarla antes de dar por bueno cualquier semáforo, porque un prime cost del 62,8 % es saludable en sala, pero exigiría revisión si «La Encina» operase con el criterio de barra.</w:t>
      </w:r>
    </w:p>
    <w:p>
      <w:pPr>
        <w:pStyle w:val="Heading2"/>
      </w:pPr>
      <w:r>
        <w:t>Vasos comunicantes: elaborar en casa o comprar elaborado</w:t>
      </w:r>
    </w:p>
    <w:p>
      <w:r>
        <w:rPr>
          <w:b w:val="0"/>
          <w:i w:val="0"/>
        </w:rPr>
        <w:t>La decisión de elaborar un fondo, una masa o un corte en cocina, o de comprarlo ya elaborado a un proveedor, se repite cada semana y en cada partida de la carta, y casi siempre se juzga con la pregunta equivocada. La pregunta correcta no es qué le hace esa decisión al food cost, sino qué le hace al prime cost: elaborar en casa añade horas de cocina que hay que pagar, y comprar elaborado sube el coste de producto a cambio de liberar esas horas. Juzgar el cambio sólo por el food cost premia siempre elaborar más, aunque las horas añadidas empujen el labor cost por encima de lo que el food cost ha bajado; juzgarlo sólo por el labor cost premia siempre comprar más, aunque el producto se encarezca más de lo que las horas ahorradas valen.</w:t>
      </w:r>
    </w:p>
    <w:p>
      <w:r>
        <w:rPr>
          <w:b w:val="0"/>
          <w:i w:val="0"/>
        </w:rPr>
        <w:t>El criterio que sostiene esta decisión sin sesgo es el mismo semáforo del prime cost: si elaborar una partida en casa mantiene el conjunto por debajo del umbral de la casa, la decisión se sostiene aunque el food cost suba unas décimas; si comprarla elaborada mantiene ese mismo umbral, se sostiene aunque el labor cost baje menos de lo esperado. No hay una respuesta única ni permanente, porque cambia con el precio del proveedor, con la carga de trabajo del turno y con la plantilla disponible esa semana; lo que no cambia es que las dos partidas se miran juntas, nunca por separado.</w:t>
      </w:r>
    </w:p>
    <w:p>
      <w:r>
        <w:rPr>
          <w:b w:val="0"/>
          <w:i w:val="0"/>
        </w:rPr>
        <w:t>El escandallo de la Guía Food Cost calcula lo que cuesta cada receta, elaborada en casa o con producto ya preparado, con el detalle de ingrediente y de ración. Este manual no repite esa cuenta: aporta el criterio que decide qué hacer con la cifra que sale del escandallo cuando hay que mirarla junto al coste de personal de la semana, que es donde se decide si la partida compensa al conjunto del negocio.</w:t>
      </w:r>
    </w:p>
    <w:p>
      <w:r>
        <w:rPr>
          <w:b w:val="0"/>
          <w:i w:val="0"/>
        </w:rPr>
        <w:t>La decisión tampoco pesa igual en todas las partidas de cocina. Panadería y pastelería son, en la práctica, las que más veces se plantean comprar elaborado sin que el cliente perciba la diferencia; los fondos y las salsas de la casa suelen ser justo lo contrario, la partida donde elaborar en casa defiende mejor lo que la carta promete. Esa diferencia por partida es lo que el semáforo del cuadro de mando no ve por sí solo, porque lo mide agregado a la semana: bajar esa vista agregada a cada partida, y revisarla cuando cambien el precio del proveedor o la plantilla disponible, es tarea del criterio del manager, no una decisión que se fija una vez y se olvida.</w:t>
      </w:r>
    </w:p>
    <w:p>
      <w:pPr>
        <w:pStyle w:val="Heading2"/>
      </w:pPr>
      <w:r>
        <w:t>El sector paga poco y forma menos: qué significa eso para tu presupuesto</w:t>
      </w:r>
    </w:p>
    <w:p>
      <w:r>
        <w:rPr>
          <w:b w:val="0"/>
          <w:i w:val="0"/>
        </w:rPr>
        <w:t>El coste laboral bruto por trabajador y año en hostelería es el más bajo de las 18 secciones de actividad que publica la Encuesta Anual de Coste Laboral del INE (2025): 23.690,02 € frente a 38.748,94 € de media nacional, un 61 % del conjunto de la economía. Mirando sólo la retribución, sin las cotizaciones y el resto de partidas que completan ese coste total, el resultado es el mismo: los sueldos y salarios brutos por trabajador y año en hostelería son 17.190,75 € frente a 28.410,78 € en el conjunto de la industria, la construcción y los servicios, el 60,5 % de la media española y también el importe más bajo de las 18 secciones (INE, Encuesta Anual de Coste Laboral 2025, resultados por secciones de la CNAE-09, tabla 9125). Esta es la comparación que sostiene la afirmación, no la que circula por el sector con cifras de 1.512 € frente a 2.345 € al mes, cuya cadena de fuentes no acaba en ningún informe publicado y por eso no se usa aquí.</w:t>
      </w:r>
    </w:p>
    <w:p>
      <w:r>
        <w:rPr>
          <w:b w:val="0"/>
          <w:i w:val="0"/>
        </w:rPr>
        <w:t>La diferencia entre las dos cifras del INE no es un matiz técnico. El coste laboral total de 23.690,02 € incluye, además del sueldo, la cotización empresarial que se ha explicado en este capítulo; los 17.190,75 € son sólo la retribución bruta, antes de esa cotización. Sobre un sueldo ya bajo, cada punto de cotización pesa proporcionalmente más que sobre uno alto, y por eso presupuestar una incorporación con el 23,60 % de contingencias comunes en vez del coste-empresa completo se queda corto de una forma más dolorosa en hostelería que en un sector mejor pagado.</w:t>
      </w:r>
    </w:p>
    <w:p>
      <w:r>
        <w:rPr>
          <w:b w:val="0"/>
          <w:i w:val="0"/>
        </w:rPr>
        <w:t>Esto no es una queja moral: es un dato de presupuesto. Quien compite por retener camarero (mesero), cocinero o encargado de turno lo hace contra un suelo salarial que es, medido por el INE, el más bajo de toda la economía española; presupuestar en la media del sector no da ninguna ventaja para retener a nadie, sólo iguala el suelo. Y el mismo sector que menos paga es, en la práctica del día a día, el que menos invierte en formar a su plantilla: quien quiera polivalencia real -que la persona de partidas cubra también la plancha, que la de sala cubra una caja en un pico de servicio- tiene que presupuestar explícitamente esa formación, porque el sector en conjunto no lo hace por él. El coste de personal ponderado de «La Encina» convive con este mismo suelo salarial: subir por encima de él es una palanca de retención, no un gasto sin retorno, y conviene presupuestarla dentro del mismo prime cost que ya se está vigilando, no aparte y como una sorpresa a mitad de año.</w:t>
      </w:r>
    </w:p>
    <w:p>
      <w:r>
        <w:rPr>
          <w:b/>
          <w:i w:val="0"/>
        </w:rPr>
        <w:t>Los objetivos cambian con el formato de negocio (cuadro-de-mando-semanal-manager.xlsx, hoja «Parámetros»)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Tipo de negocio</w:t>
            </w:r>
          </w:p>
        </w:tc>
        <w:tc>
          <w:tcPr>
            <w:tcW w:type="dxa" w:w="2436"/>
          </w:tcPr>
          <w:p>
            <w:r/>
            <w:r>
              <w:rPr>
                <w:b/>
                <w:i w:val="0"/>
              </w:rPr>
              <w:t>Objetivo de food cost (%)</w:t>
            </w:r>
          </w:p>
        </w:tc>
        <w:tc>
          <w:tcPr>
            <w:tcW w:type="dxa" w:w="2436"/>
          </w:tcPr>
          <w:p>
            <w:r/>
            <w:r>
              <w:rPr>
                <w:b/>
                <w:i w:val="0"/>
              </w:rPr>
              <w:t>Objetivo de labor cost (%)</w:t>
            </w:r>
          </w:p>
        </w:tc>
        <w:tc>
          <w:tcPr>
            <w:tcW w:type="dxa" w:w="2436"/>
          </w:tcPr>
          <w:p>
            <w:r/>
            <w:r>
              <w:rPr>
                <w:b/>
                <w:i w:val="0"/>
              </w:rPr>
              <w:t>Objetivo de prime cost (%)</w:t>
            </w:r>
          </w:p>
        </w:tc>
      </w:tr>
      <w:tr>
        <w:tc>
          <w:tcPr>
            <w:tcW w:type="dxa" w:w="2436"/>
          </w:tcPr>
          <w:p>
            <w:r/>
            <w:r>
              <w:rPr>
                <w:b w:val="0"/>
                <w:i w:val="0"/>
              </w:rPr>
              <w:t>Sala</w:t>
            </w:r>
          </w:p>
        </w:tc>
        <w:tc>
          <w:tcPr>
            <w:tcW w:type="dxa" w:w="2436"/>
          </w:tcPr>
          <w:p>
            <w:r/>
            <w:r>
              <w:rPr>
                <w:b w:val="0"/>
                <w:i w:val="0"/>
              </w:rPr>
              <w:t>30,0 %</w:t>
            </w:r>
          </w:p>
        </w:tc>
        <w:tc>
          <w:tcPr>
            <w:tcW w:type="dxa" w:w="2436"/>
          </w:tcPr>
          <w:p>
            <w:r/>
            <w:r>
              <w:rPr>
                <w:b w:val="0"/>
                <w:i w:val="0"/>
              </w:rPr>
              <w:t>33,0 %</w:t>
            </w:r>
          </w:p>
        </w:tc>
        <w:tc>
          <w:tcPr>
            <w:tcW w:type="dxa" w:w="2436"/>
          </w:tcPr>
          <w:p>
            <w:r/>
            <w:r>
              <w:rPr>
                <w:b w:val="0"/>
                <w:i w:val="0"/>
              </w:rPr>
              <w:t>65,0 %</w:t>
            </w:r>
          </w:p>
        </w:tc>
      </w:tr>
      <w:tr>
        <w:tc>
          <w:tcPr>
            <w:tcW w:type="dxa" w:w="2436"/>
          </w:tcPr>
          <w:p>
            <w:r/>
            <w:r>
              <w:rPr>
                <w:b w:val="0"/>
                <w:i w:val="0"/>
              </w:rPr>
              <w:t>Barra o autoservicio</w:t>
            </w:r>
          </w:p>
        </w:tc>
        <w:tc>
          <w:tcPr>
            <w:tcW w:type="dxa" w:w="2436"/>
          </w:tcPr>
          <w:p>
            <w:r/>
            <w:r>
              <w:rPr>
                <w:b w:val="0"/>
                <w:i w:val="0"/>
              </w:rPr>
              <w:t>30,0 %</w:t>
            </w:r>
          </w:p>
        </w:tc>
        <w:tc>
          <w:tcPr>
            <w:tcW w:type="dxa" w:w="2436"/>
          </w:tcPr>
          <w:p>
            <w:r/>
            <w:r>
              <w:rPr>
                <w:b w:val="0"/>
                <w:i w:val="0"/>
              </w:rPr>
              <w:t>25,0 %</w:t>
            </w:r>
          </w:p>
        </w:tc>
        <w:tc>
          <w:tcPr>
            <w:tcW w:type="dxa" w:w="2436"/>
          </w:tcPr>
          <w:p>
            <w:r/>
            <w:r>
              <w:rPr>
                <w:b w:val="0"/>
                <w:i w:val="0"/>
              </w:rPr>
              <w:t>55,0 %</w:t>
            </w:r>
          </w:p>
        </w:tc>
      </w:tr>
    </w:tbl>
    <w:p/>
    <w:p>
      <w:pPr>
        <w:jc w:val="center"/>
      </w:pPr>
      <w:r>
        <w:rPr>
          <w:i/>
          <w:color w:val="444444"/>
        </w:rPr>
        <w:t>Los tres objetivos son criterio de la casa derivado de la estructura de costes de referencia española, no una cifra de fuente. Son casillas editables: si tu negocio no es ninguno de los dos, pones los tuyos.</w:t>
      </w:r>
    </w:p>
    <w:p>
      <w:r>
        <w:rPr>
          <w:b/>
          <w:i w:val="0"/>
        </w:rPr>
        <w:t>Del salario bruto al coste-empresa: qué se le suma y por qué</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Partida</w:t>
            </w:r>
          </w:p>
        </w:tc>
        <w:tc>
          <w:tcPr>
            <w:tcW w:type="dxa" w:w="3249"/>
          </w:tcPr>
          <w:p>
            <w:r/>
            <w:r>
              <w:rPr>
                <w:b/>
                <w:i w:val="0"/>
              </w:rPr>
              <w:t>Tipo a cargo de la empresa</w:t>
            </w:r>
          </w:p>
        </w:tc>
        <w:tc>
          <w:tcPr>
            <w:tcW w:type="dxa" w:w="3249"/>
          </w:tcPr>
          <w:p>
            <w:r/>
            <w:r>
              <w:rPr>
                <w:b/>
                <w:i w:val="0"/>
              </w:rPr>
              <w:t>Qué hay que saber</w:t>
            </w:r>
          </w:p>
        </w:tc>
      </w:tr>
      <w:tr>
        <w:tc>
          <w:tcPr>
            <w:tcW w:type="dxa" w:w="3249"/>
          </w:tcPr>
          <w:p>
            <w:r/>
            <w:r>
              <w:rPr>
                <w:b w:val="0"/>
                <w:i w:val="0"/>
              </w:rPr>
              <w:t>Contingencias comunes</w:t>
            </w:r>
          </w:p>
        </w:tc>
        <w:tc>
          <w:tcPr>
            <w:tcW w:type="dxa" w:w="3249"/>
          </w:tcPr>
          <w:p>
            <w:r/>
            <w:r>
              <w:rPr>
                <w:b w:val="0"/>
                <w:i w:val="0"/>
              </w:rPr>
              <w:t>23,60 %</w:t>
            </w:r>
          </w:p>
        </w:tc>
        <w:tc>
          <w:tcPr>
            <w:tcW w:type="dxa" w:w="3249"/>
          </w:tcPr>
          <w:p>
            <w:r/>
            <w:r>
              <w:rPr>
                <w:b w:val="0"/>
                <w:i w:val="0"/>
              </w:rPr>
              <w:t>Es lo que casi todo el mundo llama, mal, «la Seguridad Social de la empresa». La persona trabajadora aporta además su parte</w:t>
            </w:r>
          </w:p>
        </w:tc>
      </w:tr>
      <w:tr>
        <w:tc>
          <w:tcPr>
            <w:tcW w:type="dxa" w:w="3249"/>
          </w:tcPr>
          <w:p>
            <w:r/>
            <w:r>
              <w:rPr>
                <w:b w:val="0"/>
                <w:i w:val="0"/>
              </w:rPr>
              <w:t>Desempleo, contrato indefinido a tiempo completo</w:t>
            </w:r>
          </w:p>
        </w:tc>
        <w:tc>
          <w:tcPr>
            <w:tcW w:type="dxa" w:w="3249"/>
          </w:tcPr>
          <w:p>
            <w:r/>
            <w:r>
              <w:rPr>
                <w:b w:val="0"/>
                <w:i w:val="0"/>
              </w:rPr>
              <w:t>5,50 %</w:t>
            </w:r>
          </w:p>
        </w:tc>
        <w:tc>
          <w:tcPr>
            <w:tcW w:type="dxa" w:w="3249"/>
          </w:tcPr>
          <w:p>
            <w:r/>
            <w:r>
              <w:rPr>
                <w:b w:val="0"/>
                <w:i w:val="0"/>
              </w:rPr>
              <w:t>Los contratos de duración determinada cotizan por encima de este tipo</w:t>
            </w:r>
          </w:p>
        </w:tc>
      </w:tr>
      <w:tr>
        <w:tc>
          <w:tcPr>
            <w:tcW w:type="dxa" w:w="3249"/>
          </w:tcPr>
          <w:p>
            <w:r/>
            <w:r>
              <w:rPr>
                <w:b w:val="0"/>
                <w:i w:val="0"/>
              </w:rPr>
              <w:t>Fondo de Garantía Salarial</w:t>
            </w:r>
          </w:p>
        </w:tc>
        <w:tc>
          <w:tcPr>
            <w:tcW w:type="dxa" w:w="3249"/>
          </w:tcPr>
          <w:p>
            <w:r/>
            <w:r>
              <w:rPr>
                <w:b w:val="0"/>
                <w:i w:val="0"/>
              </w:rPr>
              <w:t>0,20 %</w:t>
            </w:r>
          </w:p>
        </w:tc>
        <w:tc>
          <w:tcPr>
            <w:tcW w:type="dxa" w:w="3249"/>
          </w:tcPr>
          <w:p>
            <w:r/>
          </w:p>
        </w:tc>
      </w:tr>
      <w:tr>
        <w:tc>
          <w:tcPr>
            <w:tcW w:type="dxa" w:w="3249"/>
          </w:tcPr>
          <w:p>
            <w:r/>
            <w:r>
              <w:rPr>
                <w:b w:val="0"/>
                <w:i w:val="0"/>
              </w:rPr>
              <w:t>Formación profesional</w:t>
            </w:r>
          </w:p>
        </w:tc>
        <w:tc>
          <w:tcPr>
            <w:tcW w:type="dxa" w:w="3249"/>
          </w:tcPr>
          <w:p>
            <w:r/>
            <w:r>
              <w:rPr>
                <w:b w:val="0"/>
                <w:i w:val="0"/>
              </w:rPr>
              <w:t>0,60 %</w:t>
            </w:r>
          </w:p>
        </w:tc>
        <w:tc>
          <w:tcPr>
            <w:tcW w:type="dxa" w:w="3249"/>
          </w:tcPr>
          <w:p>
            <w:r/>
          </w:p>
        </w:tc>
      </w:tr>
      <w:tr>
        <w:tc>
          <w:tcPr>
            <w:tcW w:type="dxa" w:w="3249"/>
          </w:tcPr>
          <w:p>
            <w:r/>
            <w:r>
              <w:rPr>
                <w:b w:val="0"/>
                <w:i w:val="0"/>
              </w:rPr>
              <w:t>Accidentes de trabajo y enfermedades profesionales</w:t>
            </w:r>
          </w:p>
        </w:tc>
        <w:tc>
          <w:tcPr>
            <w:tcW w:type="dxa" w:w="3249"/>
          </w:tcPr>
          <w:p>
            <w:r/>
            <w:r>
              <w:rPr>
                <w:b w:val="0"/>
                <w:i w:val="0"/>
              </w:rPr>
              <w:t>Según tarifa</w:t>
            </w:r>
          </w:p>
        </w:tc>
        <w:tc>
          <w:tcPr>
            <w:tcW w:type="dxa" w:w="3249"/>
          </w:tcPr>
          <w:p>
            <w:r/>
            <w:r>
              <w:rPr>
                <w:b w:val="0"/>
                <w:i w:val="0"/>
              </w:rPr>
              <w:t>Depende de la actividad, según la tarifa de primas de la disposición adicional 61.ª del TRLGSS</w:t>
            </w:r>
          </w:p>
        </w:tc>
      </w:tr>
      <w:tr>
        <w:tc>
          <w:tcPr>
            <w:tcW w:type="dxa" w:w="3249"/>
          </w:tcPr>
          <w:p>
            <w:r/>
            <w:r>
              <w:rPr>
                <w:b w:val="0"/>
                <w:i w:val="0"/>
              </w:rPr>
              <w:t>Mecanismo de Equidad Intergeneracional, parte empresarial</w:t>
            </w:r>
          </w:p>
        </w:tc>
        <w:tc>
          <w:tcPr>
            <w:tcW w:type="dxa" w:w="3249"/>
          </w:tcPr>
          <w:p>
            <w:r/>
            <w:r>
              <w:rPr>
                <w:b w:val="0"/>
                <w:i w:val="0"/>
              </w:rPr>
              <w:t>0,75 %</w:t>
            </w:r>
          </w:p>
        </w:tc>
        <w:tc>
          <w:tcPr>
            <w:tcW w:type="dxa" w:w="3249"/>
          </w:tcPr>
          <w:p>
            <w:r/>
            <w:r>
              <w:rPr>
                <w:b w:val="0"/>
                <w:i w:val="0"/>
              </w:rPr>
              <w:t>Art. 16 de la Orden PJC/297/2026</w:t>
            </w:r>
          </w:p>
        </w:tc>
      </w:tr>
      <w:tr>
        <w:tc>
          <w:tcPr>
            <w:tcW w:type="dxa" w:w="3249"/>
          </w:tcPr>
          <w:p>
            <w:r/>
            <w:r>
              <w:rPr>
                <w:b w:val="0"/>
                <w:i w:val="0"/>
              </w:rPr>
              <w:t>TOTAL a cargo de la empresa en hostelería, 2026</w:t>
            </w:r>
          </w:p>
        </w:tc>
        <w:tc>
          <w:tcPr>
            <w:tcW w:type="dxa" w:w="3249"/>
          </w:tcPr>
          <w:p>
            <w:r/>
            <w:r>
              <w:rPr>
                <w:b w:val="0"/>
                <w:i w:val="0"/>
              </w:rPr>
              <w:t>32,15 % / 33,35 %</w:t>
            </w:r>
          </w:p>
        </w:tc>
        <w:tc>
          <w:tcPr>
            <w:tcW w:type="dxa" w:w="3249"/>
          </w:tcPr>
          <w:p>
            <w:r/>
            <w:r>
              <w:rPr>
                <w:b w:val="0"/>
                <w:i w:val="0"/>
              </w:rPr>
              <w:t>El primero, con contrato indefinido a tiempo completo; el segundo, con contrato de duración determinada</w:t>
            </w:r>
          </w:p>
        </w:tc>
      </w:tr>
    </w:tbl>
    <w:p/>
    <w:p>
      <w:pPr>
        <w:jc w:val="center"/>
      </w:pPr>
      <w:r>
        <w:rPr>
          <w:i/>
          <w:color w:val="444444"/>
        </w:rPr>
        <w:t>Verificado el 04-09-2026 · Orden PJC/297/2026, de 30 de marzo, arts. 4, 16 y 33.2, y disposición adicional 61.ª del TRLGSS · https://www.boe.es/diario_boe/txt.php?id=BOE-A-2026-7296</w:t>
      </w:r>
    </w:p>
    <w:p>
      <w:r>
        <w:br w:type="page"/>
      </w:r>
    </w:p>
    <w:p>
      <w:pPr>
        <w:pStyle w:val="Heading1"/>
      </w:pPr>
      <w:r>
        <w:t>5. El Día del Manager: Apertura, Servicio, Cierre y Handover</w:t>
      </w:r>
    </w:p>
    <w:p>
      <w:pPr>
        <w:pStyle w:val="Heading2"/>
      </w:pPr>
      <w:r>
        <w:t>Los cuatro bloques del día y qué decide cada uno</w:t>
      </w:r>
    </w:p>
    <w:p>
      <w:r>
        <w:rPr>
          <w:b w:val="0"/>
          <w:i w:val="0"/>
        </w:rPr>
        <w:t>Un checklist sin criterio se firma sin mirar. La casilla marcada certifica que alguien pasó por delante de la línea, no que la entendiera. Lo que convierte una lista de comprobación en un control real es saber, para cada punto, qué decisión depende de él y quién la toma. El día del manager (gerente/encargado) se organiza en cuatro bloques -apertura, servicio, cierre y handover- y cada uno concentra un tipo de decisión distinto: en la apertura se decide con qué se sale a jugar el servicio; durante el servicio se corrige sobre la marcha lo que no puede esperar; en el cierre se cuenta lo que ha pasado con la caja y el producto; y en el handover se traduce en información que el turno siguiente pueda usar sin reconstruirla.</w:t>
      </w:r>
    </w:p>
    <w:p>
      <w:r>
        <w:rPr>
          <w:b w:val="0"/>
          <w:i w:val="0"/>
        </w:rPr>
        <w:t>Confundir estos cuatro bloques es la forma más habitual de perder el control sin que ningún indicador lo anuncie a tiempo: tratar el cierre como una suma de caja, o creer que el servicio deja margen para resolverlo todo, cuando buena parte de lo que pasa en sala sólo se corrige antes de que empiece o después de que termine. En «La Encina», la semana completa de apertura al público suma 42 horas entre sala (salón) y cocina, y cada una pertenece a uno de los cuatro bloques. Lo que sigue desarrolla la apertura y el servicio; el cierre, el handover y la regla de qué se delega van en el tramo siguiente.</w:t>
      </w:r>
    </w:p>
    <w:p>
      <w:pPr>
        <w:pStyle w:val="Heading2"/>
      </w:pPr>
      <w:r>
        <w:t>Apertura: lo que hay que ver antes de abrir la puerta</w:t>
      </w:r>
    </w:p>
    <w:p>
      <w:r>
        <w:rPr>
          <w:b w:val="0"/>
          <w:i w:val="0"/>
        </w:rPr>
        <w:t>Antes de abrir la puerta hay tres decisiones que sólo se pueden tomar en ese momento: una vez arranca el servicio, ya no queda margen para corregir ninguna sin que el cliente lo note.</w:t>
      </w:r>
    </w:p>
    <w:p>
      <w:pPr>
        <w:pStyle w:val="ListBullet"/>
      </w:pPr>
      <w:r>
        <w:rPr>
          <w:b w:val="0"/>
          <w:i w:val="0"/>
        </w:rPr>
        <w:t>Dotación del turno frente a la reserva del día: el cuadrante (horario del personal) se cerró con antelación, sobre una previsión. La reserva real -cubiertos confirmados, cancelaciones de última hora, el grupo que llama esa mañana- dice si esa dotación sigue teniendo sentido o si hay que mover a alguien de una partida a otra antes de la primera comanda.</w:t>
      </w:r>
    </w:p>
    <w:p>
      <w:pPr>
        <w:pStyle w:val="ListBullet"/>
      </w:pPr>
      <w:r>
        <w:rPr>
          <w:b w:val="0"/>
          <w:i w:val="0"/>
        </w:rPr>
        <w:t>Producto que hay que sacar o cambiar: la carta impresa no sabe qué ha llegado esa mañana. Revisar género, mermas de cámara y roturas de stock antes de abrir evita ofrecer un plato que cocina ya no puede servir con garantías; decidir si se retira, se sustituye o se limita la ración es del manager.</w:t>
      </w:r>
    </w:p>
    <w:p>
      <w:pPr>
        <w:pStyle w:val="ListBullet"/>
      </w:pPr>
      <w:r>
        <w:rPr>
          <w:b w:val="0"/>
          <w:i w:val="0"/>
        </w:rPr>
        <w:t>Qué queda sin cubrir: con la plantilla asignada, algo se queda sin la atención de un día completo -una partida sin segundo, una zona de sala sin camarero (mesero) fijo, una tarea de mantenimiento aplazada-. Decidir de antemano qué queda descubierto, y avisar a quien lo va a notar, es preferible a que lo descubra a media hora de servicio.</w:t>
      </w:r>
    </w:p>
    <w:p>
      <w:r>
        <w:rPr>
          <w:b w:val="0"/>
          <w:i w:val="0"/>
        </w:rPr>
        <w:t>Las tres decisiones comparten el mismo reloj: se toman con la puerta cerrada o después, con menos información y bajo presión. Un briefing breve antes de abrir, en el que estas tres cosas se digan en voz alta y no se den por hechas, separa una apertura resuelta de una improvisada.</w:t>
      </w:r>
    </w:p>
    <w:p>
      <w:pPr>
        <w:pStyle w:val="Heading2"/>
      </w:pPr>
      <w:r>
        <w:t>Servicio: dónde está el manager y qué mira</w:t>
      </w:r>
    </w:p>
    <w:p>
      <w:r>
        <w:rPr>
          <w:b w:val="0"/>
          <w:i w:val="0"/>
        </w:rPr>
        <w:t>Durante el servicio, el sitio físico del manager no es fijo: cambia con el momento, porque cambia lo que hay que vigilar. En «La Encina», la media del año es de 21,5 cubiertos por hora de apertura, y esa densidad marca cuándo conviene estar en la puerta, en el pase o recorriendo la sala.</w:t>
      </w:r>
    </w:p>
    <w:p>
      <w:r>
        <w:rPr>
          <w:b w:val="0"/>
          <w:i w:val="0"/>
        </w:rPr>
        <w:t>Tres puntos de observación se van turnando a lo largo del servicio:</w:t>
      </w:r>
    </w:p>
    <w:p>
      <w:pPr>
        <w:pStyle w:val="ListBullet"/>
      </w:pPr>
      <w:r>
        <w:rPr>
          <w:b w:val="0"/>
          <w:i w:val="0"/>
        </w:rPr>
        <w:t>La puerta, en las horas punta de llegada: ahí se decide si una reserva se sienta a su hora y si un grupo sin reserva tiene sitio, con qué espera real se le informa.</w:t>
      </w:r>
    </w:p>
    <w:p>
      <w:pPr>
        <w:pStyle w:val="ListBullet"/>
      </w:pPr>
      <w:r>
        <w:rPr>
          <w:b w:val="0"/>
          <w:i w:val="0"/>
        </w:rPr>
        <w:t>El pase, en el momento de mayor presión de cocina: ahí se ve si los tiempos entre platos de una misma mesa se cumplen y si alguna elaboración se queda atrás.</w:t>
      </w:r>
    </w:p>
    <w:p>
      <w:pPr>
        <w:pStyle w:val="ListBullet"/>
      </w:pPr>
      <w:r>
        <w:rPr>
          <w:b w:val="0"/>
          <w:i w:val="0"/>
        </w:rPr>
        <w:t>La mesa que lleva más tiempo esperando: no la que más ruido hace, sino la que el reloj dice que lleva más tiempo sin que le llegue el siguiente paso, sea la carta, el plato o la cuenta.</w:t>
      </w:r>
    </w:p>
    <w:p>
      <w:r>
        <w:rPr>
          <w:b w:val="0"/>
          <w:i w:val="0"/>
        </w:rPr>
        <w:t>Lo que se corrige en el momento tiene remedio dentro del servicio: una espera que se acorta avisando a cocina, una mesa que se recoloca, una queja que se atiende antes de escalar delante de las mesas vecinas. Lo que se anota para después ya no tiene arreglo esa noche pero sí valor para no repetirse: una partida que se queda corta de forma sistemática, un plato que tarda más de lo que promete la carta, un proveedor cuyo género llega siempre justo de tiempo. Confundir ambas cosas es el error que este capítulo corrige.</w:t>
      </w:r>
    </w:p>
    <w:p>
      <w:pPr>
        <w:pStyle w:val="Heading2"/>
      </w:pPr>
      <w:r>
        <w:t>Cierre y handover: lo que el turno siguiente tiene que encontrar escrito</w:t>
      </w:r>
    </w:p>
    <w:p>
      <w:r>
        <w:rPr>
          <w:b w:val="0"/>
          <w:i w:val="0"/>
        </w:rPr>
        <w:t>El traspaso entre turnos es un documento, no una conversación en la puerta. Lo que no queda escrito se pierde, y lo que se pierde reaparece al día siguiente como queja de un cliente, de un proveedor o del turno que llega sin saber a qué se enfrenta. El cierre reúne tres tipos de información que sólo tienen valor si alguien las lee después: el resultado del arqueo (corte de caja), las incidencias de producto detectadas durante el día y lo que quedó anotado en el servicio para no repetirse.</w:t>
      </w:r>
    </w:p>
    <w:p>
      <w:r>
        <w:rPr>
          <w:b w:val="0"/>
          <w:i w:val="0"/>
        </w:rPr>
        <w:t>El arqueo certifica el resultado económico de la jornada, y cualquier descuadre se anota con su importe y su explicación en el mismo momento, no de memoria al día siguiente. Las incidencias de producto -lo que se retiró de la carta en la apertura, lo que se acabó a media tarde, lo que llegó fuera de plazo- tienen que quedar escritas para que el turno siguiente no repita la misma llamada al proveedor ni ofrezca en sala algo que ya no hay. Y lo que se anotó durante el servicio para después -una partida que se queda corta de forma sistemática, un tiempo de cocina que no cumple lo que promete la carta- sólo sirve si llega convertido en una línea escrita, con su fecha, y no en un comentario que se pierde entre el fregado y la salida.</w:t>
      </w:r>
    </w:p>
    <w:p>
      <w:r>
        <w:rPr>
          <w:b w:val="0"/>
          <w:i w:val="0"/>
        </w:rPr>
        <w:t>Un handover verbal en la puerta, entre quien cierra y quien abre al día siguiente, depende de la memoria de dos personas cansadas y de que coincidan físicamente esos minutos, que casi nunca coinciden si el cambio de turno no está planificado con antelación. Un handover escrito no depende de ninguna de las dos cosas: está disponible antes de que el turno entrante pise la sala, y sigue estando disponible aunque quien lo escribió libre al día siguiente o esté ya en otro local del grupo. La prueba de que un handover funciona no es que se haya escrito, sino que el turno que lo recibe puede actuar con él sin tener que llamar por teléfono a quien ya se ha ido a casa.</w:t>
      </w:r>
    </w:p>
    <w:p>
      <w:pPr>
        <w:pStyle w:val="Heading2"/>
      </w:pPr>
      <w:r>
        <w:t>Qué se delega, qué se supervisa y qué no se delega nunca</w:t>
      </w:r>
    </w:p>
    <w:p>
      <w:r>
        <w:rPr>
          <w:b w:val="0"/>
          <w:i w:val="0"/>
        </w:rPr>
        <w:t>La regla que ordena los cuatro bloques del día es siempre la misma: se delega la ejecución y se supervisa el resultado. Un segundo de cocina puede ejecutar la revisión de género de la apertura; el manager supervisa que se ha hecho y qué ha decidido esa persona ante lo que encontró, no que repita él mismo la revisión plato a plato. Un jefe de rango puede ejecutar la atención de la mesa que lleva más tiempo esperando; el manager supervisa que la corrección ha llegado a tiempo y con el resultado que tocaba. La diferencia entre delegar y desentenderse está en esa segunda parte: quien delega sigue mirando el resultado; quien se desentiende sólo se entera si algo llega a mayores.</w:t>
      </w:r>
    </w:p>
    <w:p>
      <w:r>
        <w:rPr>
          <w:b w:val="0"/>
          <w:i w:val="0"/>
        </w:rPr>
        <w:t>Hay tres decisiones que no se delegan nunca, con independencia de la confianza que merezca el equipo:</w:t>
      </w:r>
    </w:p>
    <w:p>
      <w:pPr>
        <w:pStyle w:val="ListBullet"/>
      </w:pPr>
      <w:r>
        <w:rPr>
          <w:b w:val="0"/>
          <w:i w:val="0"/>
        </w:rPr>
        <w:t>La firma de un registro obligatorio -el arqueo, un parte de incidencias, cualquier control cuya firma acredita que alguien responde por lo que certifica- la pone quien tiene la responsabilidad, no quien lo ha rellenado.</w:t>
      </w:r>
    </w:p>
    <w:p>
      <w:pPr>
        <w:pStyle w:val="ListBullet"/>
      </w:pPr>
      <w:r>
        <w:rPr>
          <w:b w:val="0"/>
          <w:i w:val="0"/>
        </w:rPr>
        <w:t>La decisión sobre una persona -una sanción, un cambio de turno impuesto, una conversación de desempeño- no se delega en quien va a convivir con esa persona en el día a día.</w:t>
      </w:r>
    </w:p>
    <w:p>
      <w:pPr>
        <w:pStyle w:val="ListBullet"/>
      </w:pPr>
      <w:r>
        <w:rPr>
          <w:b w:val="0"/>
          <w:i w:val="0"/>
        </w:rPr>
        <w:t>La respuesta a una reclamación formal, distinta de la queja que se resuelve en el momento en la propia mesa, exige la autoridad de quien puede comprometer al negocio.</w:t>
      </w:r>
    </w:p>
    <w:p>
      <w:r>
        <w:rPr>
          <w:b w:val="0"/>
          <w:i w:val="0"/>
        </w:rPr>
        <w:t>Los checklists de apertura, servicio y cierre no se repiten en este capítulo: están resueltos en el Kit de Tareas, y ejecutarlos bien sigue siendo trabajo del día a día. Lo que añade este capítulo es el criterio anterior y una auditoría interna que comprueba, con datos y no con impresiones, si ese criterio se aplica de verdad. La auditoría interna de servicio recorre 60 puntos de control repartidos en seis áreas, puntuados en una escala de 1 a 5 con el umbral en verde a partir de 4. En «La Encina», la puntuación ponderada de la primera visita fue de 3,33; en la tercera, de 3,96, con un cumplimiento del 79,2 %. El cuadro siguiente recoge esas seis áreas, puntuadas tres veces con la misma vara: es la auditoría completa de «La Encina» a lo largo de las tres visitas.</w:t>
      </w:r>
    </w:p>
    <w:p>
      <w:r>
        <w:rPr>
          <w:b/>
          <w:i w:val="0"/>
        </w:rPr>
        <w:t>Las seis áreas del servicio, puntuadas tres veces con la misma vara (auditoria-interna-servicio.xlsx, hoja «Resumen por Área»)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Área</w:t>
            </w:r>
          </w:p>
        </w:tc>
        <w:tc>
          <w:tcPr>
            <w:tcW w:type="dxa" w:w="1218"/>
          </w:tcPr>
          <w:p>
            <w:r/>
            <w:r>
              <w:rPr>
                <w:b/>
                <w:i w:val="0"/>
              </w:rPr>
              <w:t>Puntos de control</w:t>
            </w:r>
          </w:p>
        </w:tc>
        <w:tc>
          <w:tcPr>
            <w:tcW w:type="dxa" w:w="1218"/>
          </w:tcPr>
          <w:p>
            <w:r/>
            <w:r>
              <w:rPr>
                <w:b/>
                <w:i w:val="0"/>
              </w:rPr>
              <w:t>Peso del área</w:t>
            </w:r>
          </w:p>
        </w:tc>
        <w:tc>
          <w:tcPr>
            <w:tcW w:type="dxa" w:w="1218"/>
          </w:tcPr>
          <w:p>
            <w:r/>
            <w:r>
              <w:rPr>
                <w:b/>
                <w:i w:val="0"/>
              </w:rPr>
              <w:t>Visita 1 (0-5)</w:t>
            </w:r>
          </w:p>
        </w:tc>
        <w:tc>
          <w:tcPr>
            <w:tcW w:type="dxa" w:w="1218"/>
          </w:tcPr>
          <w:p>
            <w:r/>
            <w:r>
              <w:rPr>
                <w:b/>
                <w:i w:val="0"/>
              </w:rPr>
              <w:t>Visita 3 (0-5)</w:t>
            </w:r>
          </w:p>
        </w:tc>
        <w:tc>
          <w:tcPr>
            <w:tcW w:type="dxa" w:w="1218"/>
          </w:tcPr>
          <w:p>
            <w:r/>
            <w:r>
              <w:rPr>
                <w:b/>
                <w:i w:val="0"/>
              </w:rPr>
              <w:t>Variación de la 1 a la 3</w:t>
            </w:r>
          </w:p>
        </w:tc>
        <w:tc>
          <w:tcPr>
            <w:tcW w:type="dxa" w:w="1218"/>
          </w:tcPr>
          <w:p>
            <w:r/>
            <w:r>
              <w:rPr>
                <w:b/>
                <w:i w:val="0"/>
              </w:rPr>
              <w:t>Tendencia</w:t>
            </w:r>
          </w:p>
        </w:tc>
        <w:tc>
          <w:tcPr>
            <w:tcW w:type="dxa" w:w="1218"/>
          </w:tcPr>
          <w:p>
            <w:r/>
            <w:r>
              <w:rPr>
                <w:b/>
                <w:i w:val="0"/>
              </w:rPr>
              <w:t>Cumplimiento visita 3 (%)</w:t>
            </w:r>
          </w:p>
        </w:tc>
      </w:tr>
      <w:tr>
        <w:tc>
          <w:tcPr>
            <w:tcW w:type="dxa" w:w="1218"/>
          </w:tcPr>
          <w:p>
            <w:r/>
            <w:r>
              <w:rPr>
                <w:b w:val="0"/>
                <w:i w:val="0"/>
              </w:rPr>
              <w:t>Llegada y reserva</w:t>
            </w:r>
          </w:p>
        </w:tc>
        <w:tc>
          <w:tcPr>
            <w:tcW w:type="dxa" w:w="1218"/>
          </w:tcPr>
          <w:p>
            <w:r/>
            <w:r>
              <w:rPr>
                <w:b w:val="0"/>
                <w:i w:val="0"/>
              </w:rPr>
              <w:t>10</w:t>
            </w:r>
          </w:p>
        </w:tc>
        <w:tc>
          <w:tcPr>
            <w:tcW w:type="dxa" w:w="1218"/>
          </w:tcPr>
          <w:p>
            <w:r/>
            <w:r>
              <w:rPr>
                <w:b w:val="0"/>
                <w:i w:val="0"/>
              </w:rPr>
              <w:t>24</w:t>
            </w:r>
          </w:p>
        </w:tc>
        <w:tc>
          <w:tcPr>
            <w:tcW w:type="dxa" w:w="1218"/>
          </w:tcPr>
          <w:p>
            <w:r/>
            <w:r>
              <w:rPr>
                <w:b w:val="0"/>
                <w:i w:val="0"/>
              </w:rPr>
              <w:t>3,25</w:t>
            </w:r>
          </w:p>
        </w:tc>
        <w:tc>
          <w:tcPr>
            <w:tcW w:type="dxa" w:w="1218"/>
          </w:tcPr>
          <w:p>
            <w:r/>
            <w:r>
              <w:rPr>
                <w:b w:val="0"/>
                <w:i w:val="0"/>
              </w:rPr>
              <w:t>4,12</w:t>
            </w:r>
          </w:p>
        </w:tc>
        <w:tc>
          <w:tcPr>
            <w:tcW w:type="dxa" w:w="1218"/>
          </w:tcPr>
          <w:p>
            <w:r/>
            <w:r>
              <w:rPr>
                <w:b w:val="0"/>
                <w:i w:val="0"/>
              </w:rPr>
              <w:t>0,88</w:t>
            </w:r>
          </w:p>
        </w:tc>
        <w:tc>
          <w:tcPr>
            <w:tcW w:type="dxa" w:w="1218"/>
          </w:tcPr>
          <w:p>
            <w:r/>
            <w:r>
              <w:rPr>
                <w:b w:val="0"/>
                <w:i w:val="0"/>
              </w:rPr>
              <w:t>Mejora</w:t>
            </w:r>
          </w:p>
        </w:tc>
        <w:tc>
          <w:tcPr>
            <w:tcW w:type="dxa" w:w="1218"/>
          </w:tcPr>
          <w:p>
            <w:r/>
            <w:r>
              <w:rPr>
                <w:b w:val="0"/>
                <w:i w:val="0"/>
              </w:rPr>
              <w:t>82,5 %</w:t>
            </w:r>
          </w:p>
        </w:tc>
      </w:tr>
      <w:tr>
        <w:tc>
          <w:tcPr>
            <w:tcW w:type="dxa" w:w="1218"/>
          </w:tcPr>
          <w:p>
            <w:r/>
            <w:r>
              <w:rPr>
                <w:b w:val="0"/>
                <w:i w:val="0"/>
              </w:rPr>
              <w:t>Sala y ambiente</w:t>
            </w:r>
          </w:p>
        </w:tc>
        <w:tc>
          <w:tcPr>
            <w:tcW w:type="dxa" w:w="1218"/>
          </w:tcPr>
          <w:p>
            <w:r/>
            <w:r>
              <w:rPr>
                <w:b w:val="0"/>
                <w:i w:val="0"/>
              </w:rPr>
              <w:t>10</w:t>
            </w:r>
          </w:p>
        </w:tc>
        <w:tc>
          <w:tcPr>
            <w:tcW w:type="dxa" w:w="1218"/>
          </w:tcPr>
          <w:p>
            <w:r/>
            <w:r>
              <w:rPr>
                <w:b w:val="0"/>
                <w:i w:val="0"/>
              </w:rPr>
              <w:t>23</w:t>
            </w:r>
          </w:p>
        </w:tc>
        <w:tc>
          <w:tcPr>
            <w:tcW w:type="dxa" w:w="1218"/>
          </w:tcPr>
          <w:p>
            <w:r/>
            <w:r>
              <w:rPr>
                <w:b w:val="0"/>
                <w:i w:val="0"/>
              </w:rPr>
              <w:t>3,52</w:t>
            </w:r>
          </w:p>
        </w:tc>
        <w:tc>
          <w:tcPr>
            <w:tcW w:type="dxa" w:w="1218"/>
          </w:tcPr>
          <w:p>
            <w:r/>
            <w:r>
              <w:rPr>
                <w:b w:val="0"/>
                <w:i w:val="0"/>
              </w:rPr>
              <w:t>4,17</w:t>
            </w:r>
          </w:p>
        </w:tc>
        <w:tc>
          <w:tcPr>
            <w:tcW w:type="dxa" w:w="1218"/>
          </w:tcPr>
          <w:p>
            <w:r/>
            <w:r>
              <w:rPr>
                <w:b w:val="0"/>
                <w:i w:val="0"/>
              </w:rPr>
              <w:t>0,65</w:t>
            </w:r>
          </w:p>
        </w:tc>
        <w:tc>
          <w:tcPr>
            <w:tcW w:type="dxa" w:w="1218"/>
          </w:tcPr>
          <w:p>
            <w:r/>
            <w:r>
              <w:rPr>
                <w:b w:val="0"/>
                <w:i w:val="0"/>
              </w:rPr>
              <w:t>Mejora</w:t>
            </w:r>
          </w:p>
        </w:tc>
        <w:tc>
          <w:tcPr>
            <w:tcW w:type="dxa" w:w="1218"/>
          </w:tcPr>
          <w:p>
            <w:r/>
            <w:r>
              <w:rPr>
                <w:b w:val="0"/>
                <w:i w:val="0"/>
              </w:rPr>
              <w:t>83,5 %</w:t>
            </w:r>
          </w:p>
        </w:tc>
      </w:tr>
      <w:tr>
        <w:tc>
          <w:tcPr>
            <w:tcW w:type="dxa" w:w="1218"/>
          </w:tcPr>
          <w:p>
            <w:r/>
            <w:r>
              <w:rPr>
                <w:b w:val="0"/>
                <w:i w:val="0"/>
              </w:rPr>
              <w:t>Servicio y tiempos</w:t>
            </w:r>
          </w:p>
        </w:tc>
        <w:tc>
          <w:tcPr>
            <w:tcW w:type="dxa" w:w="1218"/>
          </w:tcPr>
          <w:p>
            <w:r/>
            <w:r>
              <w:rPr>
                <w:b w:val="0"/>
                <w:i w:val="0"/>
              </w:rPr>
              <w:t>10</w:t>
            </w:r>
          </w:p>
        </w:tc>
        <w:tc>
          <w:tcPr>
            <w:tcW w:type="dxa" w:w="1218"/>
          </w:tcPr>
          <w:p>
            <w:r/>
            <w:r>
              <w:rPr>
                <w:b w:val="0"/>
                <w:i w:val="0"/>
              </w:rPr>
              <w:t>27</w:t>
            </w:r>
          </w:p>
        </w:tc>
        <w:tc>
          <w:tcPr>
            <w:tcW w:type="dxa" w:w="1218"/>
          </w:tcPr>
          <w:p>
            <w:r/>
            <w:r>
              <w:rPr>
                <w:b w:val="0"/>
                <w:i w:val="0"/>
              </w:rPr>
              <w:t>2,93</w:t>
            </w:r>
          </w:p>
        </w:tc>
        <w:tc>
          <w:tcPr>
            <w:tcW w:type="dxa" w:w="1218"/>
          </w:tcPr>
          <w:p>
            <w:r/>
            <w:r>
              <w:rPr>
                <w:b w:val="0"/>
                <w:i w:val="0"/>
              </w:rPr>
              <w:t>4,04</w:t>
            </w:r>
          </w:p>
        </w:tc>
        <w:tc>
          <w:tcPr>
            <w:tcW w:type="dxa" w:w="1218"/>
          </w:tcPr>
          <w:p>
            <w:r/>
            <w:r>
              <w:rPr>
                <w:b w:val="0"/>
                <w:i w:val="0"/>
              </w:rPr>
              <w:t>1,11</w:t>
            </w:r>
          </w:p>
        </w:tc>
        <w:tc>
          <w:tcPr>
            <w:tcW w:type="dxa" w:w="1218"/>
          </w:tcPr>
          <w:p>
            <w:r/>
            <w:r>
              <w:rPr>
                <w:b w:val="0"/>
                <w:i w:val="0"/>
              </w:rPr>
              <w:t>Mejora</w:t>
            </w:r>
          </w:p>
        </w:tc>
        <w:tc>
          <w:tcPr>
            <w:tcW w:type="dxa" w:w="1218"/>
          </w:tcPr>
          <w:p>
            <w:r/>
            <w:r>
              <w:rPr>
                <w:b w:val="0"/>
                <w:i w:val="0"/>
              </w:rPr>
              <w:t>80,7 %</w:t>
            </w:r>
          </w:p>
        </w:tc>
      </w:tr>
      <w:tr>
        <w:tc>
          <w:tcPr>
            <w:tcW w:type="dxa" w:w="1218"/>
          </w:tcPr>
          <w:p>
            <w:r/>
            <w:r>
              <w:rPr>
                <w:b w:val="0"/>
                <w:i w:val="0"/>
              </w:rPr>
              <w:t>Producto y presentación</w:t>
            </w:r>
          </w:p>
        </w:tc>
        <w:tc>
          <w:tcPr>
            <w:tcW w:type="dxa" w:w="1218"/>
          </w:tcPr>
          <w:p>
            <w:r/>
            <w:r>
              <w:rPr>
                <w:b w:val="0"/>
                <w:i w:val="0"/>
              </w:rPr>
              <w:t>10</w:t>
            </w:r>
          </w:p>
        </w:tc>
        <w:tc>
          <w:tcPr>
            <w:tcW w:type="dxa" w:w="1218"/>
          </w:tcPr>
          <w:p>
            <w:r/>
            <w:r>
              <w:rPr>
                <w:b w:val="0"/>
                <w:i w:val="0"/>
              </w:rPr>
              <w:t>24</w:t>
            </w:r>
          </w:p>
        </w:tc>
        <w:tc>
          <w:tcPr>
            <w:tcW w:type="dxa" w:w="1218"/>
          </w:tcPr>
          <w:p>
            <w:r/>
            <w:r>
              <w:rPr>
                <w:b w:val="0"/>
                <w:i w:val="0"/>
              </w:rPr>
              <w:t>3,75</w:t>
            </w:r>
          </w:p>
        </w:tc>
        <w:tc>
          <w:tcPr>
            <w:tcW w:type="dxa" w:w="1218"/>
          </w:tcPr>
          <w:p>
            <w:r/>
            <w:r>
              <w:rPr>
                <w:b w:val="0"/>
                <w:i w:val="0"/>
              </w:rPr>
              <w:t>4,29</w:t>
            </w:r>
          </w:p>
        </w:tc>
        <w:tc>
          <w:tcPr>
            <w:tcW w:type="dxa" w:w="1218"/>
          </w:tcPr>
          <w:p>
            <w:r/>
            <w:r>
              <w:rPr>
                <w:b w:val="0"/>
                <w:i w:val="0"/>
              </w:rPr>
              <w:t>0,54</w:t>
            </w:r>
          </w:p>
        </w:tc>
        <w:tc>
          <w:tcPr>
            <w:tcW w:type="dxa" w:w="1218"/>
          </w:tcPr>
          <w:p>
            <w:r/>
            <w:r>
              <w:rPr>
                <w:b w:val="0"/>
                <w:i w:val="0"/>
              </w:rPr>
              <w:t>Mejora</w:t>
            </w:r>
          </w:p>
        </w:tc>
        <w:tc>
          <w:tcPr>
            <w:tcW w:type="dxa" w:w="1218"/>
          </w:tcPr>
          <w:p>
            <w:r/>
            <w:r>
              <w:rPr>
                <w:b w:val="0"/>
                <w:i w:val="0"/>
              </w:rPr>
              <w:t>85,8 %</w:t>
            </w:r>
          </w:p>
        </w:tc>
      </w:tr>
      <w:tr>
        <w:tc>
          <w:tcPr>
            <w:tcW w:type="dxa" w:w="1218"/>
          </w:tcPr>
          <w:p>
            <w:r/>
            <w:r>
              <w:rPr>
                <w:b w:val="0"/>
                <w:i w:val="0"/>
              </w:rPr>
              <w:t>Aseos y limpieza</w:t>
            </w:r>
          </w:p>
        </w:tc>
        <w:tc>
          <w:tcPr>
            <w:tcW w:type="dxa" w:w="1218"/>
          </w:tcPr>
          <w:p>
            <w:r/>
            <w:r>
              <w:rPr>
                <w:b w:val="0"/>
                <w:i w:val="0"/>
              </w:rPr>
              <w:t>10</w:t>
            </w:r>
          </w:p>
        </w:tc>
        <w:tc>
          <w:tcPr>
            <w:tcW w:type="dxa" w:w="1218"/>
          </w:tcPr>
          <w:p>
            <w:r/>
            <w:r>
              <w:rPr>
                <w:b w:val="0"/>
                <w:i w:val="0"/>
              </w:rPr>
              <w:t>22</w:t>
            </w:r>
          </w:p>
        </w:tc>
        <w:tc>
          <w:tcPr>
            <w:tcW w:type="dxa" w:w="1218"/>
          </w:tcPr>
          <w:p>
            <w:r/>
            <w:r>
              <w:rPr>
                <w:b w:val="0"/>
                <w:i w:val="0"/>
              </w:rPr>
              <w:t>3,95</w:t>
            </w:r>
          </w:p>
        </w:tc>
        <w:tc>
          <w:tcPr>
            <w:tcW w:type="dxa" w:w="1218"/>
          </w:tcPr>
          <w:p>
            <w:r/>
            <w:r>
              <w:rPr>
                <w:b w:val="0"/>
                <w:i w:val="0"/>
              </w:rPr>
              <w:t>3,14</w:t>
            </w:r>
          </w:p>
        </w:tc>
        <w:tc>
          <w:tcPr>
            <w:tcW w:type="dxa" w:w="1218"/>
          </w:tcPr>
          <w:p>
            <w:r/>
            <w:r>
              <w:rPr>
                <w:b w:val="0"/>
                <w:i w:val="0"/>
              </w:rPr>
              <w:t>-0,82</w:t>
            </w:r>
          </w:p>
        </w:tc>
        <w:tc>
          <w:tcPr>
            <w:tcW w:type="dxa" w:w="1218"/>
          </w:tcPr>
          <w:p>
            <w:r/>
            <w:r>
              <w:rPr>
                <w:b w:val="0"/>
                <w:i w:val="0"/>
              </w:rPr>
              <w:t>Empeora</w:t>
            </w:r>
          </w:p>
        </w:tc>
        <w:tc>
          <w:tcPr>
            <w:tcW w:type="dxa" w:w="1218"/>
          </w:tcPr>
          <w:p>
            <w:r/>
            <w:r>
              <w:rPr>
                <w:b w:val="0"/>
                <w:i w:val="0"/>
              </w:rPr>
              <w:t>62,7 %</w:t>
            </w:r>
          </w:p>
        </w:tc>
      </w:tr>
      <w:tr>
        <w:tc>
          <w:tcPr>
            <w:tcW w:type="dxa" w:w="1218"/>
          </w:tcPr>
          <w:p>
            <w:r/>
            <w:r>
              <w:rPr>
                <w:b w:val="0"/>
                <w:i w:val="0"/>
              </w:rPr>
              <w:t>Marca y digital</w:t>
            </w:r>
          </w:p>
        </w:tc>
        <w:tc>
          <w:tcPr>
            <w:tcW w:type="dxa" w:w="1218"/>
          </w:tcPr>
          <w:p>
            <w:r/>
            <w:r>
              <w:rPr>
                <w:b w:val="0"/>
                <w:i w:val="0"/>
              </w:rPr>
              <w:t>10</w:t>
            </w:r>
          </w:p>
        </w:tc>
        <w:tc>
          <w:tcPr>
            <w:tcW w:type="dxa" w:w="1218"/>
          </w:tcPr>
          <w:p>
            <w:r/>
            <w:r>
              <w:rPr>
                <w:b w:val="0"/>
                <w:i w:val="0"/>
              </w:rPr>
              <w:t>24</w:t>
            </w:r>
          </w:p>
        </w:tc>
        <w:tc>
          <w:tcPr>
            <w:tcW w:type="dxa" w:w="1218"/>
          </w:tcPr>
          <w:p>
            <w:r/>
            <w:r>
              <w:rPr>
                <w:b w:val="0"/>
                <w:i w:val="0"/>
              </w:rPr>
              <w:t>2,67</w:t>
            </w:r>
          </w:p>
        </w:tc>
        <w:tc>
          <w:tcPr>
            <w:tcW w:type="dxa" w:w="1218"/>
          </w:tcPr>
          <w:p>
            <w:r/>
            <w:r>
              <w:rPr>
                <w:b w:val="0"/>
                <w:i w:val="0"/>
              </w:rPr>
              <w:t>3,92</w:t>
            </w:r>
          </w:p>
        </w:tc>
        <w:tc>
          <w:tcPr>
            <w:tcW w:type="dxa" w:w="1218"/>
          </w:tcPr>
          <w:p>
            <w:r/>
            <w:r>
              <w:rPr>
                <w:b w:val="0"/>
                <w:i w:val="0"/>
              </w:rPr>
              <w:t>1,25</w:t>
            </w:r>
          </w:p>
        </w:tc>
        <w:tc>
          <w:tcPr>
            <w:tcW w:type="dxa" w:w="1218"/>
          </w:tcPr>
          <w:p>
            <w:r/>
            <w:r>
              <w:rPr>
                <w:b w:val="0"/>
                <w:i w:val="0"/>
              </w:rPr>
              <w:t>Mejora</w:t>
            </w:r>
          </w:p>
        </w:tc>
        <w:tc>
          <w:tcPr>
            <w:tcW w:type="dxa" w:w="1218"/>
          </w:tcPr>
          <w:p>
            <w:r/>
            <w:r>
              <w:rPr>
                <w:b w:val="0"/>
                <w:i w:val="0"/>
              </w:rPr>
              <w:t>78,3 %</w:t>
            </w:r>
          </w:p>
        </w:tc>
      </w:tr>
      <w:tr>
        <w:tc>
          <w:tcPr>
            <w:tcW w:type="dxa" w:w="1218"/>
          </w:tcPr>
          <w:p>
            <w:r/>
            <w:r>
              <w:rPr>
                <w:b w:val="0"/>
                <w:i w:val="0"/>
              </w:rPr>
              <w:t>TOTAL (todas las áreas)</w:t>
            </w:r>
          </w:p>
        </w:tc>
        <w:tc>
          <w:tcPr>
            <w:tcW w:type="dxa" w:w="1218"/>
          </w:tcPr>
          <w:p>
            <w:r/>
            <w:r>
              <w:rPr>
                <w:b w:val="0"/>
                <w:i w:val="0"/>
              </w:rPr>
              <w:t>60</w:t>
            </w:r>
          </w:p>
        </w:tc>
        <w:tc>
          <w:tcPr>
            <w:tcW w:type="dxa" w:w="1218"/>
          </w:tcPr>
          <w:p>
            <w:r/>
            <w:r>
              <w:rPr>
                <w:b w:val="0"/>
                <w:i w:val="0"/>
              </w:rPr>
              <w:t>144</w:t>
            </w:r>
          </w:p>
        </w:tc>
        <w:tc>
          <w:tcPr>
            <w:tcW w:type="dxa" w:w="1218"/>
          </w:tcPr>
          <w:p>
            <w:r/>
            <w:r>
              <w:rPr>
                <w:b w:val="0"/>
                <w:i w:val="0"/>
              </w:rPr>
              <w:t>3,33</w:t>
            </w:r>
          </w:p>
        </w:tc>
        <w:tc>
          <w:tcPr>
            <w:tcW w:type="dxa" w:w="1218"/>
          </w:tcPr>
          <w:p>
            <w:r/>
            <w:r>
              <w:rPr>
                <w:b w:val="0"/>
                <w:i w:val="0"/>
              </w:rPr>
              <w:t>3,96</w:t>
            </w:r>
          </w:p>
        </w:tc>
        <w:tc>
          <w:tcPr>
            <w:tcW w:type="dxa" w:w="1218"/>
          </w:tcPr>
          <w:p>
            <w:r/>
            <w:r>
              <w:rPr>
                <w:b w:val="0"/>
                <w:i w:val="0"/>
              </w:rPr>
              <w:t>0,63</w:t>
            </w:r>
          </w:p>
        </w:tc>
        <w:tc>
          <w:tcPr>
            <w:tcW w:type="dxa" w:w="1218"/>
          </w:tcPr>
          <w:p>
            <w:r/>
            <w:r>
              <w:rPr>
                <w:b w:val="0"/>
                <w:i w:val="0"/>
              </w:rPr>
              <w:t>Mejora</w:t>
            </w:r>
          </w:p>
        </w:tc>
        <w:tc>
          <w:tcPr>
            <w:tcW w:type="dxa" w:w="1218"/>
          </w:tcPr>
          <w:p>
            <w:r/>
            <w:r>
              <w:rPr>
                <w:b w:val="0"/>
                <w:i w:val="0"/>
              </w:rPr>
              <w:t>79,2 %</w:t>
            </w:r>
          </w:p>
        </w:tc>
      </w:tr>
    </w:tbl>
    <w:p/>
    <w:p>
      <w:pPr>
        <w:jc w:val="center"/>
      </w:pPr>
      <w:r>
        <w:rPr>
          <w:i/>
          <w:color w:val="444444"/>
        </w:rPr>
        <w:t>La auditoría de este pack puntúa experiencia de cliente y estándares de marca; deja fuera a propósito la seguridad alimentaria, que tiene su propio sistema de registros.</w:t>
      </w:r>
    </w:p>
    <w:p>
      <w:r>
        <w:br w:type="page"/>
      </w:r>
    </w:p>
    <w:p>
      <w:pPr>
        <w:pStyle w:val="Heading1"/>
      </w:pPr>
      <w:r>
        <w:t>6. La Caja y el Tique: Corte, Arqueo, Cierre - y lo que Viene</w:t>
      </w:r>
    </w:p>
    <w:p>
      <w:pPr>
        <w:pStyle w:val="Heading2"/>
      </w:pPr>
      <w:r>
        <w:t>Corte, arqueo y cierre: tres pasos, tres momentos y tres firmas</w:t>
      </w:r>
    </w:p>
    <w:p>
      <w:r>
        <w:rPr>
          <w:b w:val="0"/>
          <w:i w:val="0"/>
        </w:rPr>
        <w:t>El corte es el primer paso: cerrar la venta del turno en el TPV y sacar el resumen de lo cobrado, con el desglose por forma de pago y las anulaciones. Lo firma quien ha estado al frente del turno, camarero (mesero, en México) o jefe de sala; es una foto parcial, sólo dice qué ha pasado en esas horas.</w:t>
      </w:r>
    </w:p>
    <w:p>
      <w:r>
        <w:rPr>
          <w:b w:val="0"/>
          <w:i w:val="0"/>
        </w:rPr>
        <w:t>El arqueo llega después; en México a este paso intermedio se lo llama corte de caja, y confunde porque suena a cierre sin serlo. Consiste en contar el efectivo del cajón, sumarlo a tarjeta y al resto de medios, y compararlo con lo que registra el sistema. Ahí aparece el descuadre, si lo hay; quien arquea lo firma con la cifra exacta, nunca de memoria.</w:t>
      </w:r>
    </w:p>
    <w:p>
      <w:r>
        <w:rPr>
          <w:b w:val="0"/>
          <w:i w:val="0"/>
        </w:rPr>
        <w:t>El cierre es el tercer paso y sella el día: el asiento contable, el traspaso a caja fuerte o a banco, y la firma del manager (gerente o encargado) responsable de esa jornada. Quien sólo hace uno de los tres pasos queda ciego ante las fugas de los otros dos: la anulación mal registrada aparece en el corte, el billete mal contado en el arqueo, y la entrada que no llegó a caja fuerte sólo en el cierre. Las tres firmas son la trazabilidad de quién respondía de cada tramo: en un local que mueve 46.737 cubiertos, 22.263 tickets y 1.226.661 € de facturación al año, es lo único que permite localizar una diferencia sin fiarse de la memoria de nadie.</w:t>
      </w:r>
    </w:p>
    <w:p>
      <w:pPr>
        <w:pStyle w:val="Heading2"/>
      </w:pPr>
      <w:r>
        <w:t>Un descuadre que se repite: cómo se busca sin acusar a nadie</w:t>
      </w:r>
    </w:p>
    <w:p>
      <w:r>
        <w:rPr>
          <w:b w:val="0"/>
          <w:i w:val="0"/>
        </w:rPr>
        <w:t>Un descuadre suelto, de un euro o dos, casi siempre es error de vuelta o redondeo y se anota sin más. El que hay que investigar es el que se repite, turno tras turno o persona tras persona: el orden importa tanto como lo que se encuentra.</w:t>
      </w:r>
    </w:p>
    <w:p>
      <w:r>
        <w:rPr>
          <w:b w:val="0"/>
          <w:i w:val="0"/>
        </w:rPr>
        <w:t>Se empieza descartando el error de sistema, el sospechoso más probable y el más fácil de comprobar sin hablar con nadie: anulaciones de líneas ya cobradas, invitaciones y cortesías salidas de cocina sin pasar por el TPV, y cambios de forma de pago, una mesa registrada como tarjeta que acaba pagándose en efectivo, o al revés. Vistos en el registro del TPV, estos tres motivos explican la mayoría de los descuadres que parecen un misterio.</w:t>
      </w:r>
    </w:p>
    <w:p>
      <w:r>
        <w:rPr>
          <w:b w:val="0"/>
          <w:i w:val="0"/>
        </w:rPr>
        <w:t>Si el error de sistema no lo explica, el segundo paso es acotar, no acusar: cruzar las fechas con el cuadrante (el horario del personal) para ver qué turno y qué persona coinciden, y con los datos que ya existen, quién hizo el corte, quién el arqueo, en qué caja, antes de sacar ninguna conclusión. De las 30 quejas del trimestre, 2 fueron por cobro incorrecto, un 6,7 % del total: es el dato a cruzar con el patrón, porque la queja, el turno y la persona pueden señalar al mismo punto o no tener nada que ver, y sólo se sabe cruzándolos.</w:t>
      </w:r>
    </w:p>
    <w:p>
      <w:r>
        <w:rPr>
          <w:b w:val="0"/>
          <w:i w:val="0"/>
        </w:rPr>
        <w:t>Sólo cuando el error de sistema está descartado y el patrón queda acotado a un turno o a una persona se habla con alguien, y se habla desde el dato: día, turno, diferencia y quién coincide en todos los casos, nunca dando por hecho que alguien se queda con dinero. Acusar antes de acotar rompe la confianza del equipo y no encuentra el euro: el sospechoso equivocado se pone a la defensiva y el patrón real sigue sin explicación.</w:t>
      </w:r>
    </w:p>
    <w:p>
      <w:pPr>
        <w:pStyle w:val="Heading2"/>
      </w:pPr>
      <w:r>
        <w:t>El tique: contenido mínimo y hasta dónde llega la factura simplificada</w:t>
      </w:r>
    </w:p>
    <w:p>
      <w:r>
        <w:rPr>
          <w:b w:val="0"/>
          <w:i w:val="0"/>
        </w:rPr>
        <w:t>Todo tique que sale del TPV nace, a efectos fiscales, como una factura simplificada. El límite general para emitirla en vez de una completa es de 400 €, y en hostelería y restauración sube a 3.000 € con el IVA incluido: lo fija el artículo 4 del RD 1619/2012, apartado 1 letra a para el límite general y apartado 2 letra e para hostelería (verificado el 4 de septiembre de 2026). Con un ticket medio de 55,10 € y un gasto medio por cubierto de 26,25 €, la mayoría de los tiques del local queda lejos de esos umbrales, y es fácil dar por hecho que el tique de siempre basta. El cliente puede exigir factura completa con sus datos fiscales para deducirse el gasto, sin más.</w:t>
      </w:r>
    </w:p>
    <w:p>
      <w:r>
        <w:rPr>
          <w:b w:val="0"/>
          <w:i w:val="0"/>
        </w:rPr>
        <w:t>No siempre basta con el tique corriente: existe una tercera figura que casi nadie del oficio conoce, la factura simplificada cualificada del artículo 7, apartado 2, del mismo RD 1619/2012. Es el mismo tique con un dato añadido a petición del cliente: cuando quien paga es empresario o profesional y pide que consten su NIF, su domicilio y la cuota de IVA repercutida por separado, deja de ser un tique cualquiera. La frontera no la marca el importe, la marca esa petición.</w:t>
      </w:r>
    </w:p>
    <w:p>
      <w:r>
        <w:rPr>
          <w:b w:val="0"/>
          <w:i w:val="0"/>
        </w:rPr>
        <w:t>Esa frontera importa por la factura electrónica obligatoria entre empresas: el artículo 4, apartado 1, del RD 238/2026 deja fuera de esa obligación a las facturas simplificadas, salvo que sean cualificadas (verificado el 4 de septiembre de 2026). La cualificada sí entra en la factura electrónica B2B aunque el resto de tiques queden fuera, y afecta justo a las comidas de trabajo, cuando el cliente pide la factura para deducirse el gasto. Por eso en el TPV hace falta una regla de tres casillas, no de dos: tique normal, fuera; tique con los datos fiscales del cliente, dentro; factura completa a una empresa, dentro. Configurar sólo dos casillas trata la cualificada como un tique más, justo la que la nueva obligación sí alcanza.</w:t>
      </w:r>
    </w:p>
    <w:p>
      <w:pPr>
        <w:pStyle w:val="Heading2"/>
      </w:pPr>
      <w:r>
        <w:t>Efectivo: por qué un restaurante no puede ser cashless</w:t>
      </w:r>
    </w:p>
    <w:p>
      <w:r>
        <w:rPr>
          <w:b w:val="0"/>
          <w:i w:val="0"/>
        </w:rPr>
        <w:t>Negarse a aceptar dinero en efectivo en un restaurante es una infracción de consumo, no una política de empresa que se pueda avisar en la carta o en la puerta. Lo dice el artículo 47, letra ñ, del TRLGDCU junto con el artículo 7 de la Ley 7/2012 (verificado el 4 de septiembre de 2026): el límite para el cobro en efectivo es de 1.000 € cuando alguna de las partes actúa como empresario o profesional, que es el caso de cualquier mesa cobrada por el restaurante, y sube a 10.000 € si quien paga es una persona física sin domicilio fiscal en España. Superar ese límite en efectivo, no negarse a cobrarlo, es lo que lleva aparejada una multa del 25 % de lo pagado en efectivo por encima del tope; esto no es un consejo fiscal, es el límite que fija la norma, y conviene tenerlo claro porque suele confundirse con la obligación contraria, la de no poder cobrar nunca en efectivo, que no existe.</w:t>
      </w:r>
    </w:p>
    <w:p>
      <w:r>
        <w:rPr>
          <w:b w:val="0"/>
          <w:i w:val="0"/>
        </w:rPr>
        <w:t>Un local que decide ser «cashless» por su cuenta, sólo tarjeta, sólo aplicación, nada de billetes, no cabe en este marco: por mucho que se avise en la reserva o en la carta, seguir sin aceptar efectivo por debajo del límite es la misma infracción que negarse en la puerta sin avisar de nada. Lo único que cambia la respuesta correcta es el importe de la cuenta frente a esos dos límites, nunca la política del establecimiento.</w:t>
      </w:r>
    </w:p>
    <w:p>
      <w:pPr>
        <w:pStyle w:val="Heading2"/>
      </w:pPr>
      <w:r>
        <w:t>Las propinas: IRPF, retención y qué cambia si el bote lo reparte la casa</w:t>
      </w:r>
    </w:p>
    <w:p>
      <w:r>
        <w:rPr>
          <w:b w:val="0"/>
          <w:i w:val="0"/>
        </w:rPr>
        <w:t>Las propinas son rendimiento del trabajo a efectos del IRPF siempre, con independencia de cómo llegan a la persona trabajadora. El artículo 17.1 de la Ley 35/2006, del Impuesto sobre la Renta de las Personas Físicas (verificado el 4 de septiembre de 2026), considera rendimiento del trabajo «todas las contraprestaciones o utilidades, cualquiera que sea su denominación o naturaleza» que deriven directa o indirectamente del trabajo personal o de la relación laboral, y una propina encaja en esa definición se reparta como se reparta. Quien la recibe tiene que declararla aunque el cliente se la haya dejado en mano y nadie en el local haya llevado registro de ella.</w:t>
      </w:r>
    </w:p>
    <w:p>
      <w:r>
        <w:rPr>
          <w:b w:val="0"/>
          <w:i w:val="0"/>
        </w:rPr>
        <w:t>Lo que cambia según quién reparte el bote es la obligación de retener, no la de declarar. Si es la empresa quien reparte las propinas entre la plantilla, está obligada a retener, porque el artículo 76.1.3.º del Reglamento del IRPF (RD 439/2007) nombra expresamente el supuesto de satisfacer al personal cantidades desembolsadas por terceros en concepto de propina, y aclara que eso no es una simple mediación de pago. Si el cliente la deja en mano y la empresa no interviene en su reparto, no hay retención que practicar, aunque la persona trabajadora siga debiendo declararla igual.</w:t>
      </w:r>
    </w:p>
    <w:p>
      <w:r>
        <w:rPr>
          <w:b w:val="0"/>
          <w:i w:val="0"/>
        </w:rPr>
        <w:t>Sobre la cotización a la Seguridad Social conviene decir exactamente lo que hay: no existe una norma expresa que mencione las propinas. Ni el texto refundido de la Ley General de la Seguridad Social ni el RD 2064/1995 usan esa palabra, así que rige la regla general del artículo 147.1 del TRLGSS, que define la base de cotización como «la remuneración total, cualquiera que sea su forma o denominación», junto con lo que establezca el convenio aplicable.</w:t>
      </w:r>
    </w:p>
    <w:p>
      <w:pPr>
        <w:pStyle w:val="Heading2"/>
      </w:pPr>
      <w:r>
        <w:t>Verifactu y factura electrónica: qué fecha te afecta y qué preguntarle a tu proveedor</w:t>
      </w:r>
    </w:p>
    <w:p>
      <w:r>
        <w:rPr>
          <w:b w:val="0"/>
          <w:i w:val="0"/>
        </w:rPr>
        <w:t>Dos calendarios de facturación están en marcha a la vez, y conviene no mezclarlos porque afectan al restaurante de forma distinta. El de Verifactu ha sufrido un aplazamiento sobre el calendario inicial, y la fecha que aplica hoy es la que recoge la tabla de estado normativo de más abajo, mejor guía que lo que se leyó hace meses en un blog o en un grupo del gremio. El de la factura electrónica obligatoria entre empresas tiene su propia fila en esa misma tabla, con quién está obligado y desde cuándo, y ya se ha visto que alcanza a la factura simplificada cualificada aunque deje fuera al tique corriente.</w:t>
      </w:r>
    </w:p>
    <w:p>
      <w:r>
        <w:rPr>
          <w:b w:val="0"/>
          <w:i w:val="0"/>
        </w:rPr>
        <w:t>Ninguno de los dos calendarios convierte el tique de cada mesa en una factura electrónica: las facturas simplificadas quedan fuera de esa obligación salvo que sean cualificadas, así que un restaurante no tiene que emitir una factura electrónica por cada comensal que paga con tique normal. Lo que sí cambia es la exigencia técnica sobre el sistema de facturación que emite esos tiques, y esa exigencia depende de la versión de software del TPV del local, no de una decisión del manager desde la sala.</w:t>
      </w:r>
    </w:p>
    <w:p>
      <w:r>
        <w:rPr>
          <w:b w:val="0"/>
          <w:i w:val="0"/>
        </w:rPr>
        <w:t>La pregunta operativa, por tanto, no es cuándo entra en vigor cada norma en abstracto, sino una más concreta: pedirle por escrito al proveedor del TPV la fecha exacta en que va a entregar la versión adaptada a Verifactu y a la factura electrónica, y guardar esa respuesta. Un proveedor que no puede dar esa fecha por escrito es la señal de alarma más fiable de que el local va a llegar tarde.</w:t>
      </w:r>
    </w:p>
    <w:p>
      <w:r>
        <w:rPr>
          <w:b/>
          <w:i w:val="0"/>
        </w:rPr>
        <w:t>Corte, arqueo y cierre: qué es cada uno y qué queda firmado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Paso</w:t>
            </w:r>
          </w:p>
        </w:tc>
        <w:tc>
          <w:tcPr>
            <w:tcW w:type="dxa" w:w="2436"/>
          </w:tcPr>
          <w:p>
            <w:r/>
            <w:r>
              <w:rPr>
                <w:b/>
                <w:i w:val="0"/>
              </w:rPr>
              <w:t>Cuándo</w:t>
            </w:r>
          </w:p>
        </w:tc>
        <w:tc>
          <w:tcPr>
            <w:tcW w:type="dxa" w:w="2436"/>
          </w:tcPr>
          <w:p>
            <w:r/>
            <w:r>
              <w:rPr>
                <w:b/>
                <w:i w:val="0"/>
              </w:rPr>
              <w:t>Qué se verifica</w:t>
            </w:r>
          </w:p>
        </w:tc>
        <w:tc>
          <w:tcPr>
            <w:tcW w:type="dxa" w:w="2436"/>
          </w:tcPr>
          <w:p>
            <w:r/>
            <w:r>
              <w:rPr>
                <w:b/>
                <w:i w:val="0"/>
              </w:rPr>
              <w:t>Quién firma</w:t>
            </w:r>
          </w:p>
        </w:tc>
      </w:tr>
      <w:tr>
        <w:tc>
          <w:tcPr>
            <w:tcW w:type="dxa" w:w="2436"/>
          </w:tcPr>
          <w:p>
            <w:r/>
            <w:r>
              <w:rPr>
                <w:b w:val="0"/>
                <w:i w:val="0"/>
              </w:rPr>
              <w:t>Corte</w:t>
            </w:r>
          </w:p>
        </w:tc>
        <w:tc>
          <w:tcPr>
            <w:tcW w:type="dxa" w:w="2436"/>
          </w:tcPr>
          <w:p>
            <w:r/>
            <w:r>
              <w:rPr>
                <w:b w:val="0"/>
                <w:i w:val="0"/>
              </w:rPr>
              <w:t>Al cambiar de turno</w:t>
            </w:r>
          </w:p>
        </w:tc>
        <w:tc>
          <w:tcPr>
            <w:tcW w:type="dxa" w:w="2436"/>
          </w:tcPr>
          <w:p>
            <w:r/>
            <w:r>
              <w:rPr>
                <w:b w:val="0"/>
                <w:i w:val="0"/>
              </w:rPr>
              <w:t>Se cuenta y se traspasa el fondo; no hay verificación contable</w:t>
            </w:r>
          </w:p>
        </w:tc>
        <w:tc>
          <w:tcPr>
            <w:tcW w:type="dxa" w:w="2436"/>
          </w:tcPr>
          <w:p>
            <w:r/>
            <w:r>
              <w:rPr>
                <w:b w:val="0"/>
                <w:i w:val="0"/>
              </w:rPr>
              <w:t>Quien entrega y quien recibe</w:t>
            </w:r>
          </w:p>
        </w:tc>
      </w:tr>
      <w:tr>
        <w:tc>
          <w:tcPr>
            <w:tcW w:type="dxa" w:w="2436"/>
          </w:tcPr>
          <w:p>
            <w:r/>
            <w:r>
              <w:rPr>
                <w:b w:val="0"/>
                <w:i w:val="0"/>
              </w:rPr>
              <w:t>Arqueo</w:t>
            </w:r>
          </w:p>
        </w:tc>
        <w:tc>
          <w:tcPr>
            <w:tcW w:type="dxa" w:w="2436"/>
          </w:tcPr>
          <w:p>
            <w:r/>
            <w:r>
              <w:rPr>
                <w:b w:val="0"/>
                <w:i w:val="0"/>
              </w:rPr>
              <w:t>Al terminar el servicio</w:t>
            </w:r>
          </w:p>
        </w:tc>
        <w:tc>
          <w:tcPr>
            <w:tcW w:type="dxa" w:w="2436"/>
          </w:tcPr>
          <w:p>
            <w:r/>
            <w:r>
              <w:rPr>
                <w:b w:val="0"/>
                <w:i w:val="0"/>
              </w:rPr>
              <w:t>Efectivo contado contra efectivo esperado; se anota la diferencia</w:t>
            </w:r>
          </w:p>
        </w:tc>
        <w:tc>
          <w:tcPr>
            <w:tcW w:type="dxa" w:w="2436"/>
          </w:tcPr>
          <w:p>
            <w:r/>
            <w:r>
              <w:rPr>
                <w:b w:val="0"/>
                <w:i w:val="0"/>
              </w:rPr>
              <w:t>Quien cierra el turno</w:t>
            </w:r>
          </w:p>
        </w:tc>
      </w:tr>
      <w:tr>
        <w:tc>
          <w:tcPr>
            <w:tcW w:type="dxa" w:w="2436"/>
          </w:tcPr>
          <w:p>
            <w:r/>
            <w:r>
              <w:rPr>
                <w:b w:val="0"/>
                <w:i w:val="0"/>
              </w:rPr>
              <w:t>Cierre</w:t>
            </w:r>
          </w:p>
        </w:tc>
        <w:tc>
          <w:tcPr>
            <w:tcW w:type="dxa" w:w="2436"/>
          </w:tcPr>
          <w:p>
            <w:r/>
            <w:r>
              <w:rPr>
                <w:b w:val="0"/>
                <w:i w:val="0"/>
              </w:rPr>
              <w:t>Al terminar el día</w:t>
            </w:r>
          </w:p>
        </w:tc>
        <w:tc>
          <w:tcPr>
            <w:tcW w:type="dxa" w:w="2436"/>
          </w:tcPr>
          <w:p>
            <w:r/>
            <w:r>
              <w:rPr>
                <w:b w:val="0"/>
                <w:i w:val="0"/>
              </w:rPr>
              <w:t>Todas las formas de pago contra el informe del TPV, con anulaciones e invitaciones</w:t>
            </w:r>
          </w:p>
        </w:tc>
        <w:tc>
          <w:tcPr>
            <w:tcW w:type="dxa" w:w="2436"/>
          </w:tcPr>
          <w:p>
            <w:r/>
            <w:r>
              <w:rPr>
                <w:b w:val="0"/>
                <w:i w:val="0"/>
              </w:rPr>
              <w:t>El manager</w:t>
            </w:r>
          </w:p>
        </w:tc>
      </w:tr>
    </w:tbl>
    <w:p/>
    <w:p>
      <w:pPr>
        <w:jc w:val="center"/>
      </w:pPr>
      <w:r>
        <w:rPr>
          <w:i/>
          <w:color w:val="444444"/>
        </w:rPr>
        <w:t>La plantilla diaria de arqueo está en el Kit de Tareas; aquí lo que se fija es qué verifica cada paso y quién responde de él. En México «corte de caja» nombra el segundo paso, no el tercero.</w:t>
      </w:r>
    </w:p>
    <w:p>
      <w:r>
        <w:rPr>
          <w:b/>
          <w:i w:val="0"/>
        </w:rPr>
        <w:t>Las dos normas de facturación que vienen, y su fecha real (calendario-cumplimiento-legal.xlsx, hoja «Estado Normativo»)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Norma</w:t>
            </w:r>
          </w:p>
        </w:tc>
        <w:tc>
          <w:tcPr>
            <w:tcW w:type="dxa" w:w="3249"/>
          </w:tcPr>
          <w:p>
            <w:r/>
            <w:r>
              <w:rPr>
                <w:b/>
                <w:i w:val="0"/>
              </w:rPr>
              <w:t>Estado a la fecha de corte</w:t>
            </w:r>
          </w:p>
        </w:tc>
        <w:tc>
          <w:tcPr>
            <w:tcW w:type="dxa" w:w="3249"/>
          </w:tcPr>
          <w:p>
            <w:r/>
            <w:r>
              <w:rPr>
                <w:b/>
                <w:i w:val="0"/>
              </w:rPr>
              <w:t>Qué obliga hoy y qué hace el manager</w:t>
            </w:r>
          </w:p>
        </w:tc>
      </w:tr>
      <w:tr>
        <w:tc>
          <w:tcPr>
            <w:tcW w:type="dxa" w:w="3249"/>
          </w:tcPr>
          <w:p>
            <w:r/>
            <w:r>
              <w:rPr>
                <w:b w:val="0"/>
                <w:i w:val="0"/>
              </w:rPr>
              <w:t>Verifactu</w:t>
            </w:r>
          </w:p>
        </w:tc>
        <w:tc>
          <w:tcPr>
            <w:tcW w:type="dxa" w:w="3249"/>
          </w:tcPr>
          <w:p>
            <w:r/>
            <w:r>
              <w:rPr>
                <w:b w:val="0"/>
                <w:i w:val="0"/>
              </w:rPr>
              <w:t>Aplazado por el RDL 15/2025: 1 de enero de 2027 para sociedades y 1 de julio de 2027 para el resto</w:t>
            </w:r>
          </w:p>
        </w:tc>
        <w:tc>
          <w:tcPr>
            <w:tcW w:type="dxa" w:w="3249"/>
          </w:tcPr>
          <w:p>
            <w:r/>
            <w:r>
              <w:rPr>
                <w:b w:val="0"/>
                <w:i w:val="0"/>
              </w:rPr>
              <w:t>Pedir por escrito al proveedor del TPV la fecha de su versión adaptada</w:t>
            </w:r>
          </w:p>
        </w:tc>
      </w:tr>
      <w:tr>
        <w:tc>
          <w:tcPr>
            <w:tcW w:type="dxa" w:w="3249"/>
          </w:tcPr>
          <w:p>
            <w:r/>
            <w:r>
              <w:rPr>
                <w:b w:val="0"/>
                <w:i w:val="0"/>
              </w:rPr>
              <w:t>Factura electrónica B2B</w:t>
            </w:r>
          </w:p>
        </w:tc>
        <w:tc>
          <w:tcPr>
            <w:tcW w:type="dxa" w:w="3249"/>
          </w:tcPr>
          <w:p>
            <w:r/>
            <w:r>
              <w:rPr>
                <w:b w:val="0"/>
                <w:i w:val="0"/>
              </w:rPr>
              <w:t>Reglamento aprobado (RD 238/2026) pero aún no exigible: cuenta 12 o 24 meses desde la orden ministerial</w:t>
            </w:r>
          </w:p>
        </w:tc>
        <w:tc>
          <w:tcPr>
            <w:tcW w:type="dxa" w:w="3249"/>
          </w:tcPr>
          <w:p>
            <w:r/>
            <w:r>
              <w:rPr>
                <w:b w:val="0"/>
                <w:i w:val="0"/>
              </w:rPr>
              <w:t>Las facturas simplificadas quedan fuera SALVO las cualificadas, las que llevan NIF del cliente</w:t>
            </w:r>
          </w:p>
        </w:tc>
      </w:tr>
    </w:tbl>
    <w:p/>
    <w:p>
      <w:pPr>
        <w:jc w:val="center"/>
      </w:pPr>
      <w:r>
        <w:rPr>
          <w:i/>
          <w:color w:val="444444"/>
        </w:rPr>
        <w:t>Verificado el 04-09-2026 · RDL 15/2025, art. 3, y RD 1619/2012, arts. 4 y 7.2, con el art. 4.1 del RD 238/2026 · https://www.boe.es/buscar/act.php?id=BOE-A-2012-14696</w:t>
      </w:r>
    </w:p>
    <w:p>
      <w:r>
        <w:br w:type="page"/>
      </w:r>
    </w:p>
    <w:p>
      <w:pPr>
        <w:pStyle w:val="Heading1"/>
      </w:pPr>
      <w:r>
        <w:t>7. Mandar sin Quemar al Equipo: Autoridad, Delegación y Cómo Defender un Cambio con Números</w:t>
      </w:r>
    </w:p>
    <w:p>
      <w:pPr>
        <w:pStyle w:val="Heading2"/>
      </w:pPr>
      <w:r>
        <w:t>Autoridad formal y autoridad real: en qué se nota la diferencia</w:t>
      </w:r>
    </w:p>
    <w:p>
      <w:r>
        <w:rPr>
          <w:b w:val="0"/>
          <w:i w:val="0"/>
        </w:rPr>
        <w:t>La autoridad formal es la que da el contrato: el título de manager (gerente/encargado), la firma que autoriza una compra, el nombre que encabeza el cuadrante. La autoridad real se comprueba en un solo momento: cuando ese manager entra en el despacho con una propuesta y el propietario decide escucharla en vez de archivarla. El manager no puede decidir la inversión -eso sigue siendo del propietario-, pero controla algo que pesa casi lo mismo: con qué dato entra a esa conversación.</w:t>
      </w:r>
    </w:p>
    <w:p>
      <w:r>
        <w:rPr>
          <w:b w:val="0"/>
          <w:i w:val="0"/>
        </w:rPr>
        <w:t>La diferencia se nota en la reacción de quien escucha. Una propuesta con la cifra de la semana y una estimación del impacto se discute y a veces se aprueba; una que llega con una impresión -«la sala está floja los martes», «tengo la sensación de que compramos mal»- se archiva sin que el propietario lo diga en voz alta. La semana en que el prime cost se dispara al 71,0 % frente al objetivo en vigor del 65 % -el dato vive en la hoja «Semana» del cuadro de mando semanal para el manager, junto al margen del año tras ese mismo prime cost, 456.666 €- no es una sensación: es un número fuera de rango que exige una propuesta, no una queja de pasillo.</w:t>
      </w:r>
    </w:p>
    <w:p>
      <w:r>
        <w:rPr>
          <w:b w:val="0"/>
          <w:i w:val="0"/>
        </w:rPr>
        <w:t>Esto pesa más ahora que antes. En 2025 la restauración española facturó un 3,1 % más y, aun así, perdió un 0,9 % de rentabilidad (Hostelería de España, Anuario 2025, vía Hostelería Digital, 2026): vender más ya no garantiza ganar más. Tiene autoridad real el manager que trae el coste que se ha movido y una propuesta para corregirlo, no el que sólo trae optimismo sobre las ventas.</w:t>
      </w:r>
    </w:p>
    <w:p>
      <w:pPr>
        <w:pStyle w:val="Heading2"/>
      </w:pPr>
      <w:r>
        <w:t>Delegar sin perder el control: qué se delega y con qué límite</w:t>
      </w:r>
    </w:p>
    <w:p>
      <w:r>
        <w:rPr>
          <w:b w:val="0"/>
          <w:i w:val="0"/>
        </w:rPr>
        <w:t>Delegar no es soltar; es trasladar la ejecución manteniendo la última palabra sobre el punto en el que una tarea deja de ser rutina y pasa a ser decisión con consecuencias. El cuadrante de la semana siguiente, el arqueo (corte de caja) diario, la recepción de un pedido o la respuesta a una reseña son delegables porque su margen de error es pequeño y reversible. Lo que no se delega sin límite es cualquier decisión que comprometa dinero, plazo o una excepción a la norma de la casa: ahí hace falta un límite por escrito, no una confianza genérica.</w:t>
      </w:r>
    </w:p>
    <w:p>
      <w:r>
        <w:rPr>
          <w:b w:val="0"/>
          <w:i w:val="0"/>
        </w:rPr>
        <w:t>Ese límite tiene tres formas, y conviene fijar al menos una antes de delegar cualquier tarea con peso real:</w:t>
      </w:r>
    </w:p>
    <w:p>
      <w:pPr>
        <w:pStyle w:val="ListBullet"/>
      </w:pPr>
      <w:r>
        <w:rPr>
          <w:b w:val="0"/>
          <w:i w:val="0"/>
        </w:rPr>
        <w:t>Un importe: hasta esta cifra se decide solo; por encima, se consulta antes de actuar.</w:t>
      </w:r>
    </w:p>
    <w:p>
      <w:pPr>
        <w:pStyle w:val="ListBullet"/>
      </w:pPr>
      <w:r>
        <w:rPr>
          <w:b w:val="0"/>
          <w:i w:val="0"/>
        </w:rPr>
        <w:t>Un plazo: se resuelve dentro de esta ventana de tiempo; fuera de ella, se avisa antes.</w:t>
      </w:r>
    </w:p>
    <w:p>
      <w:pPr>
        <w:pStyle w:val="ListBullet"/>
      </w:pPr>
      <w:r>
        <w:rPr>
          <w:b w:val="0"/>
          <w:i w:val="0"/>
        </w:rPr>
        <w:t>Un supuesto: se actúa así en el caso previsto, y cualquier variación sobre ese caso vuelve al despacho.</w:t>
      </w:r>
    </w:p>
    <w:p>
      <w:r>
        <w:rPr>
          <w:b w:val="0"/>
          <w:i w:val="0"/>
        </w:rPr>
        <w:t>Sin ese límite escrito, delegar se convierte en abandonar la decisión: si algo sale mal, ni quien delegó ni quien ejecutó sabían dónde estaba la frontera. Aquí gana su sitio un registro de acuerdos. De los 25 que se registraron este trimestre, 15 ya se cerraron y 10 siguen abiertos -un 60 % del total-, y ese reparto sólo vale porque cada acuerdo nació con una persona responsable y una fecha, no como una intención suelta al final de una reunión. La tabla de abajo los reparte por responsable: sirve para ver quién tiene el límite claro y quién sigue con una tarea sin fechar.</w:t>
      </w:r>
    </w:p>
    <w:p>
      <w:pPr>
        <w:pStyle w:val="Heading2"/>
      </w:pPr>
      <w:r>
        <w:t>Señales tempranas de que alguien se está quemando</w:t>
      </w:r>
    </w:p>
    <w:p>
      <w:r>
        <w:rPr>
          <w:b w:val="0"/>
          <w:i w:val="0"/>
        </w:rPr>
        <w:t>El desgaste no se anuncia con una carta de dimisión: se anuncia semanas antes, en cambios observables sin invadir la vida de nadie. Tres señales pesan más que las demás cuando se sostienen en el tiempo, no cuando aparecen un día suelto:</w:t>
      </w:r>
    </w:p>
    <w:p>
      <w:pPr>
        <w:pStyle w:val="ListBullet"/>
      </w:pPr>
      <w:r>
        <w:rPr>
          <w:b w:val="0"/>
          <w:i w:val="0"/>
        </w:rPr>
        <w:t>Un cambio de rendimiento: quien antes resolvía un servicio complicado sin que se notara empieza a acumular errores en tareas que domina desde hace tiempo.</w:t>
      </w:r>
    </w:p>
    <w:p>
      <w:pPr>
        <w:pStyle w:val="ListBullet"/>
      </w:pPr>
      <w:r>
        <w:rPr>
          <w:b w:val="0"/>
          <w:i w:val="0"/>
        </w:rPr>
        <w:t>Un cambio de puntualidad: unos minutos de retraso, aislados, no dicen nada; repetidos varias semanas seguidas, sí dicen algo.</w:t>
      </w:r>
    </w:p>
    <w:p>
      <w:pPr>
        <w:pStyle w:val="ListBullet"/>
      </w:pPr>
      <w:r>
        <w:rPr>
          <w:b w:val="0"/>
          <w:i w:val="0"/>
        </w:rPr>
        <w:t>Un cambio de trato: con el equipo, con quien pregunta algo sencillo, con el camarero (mesero) que pide un relevo.</w:t>
      </w:r>
    </w:p>
    <w:p>
      <w:r>
        <w:rPr>
          <w:b w:val="0"/>
          <w:i w:val="0"/>
        </w:rPr>
        <w:t>A estas tres se suma un cuarto indicio, fácil de medir porque queda escrito en el cuadrante: el aumento de las ausencias cortas, de un día o de una tarde suelta, que antes no existían.</w:t>
      </w:r>
    </w:p>
    <w:p>
      <w:r>
        <w:rPr>
          <w:b w:val="0"/>
          <w:i w:val="0"/>
        </w:rPr>
        <w:t>Ninguna de estas señales, por separado y en un solo día, significa nada: un mal turno lo tiene cualquiera. Lo que importa es la tendencia sostenida, y el sitio para hablar de ella no es el pase delante del equipo, sino un uno-a-uno. Ahí no se diagnostica a nadie: se describen los hechos y se abre la conversación que toca antes de que el desgaste acabe en una baja o en una carta sobre la mesa.</w:t>
      </w:r>
    </w:p>
    <w:p>
      <w:pPr>
        <w:pStyle w:val="Heading2"/>
      </w:pPr>
      <w:r>
        <w:t>Cómo llevar una propuesta al propietario con la cifra de la semana</w:t>
      </w:r>
    </w:p>
    <w:p>
      <w:r>
        <w:rPr>
          <w:b w:val="0"/>
          <w:i w:val="0"/>
        </w:rPr>
        <w:t>El manager no decide la inversión, pero decide con qué llega al despacho, y eso se construye con un guion de cuatro movimientos, no con una intuición bien dicha.</w:t>
      </w:r>
    </w:p>
    <w:p>
      <w:r>
        <w:rPr>
          <w:b w:val="0"/>
          <w:i w:val="0"/>
        </w:rPr>
        <w:t>El primer movimiento es el número que ha cambiado. No «las cosas no van bien», sino la cifra exacta y su referencia: el prime cost de la semana se ha disparado al 71,0 % frente al objetivo en vigor del 65 %. El segundo movimiento es qué lo explica: la causa concreta detrás de ese salto -un proveedor, una partida de la carta, un turno mal cubierto-, nunca una explicación genérica que sirva para cualquier semana mala. El tercer movimiento es qué se propone hacer: la acción concreta que corrige esa causa, no la vaguedad de «vamos a controlar más los costes». El cuarto movimiento es qué se compromete a medir y en qué plazo; sin esto la propuesta se queda en intención, porque falta decir cuándo se vuelve a mirar ese mismo número para confirmar si la corrección ha funcionado.</w:t>
      </w:r>
    </w:p>
    <w:p>
      <w:r>
        <w:rPr>
          <w:b w:val="0"/>
          <w:i w:val="0"/>
        </w:rPr>
        <w:t>Hay una regla que separa una propuesta seria de un desahogo: se lleva UNA propuesta cada vez. Amontonar dos o tres asuntos en la misma reunión diluye la atención del propietario y ninguno sale de ahí con una decisión clara. El margen tras prime cost del año, 456.666 €, es el tipo de cifra que da peso al primer movimiento cuando lo que se discute es precisamente ese indicador: mostrar cuánto está en juego convierte la propuesta en una conversación de negocio, no en una queja sobre el turno flojo de los martes.</w:t>
      </w:r>
    </w:p>
    <w:p>
      <w:r>
        <w:rPr>
          <w:b w:val="0"/>
          <w:i w:val="0"/>
        </w:rPr>
        <w:t>Conviene llevar el número a la vista, no recitado de memoria: la pantalla o el papel con la hoja «Semana» del cuadro de mando semanal para el manager delante de los dos, para que no haya nada que verificar aparte y la conversación pase directamente al tercer y al cuarto movimiento. Y cuando el plazo del cuarto movimiento se cumple y el propietario ve que el número volvió a bajar, esa propuesta deja de ser la única prueba: pasa a ser el precedente que hace que la siguiente entre con menos resistencia, porque ya hay un historial de que lo prometido con una fecha se cumplió con esa misma fecha.</w:t>
      </w:r>
    </w:p>
    <w:p>
      <w:pPr>
        <w:pStyle w:val="Heading2"/>
      </w:pPr>
      <w:r>
        <w:t>La conversación difícil: preparación, guion y acuerdo escrito</w:t>
      </w:r>
    </w:p>
    <w:p>
      <w:r>
        <w:rPr>
          <w:b w:val="0"/>
          <w:i w:val="0"/>
        </w:rPr>
        <w:t>La conversación difícil -con un proveedor, con un miembro del equipo, con el propio propietario- se prepara antes de sentarse a la mesa, y se prepara por escrito: qué hecho concreto la motiva, qué efecto tuvo ese hecho y qué se va a pedir a partir de ahora. Llegar con esto ya pensado evita que la conversación se convierta en un cruce de impresiones donde gana quien habla más alto o quien se enfada primero.</w:t>
      </w:r>
    </w:p>
    <w:p>
      <w:r>
        <w:rPr>
          <w:b w:val="0"/>
          <w:i w:val="0"/>
        </w:rPr>
        <w:t>El guion durante la conversación repite esa misma estructura, dicha en voz alta y en este orden: el hecho, el efecto que tuvo, lo que se espera a partir de ahora y una fecha de seguimiento. Sin esa fecha, la conversación se disuelve en buenas intenciones; con ella, se convierte en un compromiso verificable la semana o el mes siguiente.</w:t>
      </w:r>
    </w:p>
    <w:p>
      <w:r>
        <w:rPr>
          <w:b w:val="0"/>
          <w:i w:val="0"/>
        </w:rPr>
        <w:t>El momento y el sitio también forman parte de la preparación. La conversación se tiene en privado, nunca delante de un cliente ni del resto del equipo, y se tiene con algo de distancia respecto del momento caliente: justo después de un servicio complicado el hecho está fresco pero el tono no ayuda a que la otra persona escuche. Ceñirse al hecho concreto y al efecto que tuvo, sin adjetivos ni comparaciones con otras personas del equipo, es lo que mantiene la conversación en el terreno de la corrección y la aleja del terreno del reproche.</w:t>
      </w:r>
    </w:p>
    <w:p>
      <w:r>
        <w:rPr>
          <w:b w:val="0"/>
          <w:i w:val="0"/>
        </w:rPr>
        <w:t>Y el acuerdo se cierra siempre por escrito. Lo que no queda en el acta no ocurrió: si en un uno-a-uno se dijo algo y nadie lo anotó, semanas después es una palabra contra otra, y la conversación difícil hay que repetirla desde cero. De los acuerdos registrados este trimestre, el 84 % se cierra dentro del plazo pactado: la prueba de que fechar cada compromiso, y no sólo pactarlo de palabra, es lo que hace que se cumpla. Ese mismo criterio -hecho, efecto, expectativa y fecha- es el que sostiene el seguimiento de las 12 personas del equipo que lo tienen activo de forma individual: cada conversación difícil con ellas termina en un hecho anotado y una fecha, no en un apretón de manos y una esperanza. Ese acta, más que la memoria de nadie, es lo que sostiene la siguiente conversación si el compromiso no se cumple.</w:t>
      </w:r>
    </w:p>
    <w:p>
      <w:r>
        <w:rPr>
          <w:b/>
          <w:i w:val="0"/>
        </w:rPr>
        <w:t>Los acuerdos del trimestre, repartidos por responsable (reuniones-acuerdos-plan-90-dias.xlsx, hoja «Actas y Acuerdos»)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Responsable</w:t>
            </w:r>
          </w:p>
        </w:tc>
        <w:tc>
          <w:tcPr>
            <w:tcW w:type="dxa" w:w="2436"/>
          </w:tcPr>
          <w:p>
            <w:r/>
            <w:r>
              <w:rPr>
                <w:b/>
                <w:i w:val="0"/>
              </w:rPr>
              <w:t>Acuerdos</w:t>
            </w:r>
          </w:p>
        </w:tc>
        <w:tc>
          <w:tcPr>
            <w:tcW w:type="dxa" w:w="2436"/>
          </w:tcPr>
          <w:p>
            <w:r/>
            <w:r>
              <w:rPr>
                <w:b/>
                <w:i w:val="0"/>
              </w:rPr>
              <w:t>Abiertos</w:t>
            </w:r>
          </w:p>
        </w:tc>
        <w:tc>
          <w:tcPr>
            <w:tcW w:type="dxa" w:w="2436"/>
          </w:tcPr>
          <w:p>
            <w:r/>
            <w:r>
              <w:rPr>
                <w:b/>
                <w:i w:val="0"/>
              </w:rPr>
              <w:t>Vencidos</w:t>
            </w:r>
          </w:p>
        </w:tc>
      </w:tr>
      <w:tr>
        <w:tc>
          <w:tcPr>
            <w:tcW w:type="dxa" w:w="2436"/>
          </w:tcPr>
          <w:p>
            <w:r/>
            <w:r>
              <w:rPr>
                <w:b w:val="0"/>
                <w:i w:val="0"/>
              </w:rPr>
              <w:t>P01 · Marta L.</w:t>
            </w:r>
          </w:p>
        </w:tc>
        <w:tc>
          <w:tcPr>
            <w:tcW w:type="dxa" w:w="2436"/>
          </w:tcPr>
          <w:p>
            <w:r/>
            <w:r>
              <w:rPr>
                <w:b w:val="0"/>
                <w:i w:val="0"/>
              </w:rPr>
              <w:t>11</w:t>
            </w:r>
          </w:p>
        </w:tc>
        <w:tc>
          <w:tcPr>
            <w:tcW w:type="dxa" w:w="2436"/>
          </w:tcPr>
          <w:p>
            <w:r/>
            <w:r>
              <w:rPr>
                <w:b w:val="0"/>
                <w:i w:val="0"/>
              </w:rPr>
              <w:t>6</w:t>
            </w:r>
          </w:p>
        </w:tc>
        <w:tc>
          <w:tcPr>
            <w:tcW w:type="dxa" w:w="2436"/>
          </w:tcPr>
          <w:p>
            <w:r/>
            <w:r>
              <w:rPr>
                <w:b w:val="0"/>
                <w:i w:val="0"/>
              </w:rPr>
              <w:t>3</w:t>
            </w:r>
          </w:p>
        </w:tc>
      </w:tr>
      <w:tr>
        <w:tc>
          <w:tcPr>
            <w:tcW w:type="dxa" w:w="2436"/>
          </w:tcPr>
          <w:p>
            <w:r/>
            <w:r>
              <w:rPr>
                <w:b w:val="0"/>
                <w:i w:val="0"/>
              </w:rPr>
              <w:t>P02 · Iván R.</w:t>
            </w:r>
          </w:p>
        </w:tc>
        <w:tc>
          <w:tcPr>
            <w:tcW w:type="dxa" w:w="2436"/>
          </w:tcPr>
          <w:p>
            <w:r/>
            <w:r>
              <w:rPr>
                <w:b w:val="0"/>
                <w:i w:val="0"/>
              </w:rPr>
              <w:t>7</w:t>
            </w:r>
          </w:p>
        </w:tc>
        <w:tc>
          <w:tcPr>
            <w:tcW w:type="dxa" w:w="2436"/>
          </w:tcPr>
          <w:p>
            <w:r/>
            <w:r>
              <w:rPr>
                <w:b w:val="0"/>
                <w:i w:val="0"/>
              </w:rPr>
              <w:t>2</w:t>
            </w:r>
          </w:p>
        </w:tc>
        <w:tc>
          <w:tcPr>
            <w:tcW w:type="dxa" w:w="2436"/>
          </w:tcPr>
          <w:p>
            <w:r/>
            <w:r>
              <w:rPr>
                <w:b w:val="0"/>
                <w:i w:val="0"/>
              </w:rPr>
              <w:t>1</w:t>
            </w:r>
          </w:p>
        </w:tc>
      </w:tr>
      <w:tr>
        <w:tc>
          <w:tcPr>
            <w:tcW w:type="dxa" w:w="2436"/>
          </w:tcPr>
          <w:p>
            <w:r/>
            <w:r>
              <w:rPr>
                <w:b w:val="0"/>
                <w:i w:val="0"/>
              </w:rPr>
              <w:t>P03 · Nuria C.</w:t>
            </w:r>
          </w:p>
        </w:tc>
        <w:tc>
          <w:tcPr>
            <w:tcW w:type="dxa" w:w="2436"/>
          </w:tcPr>
          <w:p>
            <w:r/>
            <w:r>
              <w:rPr>
                <w:b w:val="0"/>
                <w:i w:val="0"/>
              </w:rPr>
              <w:t>4</w:t>
            </w:r>
          </w:p>
        </w:tc>
        <w:tc>
          <w:tcPr>
            <w:tcW w:type="dxa" w:w="2436"/>
          </w:tcPr>
          <w:p>
            <w:r/>
            <w:r>
              <w:rPr>
                <w:b w:val="0"/>
                <w:i w:val="0"/>
              </w:rPr>
              <w:t>0</w:t>
            </w:r>
          </w:p>
        </w:tc>
        <w:tc>
          <w:tcPr>
            <w:tcW w:type="dxa" w:w="2436"/>
          </w:tcPr>
          <w:p>
            <w:r/>
            <w:r>
              <w:rPr>
                <w:b w:val="0"/>
                <w:i w:val="0"/>
              </w:rPr>
              <w:t>0</w:t>
            </w:r>
          </w:p>
        </w:tc>
      </w:tr>
      <w:tr>
        <w:tc>
          <w:tcPr>
            <w:tcW w:type="dxa" w:w="2436"/>
          </w:tcPr>
          <w:p>
            <w:r/>
            <w:r>
              <w:rPr>
                <w:b w:val="0"/>
                <w:i w:val="0"/>
              </w:rPr>
              <w:t>P04 · Diego M.</w:t>
            </w:r>
          </w:p>
        </w:tc>
        <w:tc>
          <w:tcPr>
            <w:tcW w:type="dxa" w:w="2436"/>
          </w:tcPr>
          <w:p>
            <w:r/>
            <w:r>
              <w:rPr>
                <w:b w:val="0"/>
                <w:i w:val="0"/>
              </w:rPr>
              <w:t>0</w:t>
            </w:r>
          </w:p>
        </w:tc>
        <w:tc>
          <w:tcPr>
            <w:tcW w:type="dxa" w:w="2436"/>
          </w:tcPr>
          <w:p>
            <w:r/>
            <w:r>
              <w:rPr>
                <w:b w:val="0"/>
                <w:i w:val="0"/>
              </w:rPr>
              <w:t>0</w:t>
            </w:r>
          </w:p>
        </w:tc>
        <w:tc>
          <w:tcPr>
            <w:tcW w:type="dxa" w:w="2436"/>
          </w:tcPr>
          <w:p>
            <w:r/>
            <w:r>
              <w:rPr>
                <w:b w:val="0"/>
                <w:i w:val="0"/>
              </w:rPr>
              <w:t>0</w:t>
            </w:r>
          </w:p>
        </w:tc>
      </w:tr>
      <w:tr>
        <w:tc>
          <w:tcPr>
            <w:tcW w:type="dxa" w:w="2436"/>
          </w:tcPr>
          <w:p>
            <w:r/>
            <w:r>
              <w:rPr>
                <w:b w:val="0"/>
                <w:i w:val="0"/>
              </w:rPr>
              <w:t>P05 · Laura S.</w:t>
            </w:r>
          </w:p>
        </w:tc>
        <w:tc>
          <w:tcPr>
            <w:tcW w:type="dxa" w:w="2436"/>
          </w:tcPr>
          <w:p>
            <w:r/>
            <w:r>
              <w:rPr>
                <w:b w:val="0"/>
                <w:i w:val="0"/>
              </w:rPr>
              <w:t>1</w:t>
            </w:r>
          </w:p>
        </w:tc>
        <w:tc>
          <w:tcPr>
            <w:tcW w:type="dxa" w:w="2436"/>
          </w:tcPr>
          <w:p>
            <w:r/>
            <w:r>
              <w:rPr>
                <w:b w:val="0"/>
                <w:i w:val="0"/>
              </w:rPr>
              <w:t>1</w:t>
            </w:r>
          </w:p>
        </w:tc>
        <w:tc>
          <w:tcPr>
            <w:tcW w:type="dxa" w:w="2436"/>
          </w:tcPr>
          <w:p>
            <w:r/>
            <w:r>
              <w:rPr>
                <w:b w:val="0"/>
                <w:i w:val="0"/>
              </w:rPr>
              <w:t>0</w:t>
            </w:r>
          </w:p>
        </w:tc>
      </w:tr>
      <w:tr>
        <w:tc>
          <w:tcPr>
            <w:tcW w:type="dxa" w:w="2436"/>
          </w:tcPr>
          <w:p>
            <w:r/>
            <w:r>
              <w:rPr>
                <w:b w:val="0"/>
                <w:i w:val="0"/>
              </w:rPr>
              <w:t>P06 · Omar B.</w:t>
            </w:r>
          </w:p>
        </w:tc>
        <w:tc>
          <w:tcPr>
            <w:tcW w:type="dxa" w:w="2436"/>
          </w:tcPr>
          <w:p>
            <w:r/>
            <w:r>
              <w:rPr>
                <w:b w:val="0"/>
                <w:i w:val="0"/>
              </w:rPr>
              <w:t>0</w:t>
            </w:r>
          </w:p>
        </w:tc>
        <w:tc>
          <w:tcPr>
            <w:tcW w:type="dxa" w:w="2436"/>
          </w:tcPr>
          <w:p>
            <w:r/>
            <w:r>
              <w:rPr>
                <w:b w:val="0"/>
                <w:i w:val="0"/>
              </w:rPr>
              <w:t>0</w:t>
            </w:r>
          </w:p>
        </w:tc>
        <w:tc>
          <w:tcPr>
            <w:tcW w:type="dxa" w:w="2436"/>
          </w:tcPr>
          <w:p>
            <w:r/>
            <w:r>
              <w:rPr>
                <w:b w:val="0"/>
                <w:i w:val="0"/>
              </w:rPr>
              <w:t>0</w:t>
            </w:r>
          </w:p>
        </w:tc>
      </w:tr>
      <w:tr>
        <w:tc>
          <w:tcPr>
            <w:tcW w:type="dxa" w:w="2436"/>
          </w:tcPr>
          <w:p>
            <w:r/>
            <w:r>
              <w:rPr>
                <w:b w:val="0"/>
                <w:i w:val="0"/>
              </w:rPr>
              <w:t>P07 · Rocío F.</w:t>
            </w:r>
          </w:p>
        </w:tc>
        <w:tc>
          <w:tcPr>
            <w:tcW w:type="dxa" w:w="2436"/>
          </w:tcPr>
          <w:p>
            <w:r/>
            <w:r>
              <w:rPr>
                <w:b w:val="0"/>
                <w:i w:val="0"/>
              </w:rPr>
              <w:t>0</w:t>
            </w:r>
          </w:p>
        </w:tc>
        <w:tc>
          <w:tcPr>
            <w:tcW w:type="dxa" w:w="2436"/>
          </w:tcPr>
          <w:p>
            <w:r/>
            <w:r>
              <w:rPr>
                <w:b w:val="0"/>
                <w:i w:val="0"/>
              </w:rPr>
              <w:t>0</w:t>
            </w:r>
          </w:p>
        </w:tc>
        <w:tc>
          <w:tcPr>
            <w:tcW w:type="dxa" w:w="2436"/>
          </w:tcPr>
          <w:p>
            <w:r/>
            <w:r>
              <w:rPr>
                <w:b w:val="0"/>
                <w:i w:val="0"/>
              </w:rPr>
              <w:t>0</w:t>
            </w:r>
          </w:p>
        </w:tc>
      </w:tr>
      <w:tr>
        <w:tc>
          <w:tcPr>
            <w:tcW w:type="dxa" w:w="2436"/>
          </w:tcPr>
          <w:p>
            <w:r/>
            <w:r>
              <w:rPr>
                <w:b w:val="0"/>
                <w:i w:val="0"/>
              </w:rPr>
              <w:t>P08 · Carlos V.</w:t>
            </w:r>
          </w:p>
        </w:tc>
        <w:tc>
          <w:tcPr>
            <w:tcW w:type="dxa" w:w="2436"/>
          </w:tcPr>
          <w:p>
            <w:r/>
            <w:r>
              <w:rPr>
                <w:b w:val="0"/>
                <w:i w:val="0"/>
              </w:rPr>
              <w:t>1</w:t>
            </w:r>
          </w:p>
        </w:tc>
        <w:tc>
          <w:tcPr>
            <w:tcW w:type="dxa" w:w="2436"/>
          </w:tcPr>
          <w:p>
            <w:r/>
            <w:r>
              <w:rPr>
                <w:b w:val="0"/>
                <w:i w:val="0"/>
              </w:rPr>
              <w:t>0</w:t>
            </w:r>
          </w:p>
        </w:tc>
        <w:tc>
          <w:tcPr>
            <w:tcW w:type="dxa" w:w="2436"/>
          </w:tcPr>
          <w:p>
            <w:r/>
            <w:r>
              <w:rPr>
                <w:b w:val="0"/>
                <w:i w:val="0"/>
              </w:rPr>
              <w:t>0</w:t>
            </w:r>
          </w:p>
        </w:tc>
      </w:tr>
      <w:tr>
        <w:tc>
          <w:tcPr>
            <w:tcW w:type="dxa" w:w="2436"/>
          </w:tcPr>
          <w:p>
            <w:r/>
            <w:r>
              <w:rPr>
                <w:b w:val="0"/>
                <w:i w:val="0"/>
              </w:rPr>
              <w:t>P09 · Elena T.</w:t>
            </w:r>
          </w:p>
        </w:tc>
        <w:tc>
          <w:tcPr>
            <w:tcW w:type="dxa" w:w="2436"/>
          </w:tcPr>
          <w:p>
            <w:r/>
            <w:r>
              <w:rPr>
                <w:b w:val="0"/>
                <w:i w:val="0"/>
              </w:rPr>
              <w:t>1</w:t>
            </w:r>
          </w:p>
        </w:tc>
        <w:tc>
          <w:tcPr>
            <w:tcW w:type="dxa" w:w="2436"/>
          </w:tcPr>
          <w:p>
            <w:r/>
            <w:r>
              <w:rPr>
                <w:b w:val="0"/>
                <w:i w:val="0"/>
              </w:rPr>
              <w:t>1</w:t>
            </w:r>
          </w:p>
        </w:tc>
        <w:tc>
          <w:tcPr>
            <w:tcW w:type="dxa" w:w="2436"/>
          </w:tcPr>
          <w:p>
            <w:r/>
            <w:r>
              <w:rPr>
                <w:b w:val="0"/>
                <w:i w:val="0"/>
              </w:rPr>
              <w:t>0</w:t>
            </w:r>
          </w:p>
        </w:tc>
      </w:tr>
      <w:tr>
        <w:tc>
          <w:tcPr>
            <w:tcW w:type="dxa" w:w="2436"/>
          </w:tcPr>
          <w:p>
            <w:r/>
            <w:r>
              <w:rPr>
                <w:b w:val="0"/>
                <w:i w:val="0"/>
              </w:rPr>
              <w:t>P10 · Youssef A.</w:t>
            </w:r>
          </w:p>
        </w:tc>
        <w:tc>
          <w:tcPr>
            <w:tcW w:type="dxa" w:w="2436"/>
          </w:tcPr>
          <w:p>
            <w:r/>
            <w:r>
              <w:rPr>
                <w:b w:val="0"/>
                <w:i w:val="0"/>
              </w:rPr>
              <w:t>0</w:t>
            </w:r>
          </w:p>
        </w:tc>
        <w:tc>
          <w:tcPr>
            <w:tcW w:type="dxa" w:w="2436"/>
          </w:tcPr>
          <w:p>
            <w:r/>
            <w:r>
              <w:rPr>
                <w:b w:val="0"/>
                <w:i w:val="0"/>
              </w:rPr>
              <w:t>0</w:t>
            </w:r>
          </w:p>
        </w:tc>
        <w:tc>
          <w:tcPr>
            <w:tcW w:type="dxa" w:w="2436"/>
          </w:tcPr>
          <w:p>
            <w:r/>
            <w:r>
              <w:rPr>
                <w:b w:val="0"/>
                <w:i w:val="0"/>
              </w:rPr>
              <w:t>0</w:t>
            </w:r>
          </w:p>
        </w:tc>
      </w:tr>
      <w:tr>
        <w:tc>
          <w:tcPr>
            <w:tcW w:type="dxa" w:w="2436"/>
          </w:tcPr>
          <w:p>
            <w:r/>
            <w:r>
              <w:rPr>
                <w:b w:val="0"/>
                <w:i w:val="0"/>
              </w:rPr>
              <w:t>P11 · Paula G.</w:t>
            </w:r>
          </w:p>
        </w:tc>
        <w:tc>
          <w:tcPr>
            <w:tcW w:type="dxa" w:w="2436"/>
          </w:tcPr>
          <w:p>
            <w:r/>
            <w:r>
              <w:rPr>
                <w:b w:val="0"/>
                <w:i w:val="0"/>
              </w:rPr>
              <w:t>0</w:t>
            </w:r>
          </w:p>
        </w:tc>
        <w:tc>
          <w:tcPr>
            <w:tcW w:type="dxa" w:w="2436"/>
          </w:tcPr>
          <w:p>
            <w:r/>
            <w:r>
              <w:rPr>
                <w:b w:val="0"/>
                <w:i w:val="0"/>
              </w:rPr>
              <w:t>0</w:t>
            </w:r>
          </w:p>
        </w:tc>
        <w:tc>
          <w:tcPr>
            <w:tcW w:type="dxa" w:w="2436"/>
          </w:tcPr>
          <w:p>
            <w:r/>
            <w:r>
              <w:rPr>
                <w:b w:val="0"/>
                <w:i w:val="0"/>
              </w:rPr>
              <w:t>0</w:t>
            </w:r>
          </w:p>
        </w:tc>
      </w:tr>
      <w:tr>
        <w:tc>
          <w:tcPr>
            <w:tcW w:type="dxa" w:w="2436"/>
          </w:tcPr>
          <w:p>
            <w:r/>
            <w:r>
              <w:rPr>
                <w:b w:val="0"/>
                <w:i w:val="0"/>
              </w:rPr>
              <w:t>P12 · Andrés P.</w:t>
            </w:r>
          </w:p>
        </w:tc>
        <w:tc>
          <w:tcPr>
            <w:tcW w:type="dxa" w:w="2436"/>
          </w:tcPr>
          <w:p>
            <w:r/>
            <w:r>
              <w:rPr>
                <w:b w:val="0"/>
                <w:i w:val="0"/>
              </w:rPr>
              <w:t>0</w:t>
            </w:r>
          </w:p>
        </w:tc>
        <w:tc>
          <w:tcPr>
            <w:tcW w:type="dxa" w:w="2436"/>
          </w:tcPr>
          <w:p>
            <w:r/>
            <w:r>
              <w:rPr>
                <w:b w:val="0"/>
                <w:i w:val="0"/>
              </w:rPr>
              <w:t>0</w:t>
            </w:r>
          </w:p>
        </w:tc>
        <w:tc>
          <w:tcPr>
            <w:tcW w:type="dxa" w:w="2436"/>
          </w:tcPr>
          <w:p>
            <w:r/>
            <w:r>
              <w:rPr>
                <w:b w:val="0"/>
                <w:i w:val="0"/>
              </w:rPr>
              <w:t>0</w:t>
            </w:r>
          </w:p>
        </w:tc>
      </w:tr>
    </w:tbl>
    <w:p/>
    <w:p>
      <w:pPr>
        <w:jc w:val="center"/>
      </w:pPr>
      <w:r>
        <w:rPr>
          <w:i/>
          <w:color w:val="444444"/>
        </w:rPr>
        <w:t>Una columna de vencidos concentrada en una sola persona no es un problema de esa persona: casi siempre es un problema de reparto o de plazo.</w:t>
      </w:r>
    </w:p>
    <w:p>
      <w:r>
        <w:br w:type="page"/>
      </w:r>
    </w:p>
    <w:p>
      <w:pPr>
        <w:pStyle w:val="Heading1"/>
      </w:pPr>
      <w:r>
        <w:t>8. El Convenio que te Aplica: ALEH VI, tu Provincia y lo que no se Negocia</w:t>
      </w:r>
    </w:p>
    <w:p>
      <w:pPr>
        <w:pStyle w:val="Heading2"/>
      </w:pPr>
      <w:r>
        <w:t>ALEH VI, no ALEH V: qué es y qué cubre</w:t>
      </w:r>
    </w:p>
    <w:p>
      <w:r>
        <w:rPr>
          <w:b w:val="0"/>
          <w:i w:val="0"/>
        </w:rPr>
        <w:t>El acuerdo que rige hoy la hostelería en toda España es el ALEH VI, publicado en el BOE de 10 de marzo de 2023 (BOE-A-2023-6344), prorrogado desde el 1 de enero de 2024 y con vigencia pactada hasta el 31 de diciembre de 2030. El ALEH V, el acuerdo anterior, ha quedado sustituido. El manager (gerente/encargado) no negocia estas materias: las recibe hechas.</w:t>
      </w:r>
    </w:p>
    <w:p>
      <w:r>
        <w:rPr>
          <w:b w:val="0"/>
          <w:i w:val="0"/>
        </w:rPr>
        <w:t>El ALEH VI se sostiene sobre dos pisos que conviene no confundir. El piso estatal reserva para sí, sin que ningún convenio provincial ni de empresa pueda tocarlo, la clasificación profesional, el periodo de prueba, los contratos formativos y el régimen disciplinario (art. 10.7 ALEH VI). El piso provincial se queda con todo lo demás: tablas salariales, jornada anual, pluses, antigüedad y vacaciones concretas (art. 10.5 ALEH VI). Ningún acuerdo estatal de hostelería fija salarios: por eso este manual no publica ni una sola cifra de nómina (planilla).</w:t>
      </w:r>
    </w:p>
    <w:p>
      <w:r>
        <w:rPr>
          <w:b w:val="0"/>
          <w:i w:val="0"/>
        </w:rPr>
        <w:t>El art. 15 del ALEH VI relaciona los puestos de seis áreas funcionales «de forma meramente enunciativa y no excluyente», y el art. 16 los encuadra en tres grupos profesionales. En el área tercera -restaurante, sala, bar y similares- el grupo primero lo forman jefe/a de restaurante o sala, 2.º jefe/a de restaurante o sala, jefe/a de operaciones de catering y, solo dentro de restauración moderna (comida rápida y cadenas), gerente de centro. El convenio no tipifica «encargado de restaurante», «director» ni «administrador»: son denominaciones de uso de la casa, y sus únicos «encargados» son los de economato, pisos y limpieza, y mantenimiento. Lo que manda, y lo que tiene que figurar en el contrato escrito y en el recibo de salario, es el grupo profesional, no el nombre de la tarjeta de visita (arts. 11.2, 15 y 16 del ALEH VI, con la modificación de BOE-A-2026-18630).</w:t>
      </w:r>
    </w:p>
    <w:p>
      <w:r>
        <w:rPr>
          <w:b w:val="0"/>
          <w:i w:val="0"/>
        </w:rPr>
        <w:t>El ALEH VI se acaba de modificar: la Resolución de la Dirección General de Trabajo se publicó el 4 de septiembre de 2026 (BOE-A-2026-18630, verificado el 4 de septiembre de 2026), toca el preámbulo y los artículos 6, 9, 10, 15, 16, 17, 38, 39, 40 y 41 y las tablas del anexo I, y añade dos capítulos nuevos: el XIII, con el plan de referencia del sector en materia LGTBI, y el XIV, con el protocolo frente a catástrofes y fenómenos meteorológicos adversos. A esa modificación le quedan 1.578 días de vigencia.</w:t>
      </w:r>
    </w:p>
    <w:p>
      <w:pPr>
        <w:pStyle w:val="Heading2"/>
      </w:pPr>
      <w:r>
        <w:t>Las materias reservadas: lo que tu convenio provincial no puede tocar</w:t>
      </w:r>
    </w:p>
    <w:p>
      <w:r>
        <w:rPr>
          <w:b w:val="0"/>
          <w:i w:val="0"/>
        </w:rPr>
        <w:t>La lista del art. 10.7 ALEH VI es un cierre de puertas. Ni el convenio de tu provincia ni ningún pacto de empresa pueden entrar en la clasificación profesional, el periodo de prueba, los contratos formativos, la formación profesional estatal, el régimen disciplinario, las normas mínimas de prevención de riesgos, la solución autónoma de conflictos ni la subrogación en colectividades. Si el convenio provincial trae una tabla de faltas distinta, no vale: se aplica la estatal.</w:t>
      </w:r>
    </w:p>
    <w:p>
      <w:r>
        <w:rPr>
          <w:b w:val="0"/>
          <w:i w:val="0"/>
        </w:rPr>
        <w:t>Del periodo de prueba, la cifra la fija solo el ALEH: 90, 60 o 45 días naturales según grupo profesional si el contrato es indefinido; 75, 45 o 30 si es temporal de más de tres meses; 60, 30 o 15 si es temporal de hasta tres meses. Y es nulo -no solo revisable, nulo- si la persona ya desempeñó las mismas funciones en la empresa (art. 21 ALEH VI y art. 14 del Estatuto de los Trabajadores).</w:t>
      </w:r>
    </w:p>
    <w:p>
      <w:r>
        <w:rPr>
          <w:b w:val="0"/>
          <w:i w:val="0"/>
        </w:rPr>
        <w:t>El régimen disciplinario, otra materia reservada, tiene su propio cuadro en este manual: reúne diez filas que tipifican dos faltas leves, dos graves y una muy grave, más las novedades de la modificación de septiembre sobre el registro de jornada.</w:t>
      </w:r>
    </w:p>
    <w:p>
      <w:pPr>
        <w:pStyle w:val="Heading2"/>
      </w:pPr>
      <w:r>
        <w:t>Cómo se busca tu convenio en REGCON, paso a paso</w:t>
      </w:r>
    </w:p>
    <w:p>
      <w:r>
        <w:rPr>
          <w:b w:val="0"/>
          <w:i w:val="0"/>
        </w:rPr>
        <w:t>Buscar el convenio provincial es un procedimiento reproducible, no una intuición, y se repite igual cada vez que abres un local o cambias de provincia:</w:t>
      </w:r>
    </w:p>
    <w:p>
      <w:pPr>
        <w:pStyle w:val="ListBullet"/>
      </w:pPr>
      <w:r>
        <w:rPr>
          <w:b w:val="0"/>
          <w:i w:val="0"/>
        </w:rPr>
        <w:t>Entra en REGCON, el Registro y Depósito de Convenios Colectivos del Ministerio de Trabajo.</w:t>
      </w:r>
    </w:p>
    <w:p>
      <w:pPr>
        <w:pStyle w:val="ListBullet"/>
      </w:pPr>
      <w:r>
        <w:rPr>
          <w:b w:val="0"/>
          <w:i w:val="0"/>
        </w:rPr>
        <w:t>Filtra por ámbito funcional «hostelería», el sector que agrupa tu actividad, aunque el convenio de tu provincia lo titule de otra manera.</w:t>
      </w:r>
    </w:p>
    <w:p>
      <w:pPr>
        <w:pStyle w:val="ListBullet"/>
      </w:pPr>
      <w:r>
        <w:rPr>
          <w:b w:val="0"/>
          <w:i w:val="0"/>
        </w:rPr>
        <w:t>Filtra por ámbito territorial: la provincia. Aquí está el error que más se repite en grupos con varios locales: se busca por la provincia del CENTRO DE TRABAJO donde está tu restaurante, nunca por la del domicilio social de la empresa.</w:t>
      </w:r>
    </w:p>
    <w:p>
      <w:pPr>
        <w:pStyle w:val="ListBullet"/>
      </w:pPr>
      <w:r>
        <w:rPr>
          <w:b w:val="0"/>
          <w:i w:val="0"/>
        </w:rPr>
        <w:t>Comprueba la fecha de publicación del convenio y su estado: vigente, prorrogado o en ultraactividad.</w:t>
      </w:r>
    </w:p>
    <w:p>
      <w:r>
        <w:rPr>
          <w:b w:val="0"/>
          <w:i w:val="0"/>
        </w:rPr>
        <w:t>Esta búsqueda explica por qué el mismo puesto cobra cifras distintas según la provincia: la tabla salarial no la fija el ALEH VI, la fija el convenio que acabas de localizar. Una plantilla con una nómina única para «cocinero» o «camarero (mesero)» estaría equivocada en media España.</w:t>
      </w:r>
    </w:p>
    <w:p>
      <w:pPr>
        <w:pStyle w:val="Heading2"/>
      </w:pPr>
      <w:r>
        <w:t>Por qué el mismo puesto cobra distinto según la provincia</w:t>
      </w:r>
    </w:p>
    <w:p>
      <w:r>
        <w:rPr>
          <w:b w:val="0"/>
          <w:i w:val="0"/>
        </w:rPr>
        <w:t>El convenio provincial es el único nivel que puede fijar una tabla salarial, y esas tablas no se parecen entre sí. Un cocinero de nivel III cobra entre 1.160 y 1.284 € al mes en Madrid, cuyo convenio expiró el 31 de diciembre de 2025 (convenio de Madrid, BOCM) y sigue aplicándose en ultraactividad, frente a entre 1.607 y 1.803 € en Barcelona, con convenio vigente para el periodo 2025-2028 (Convenio de hostelería de Madrid, BOCM 06-04-2024, y convenio interprovincial de Cataluña, DOGC 23-03-2026). Es el mismo grupo profesional y una diferencia de varios cientos de euros al mes entre dos capitales de provincia: nada en el ALEH VI explica esa distancia, porque el ALEH VI no la fija; la fija cada convenio por separado.</w:t>
      </w:r>
    </w:p>
    <w:p>
      <w:r>
        <w:rPr>
          <w:b w:val="0"/>
          <w:i w:val="0"/>
        </w:rPr>
        <w:t>La diferencia no está en el puesto, está en el piso que decide la cifra. El ALEH VI ya fijó, para toda España, el grupo profesional al que pertenece un cocinero o un camarero y el hecho de que ese grupo conste en el contrato y en el recibo de salario; lo único que cambia de una provincia a otra es la cantidad concreta que corresponde a ese grupo, porque esa cantidad nunca sale del acuerdo estatal. Dos locales de una misma empresa, uno en Madrid y otro en Barcelona, parten de idéntica clasificación profesional y llegan a un coste de personal distinto simplemente por la provincia en la que abren, sin que eso signifique ningún incumplimiento por ninguna de las dos partes.</w:t>
      </w:r>
    </w:p>
    <w:p>
      <w:r>
        <w:rPr>
          <w:b w:val="0"/>
          <w:i w:val="0"/>
        </w:rPr>
        <w:t>Esta es la razón de fondo por la que este manual no trae ninguna plantilla de nómina con una cifra cerrada de sueldo por categoría. Una plantilla así acertaría, como mucho, en la provincia donde se escribió, y estaría mal en la mitad de España. El dato correcto no es una cifra que se copia de un libro: es el resultado de localizar en REGCON el convenio que rige tu centro de trabajo y de leer su tabla salarial vigente a fecha de hoy. Lo que aporta este manual es el criterio y el procedimiento; la cifra final la pone siempre tu convenio provincial.</w:t>
      </w:r>
    </w:p>
    <w:p>
      <w:pPr>
        <w:pStyle w:val="Heading2"/>
      </w:pPr>
      <w:r>
        <w:t>Ultraactividad: qué pasa cuando tu convenio caduca</w:t>
      </w:r>
    </w:p>
    <w:p>
      <w:r>
        <w:rPr>
          <w:b w:val="0"/>
          <w:i w:val="0"/>
        </w:rPr>
        <w:t>El convenio de Madrid del ejemplo anterior lleva expirado desde el 31 de diciembre de 2025 y, aun así, sigue aplicándose con todas sus tablas. Eso es la ultraactividad: un convenio colectivo caducado sigue rigiendo mientras no se firme y se publique uno nuevo que lo sustituya, sin vacío legal ni interrupción. Durante ese tiempo continúan aplicándose, artículo por artículo, exactamente las mismas tablas salariales, los mismos pluses y la misma antigüedad pactada en el convenio vencido, hasta que el texto nuevo las sustituya expresamente.</w:t>
      </w:r>
    </w:p>
    <w:p>
      <w:r>
        <w:rPr>
          <w:b w:val="0"/>
          <w:i w:val="0"/>
        </w:rPr>
        <w:t>Lo que tiene que vigilar el manager -no solo la asesoría, aunque la consulte- es la publicación del convenio nuevo, porque suele llegar con dos efectos que golpean directamente a la nómina del mes: retroactividad y atrasos. Si el convenio nuevo se pacta con efectos desde una fecha anterior a la de su publicación, hay que recalcular y abonar la diferencia de los meses ya liquidados con las tablas viejas, con el riesgo de una regularización de varios meses de golpe si la negociación se alarga. Cuanto más tiempo pase entre la caducidad del convenio y la firma del que lo sustituye, mayor es la ventana de meses que puede quedar sujeta a esa actualización retroactiva, y ese es exactamente el motivo por el que no conviene tratar la ultraactividad como un paréntesis sin coste: el coste no desaparece, solo se aplaza.</w:t>
      </w:r>
    </w:p>
    <w:p>
      <w:r>
        <w:rPr>
          <w:b w:val="0"/>
          <w:i w:val="0"/>
        </w:rPr>
        <w:t>Esto convierte la vigilancia del convenio en un vencimiento más del calendario del manager, del mismo tipo que una caducidad sanitaria o una revisión de extintores, y no en un trámite que se delega sin más en la gestoría. La provincia del centro de trabajo, la fecha de publicación y el estado -vigente, prorrogado o en ultraactividad- son datos que se comprueban en REGCON con la misma frecuencia con la que se revisa cualquier otro plazo que corre en el negocio, y no solo el día en que llega una nómina que no cuadra.</w:t>
      </w:r>
    </w:p>
    <w:p>
      <w:r>
        <w:rPr>
          <w:b/>
          <w:i w:val="0"/>
        </w:rPr>
        <w:t>El acuerdo estatal y tu convenio provincial, con su estado a la fecha de corte (calendario-cumplimiento-legal.xlsx, hoja «Estado Normativo»)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Norma</w:t>
            </w:r>
          </w:p>
        </w:tc>
        <w:tc>
          <w:tcPr>
            <w:tcW w:type="dxa" w:w="3249"/>
          </w:tcPr>
          <w:p>
            <w:r/>
            <w:r>
              <w:rPr>
                <w:b/>
                <w:i w:val="0"/>
              </w:rPr>
              <w:t>Estado a la fecha de corte</w:t>
            </w:r>
          </w:p>
        </w:tc>
        <w:tc>
          <w:tcPr>
            <w:tcW w:type="dxa" w:w="3249"/>
          </w:tcPr>
          <w:p>
            <w:r/>
            <w:r>
              <w:rPr>
                <w:b/>
                <w:i w:val="0"/>
              </w:rPr>
              <w:t>Qué obliga hoy y qué hace el manager</w:t>
            </w:r>
          </w:p>
        </w:tc>
      </w:tr>
      <w:tr>
        <w:tc>
          <w:tcPr>
            <w:tcW w:type="dxa" w:w="3249"/>
          </w:tcPr>
          <w:p>
            <w:r/>
            <w:r>
              <w:rPr>
                <w:b w:val="0"/>
                <w:i w:val="0"/>
              </w:rPr>
              <w:t>ALEH VI (acuerdo laboral estatal de hostelería)</w:t>
            </w:r>
          </w:p>
        </w:tc>
        <w:tc>
          <w:tcPr>
            <w:tcW w:type="dxa" w:w="3249"/>
          </w:tcPr>
          <w:p>
            <w:r/>
            <w:r>
              <w:rPr>
                <w:b w:val="0"/>
                <w:i w:val="0"/>
              </w:rPr>
              <w:t>Modificado y publicado el 04-09-2026 (BOE-A-2026-18630); vigente hasta el 31-12-2030</w:t>
            </w:r>
          </w:p>
        </w:tc>
        <w:tc>
          <w:tcPr>
            <w:tcW w:type="dxa" w:w="3249"/>
          </w:tcPr>
          <w:p>
            <w:r/>
            <w:r>
              <w:rPr>
                <w:b w:val="0"/>
                <w:i w:val="0"/>
              </w:rPr>
              <w:t>Aplicar la audiencia previa en el despido disciplinario y el nuevo régimen del registro de jornada, móvil y tabaco</w:t>
            </w:r>
          </w:p>
        </w:tc>
      </w:tr>
      <w:tr>
        <w:tc>
          <w:tcPr>
            <w:tcW w:type="dxa" w:w="3249"/>
          </w:tcPr>
          <w:p>
            <w:r/>
            <w:r>
              <w:rPr>
                <w:b w:val="0"/>
                <w:i w:val="0"/>
              </w:rPr>
              <w:t>Convenio provincial de hostelería de Girona</w:t>
            </w:r>
          </w:p>
        </w:tc>
        <w:tc>
          <w:tcPr>
            <w:tcW w:type="dxa" w:w="3249"/>
          </w:tcPr>
          <w:p>
            <w:r/>
            <w:r>
              <w:rPr>
                <w:b w:val="0"/>
                <w:i w:val="0"/>
              </w:rPr>
              <w:t>Vigente; las tablas se consultan en REGCON</w:t>
            </w:r>
          </w:p>
        </w:tc>
        <w:tc>
          <w:tcPr>
            <w:tcW w:type="dxa" w:w="3249"/>
          </w:tcPr>
          <w:p>
            <w:r/>
            <w:r>
              <w:rPr>
                <w:b w:val="0"/>
                <w:i w:val="0"/>
              </w:rPr>
              <w:t>El convenio provincial NO puede tocar clasificación profesional, periodo de prueba, contratos formativos ni régimen disciplinario</w:t>
            </w:r>
          </w:p>
        </w:tc>
      </w:tr>
    </w:tbl>
    <w:p/>
    <w:p>
      <w:pPr>
        <w:jc w:val="center"/>
      </w:pPr>
      <w:r>
        <w:rPr>
          <w:i/>
          <w:color w:val="444444"/>
        </w:rPr>
        <w:t>Verificado el 04-09-2026 · ALEH VI (BOE-A-2023-6344), modificado por la Resolución de la DGT de 25-08-2026 (BOE-A-2026-18630) · https://www.boe.es/diario_boe/txt.php?id=BOE-A-2026-18630</w:t>
      </w:r>
    </w:p>
    <w:p>
      <w:r>
        <w:br w:type="page"/>
      </w:r>
    </w:p>
    <w:p>
      <w:pPr>
        <w:pStyle w:val="Heading1"/>
      </w:pPr>
      <w:r>
        <w:t>9. Contratar sin Fabricar un Indefinido por Accidente</w:t>
      </w:r>
    </w:p>
    <w:p>
      <w:pPr>
        <w:pStyle w:val="Heading2"/>
      </w:pPr>
      <w:r>
        <w:t>El punto de partida: el contrato se presume indefinido</w:t>
      </w:r>
    </w:p>
    <w:p>
      <w:r>
        <w:rPr>
          <w:b w:val="0"/>
          <w:i w:val="0"/>
        </w:rPr>
        <w:t>Desde la reforma laboral, la contratación en un restaurante ya no se piensa desde la temporalidad con excepciones: se piensa al revés. El contrato de trabajo se presume indefinido, y lo temporal solo cabe cuando existe una causa concreta que hay que nombrar y, en la mayoría de los casos, dejar por escrito antes de que la persona pise la sala (salón). El contrato de obra y servicio desapareció el 30 de marzo de 2022 -art. 15 ET, redacción del RDL 32/2021, verificado el 4 de septiembre de 2026-, y con él se fue la fórmula que durante años sirvió para cubrir casi cualquier necesidad sin pensar demasiado en la causa: «le hacemos un fin de obra para la reforma de la cocina», «cubrimos el verano con un contrato de obra y servicio». Esa figura ya no existe, y seguir razonando como si existiera es el origen de la mayoría de los fraudes involuntarios del sector: no nace de la mala fe del manager (gerente/encargado), sino de aplicar una plantilla que el Estatuto de los Trabajadores ya no reconoce.</w:t>
      </w:r>
    </w:p>
    <w:p>
      <w:r>
        <w:rPr>
          <w:b w:val="0"/>
          <w:i w:val="0"/>
        </w:rPr>
        <w:t>La consecuencia operativa es sencilla: antes de firmar cualquier contrato que no sea indefinido, hay que poder contestar a una pregunta concreta -¿en cuál de las dos causas que quedan encaja esta contratación?- y esa respuesta tiene que constar por escrito el mismo día de la firma, no reconstruirse después si llega una inspección. Si el manager no sabe contestarla con precisión, el contrato que corresponde firmar es indefinido.</w:t>
      </w:r>
    </w:p>
    <w:p>
      <w:pPr>
        <w:pStyle w:val="Heading2"/>
      </w:pPr>
      <w:r>
        <w:t>Las dos causas que quedan: circunstancias de la producción y sustitución</w:t>
      </w:r>
    </w:p>
    <w:p>
      <w:r>
        <w:rPr>
          <w:b w:val="0"/>
          <w:i w:val="0"/>
        </w:rPr>
        <w:t>Solo quedan dos puertas para un contrato temporal, y las dos exigen algo por escrito que va más allá de fijar una fecha de fin.</w:t>
      </w:r>
    </w:p>
    <w:p>
      <w:pPr>
        <w:pStyle w:val="ListBullet"/>
      </w:pPr>
      <w:r>
        <w:rPr>
          <w:b w:val="0"/>
          <w:i w:val="0"/>
        </w:rPr>
        <w:t>Circunstancias de la producción: cubre el incremento ocasional e imprevisible de la actividad y las oscilaciones que, aun siendo previsibles -la temporada alta, un repunte puntual de reservas-, generan un desajuste entre la plantilla estructural y la carga de trabajo real. Lo que tiene que constar por escrito es la causa concreta que lo justifica, no una fórmula genérica, y su duración máxima es de 6 meses, ampliable a 1 año si lo permite el convenio colectivo sectorial (art. 15 ET, redacción del RDL 32/2021). Un refuerzo de verano para el puesto de camarero (mesero) de sala -el mismo perfil que cubre el ejemplo de selección del pack, Camarero/a de sala- encaja aquí siempre que la duración pactada respete ese máximo.</w:t>
      </w:r>
    </w:p>
    <w:p>
      <w:pPr>
        <w:pStyle w:val="ListBullet"/>
      </w:pPr>
      <w:r>
        <w:rPr>
          <w:b w:val="0"/>
          <w:i w:val="0"/>
        </w:rPr>
        <w:t>Sustitución: cubre el reemplazo de una persona con derecho a reserva del puesto -una baja médica, una excedencia, un permiso- o la cobertura temporal de un proceso de selección en marcha. Lo que tiene que constar por escrito no es solo la duración: es el nombre de la persona sustituida y la causa exacta de la sustitución. Sin esos dos datos, el contrato no queda sujeto a la causa que dice invocar y se expone a la presunción de indefinido del epígrafe anterior. A diferencia de las circunstancias de la producción, aquí no hay un tope fijado en meses: la duración se extiende mientras dure la causa que la origina y termina cuando esa persona se reincorpora o cuando concluye el proceso de selección que se estaba cubriendo.</w:t>
      </w:r>
    </w:p>
    <w:p>
      <w:r>
        <w:rPr>
          <w:b w:val="0"/>
          <w:i w:val="0"/>
        </w:rPr>
        <w:t>En un restaurante con una plantilla de 12 personas, confundir estas dos puertas -firmar por circunstancias de la producción lo que en realidad es una sustitución, o al revés- no es un matiz de redacción: es la diferencia entre un contrato que resiste una inspección y uno que no.</w:t>
      </w:r>
    </w:p>
    <w:p>
      <w:pPr>
        <w:pStyle w:val="Heading2"/>
      </w:pPr>
      <w:r>
        <w:t>Encadenamiento: cómo se fabrica un fijo sin querer</w:t>
      </w:r>
    </w:p>
    <w:p>
      <w:r>
        <w:rPr>
          <w:b w:val="0"/>
          <w:i w:val="0"/>
        </w:rPr>
        <w:t>El encadenamiento es el error más caro de este capítulo, y también el más fácil de cometer sin darse cuenta. La regla no cuenta contratos sueltos: cuenta por puesto de trabajo y por persona a lo largo de un periodo, y no hace falta que los contratos sean seguidos en el tiempo para que se acumulen. Encadenar más de 18 meses en un periodo de 24 meses convierte a la persona en fija, aunque cada contrato, visto por separado, pareciera correcto (art. 15 ET, redacción del RDL 32/2021).</w:t>
      </w:r>
    </w:p>
    <w:p>
      <w:r>
        <w:rPr>
          <w:b w:val="0"/>
          <w:i w:val="0"/>
        </w:rPr>
        <w:t>Lo que encarece de verdad el error es cómo se sanciona: el fraude en la contratación temporal se clasifica como infracción grave y se cuenta una infracción por cada trabajador afectado, no una por empresa, según los arts. 22.2 y 40.1.e) LISOS (verificado el 4 de septiembre de 2026). La multa va de 3.750 a 12.000 euros, y se incrementa un 20 % cuando hay dos personas afectadas y hasta un 50 % cuando son cinco o más. Un mismo error de encadenamiento, repetido de forma idéntica con cinco camareros de temporada, no son cinco contratos mal hechos: son cinco infracciones independientes, con el recargo del 50 % ya aplicado. Con un coste de personal que en un restaurante de este tamaño ya asciende -incluida la Seguridad Social- a 380.531 €, sobre unos salarios brutos de 273.910 €, es el tipo de error que el manager no se puede permitir sin llevar la cuenta de los meses que cada puesto lleva cubierto con temporales.</w:t>
      </w:r>
    </w:p>
    <w:p>
      <w:pPr>
        <w:pStyle w:val="Heading2"/>
      </w:pPr>
      <w:r>
        <w:t>Fijo-discontinuo: el contrato de la temporada y su antigüedad</w:t>
      </w:r>
    </w:p>
    <w:p>
      <w:r>
        <w:rPr>
          <w:b w:val="0"/>
          <w:i w:val="0"/>
        </w:rPr>
        <w:t>Frente al riesgo de encadenamiento que acabamos de ver, existe una salida que sí resuelve la temporada sin generar ese riesgo, y que casi ningún restaurante usa bien: el fijo-discontinuo. No es un contrato temporal disfrazado de indefinido: es un contrato indefinido de trabajo estacional desde el primer día, con la misma presunción de estabilidad que cualquier otro indefinido y sin la exigencia de encajar en una de las dos causas que hemos visto (art. 16 ET, redacción del RDL 32/2021). Tanto el contrato como cada llamamiento posterior tienen que constar por escrito: el contrato inicial fija el puesto y la actividad estacional, y cada llamamiento -el aviso con el que se reincorpora a la persona al inicio de cada temporada- es un documento independiente que también hay que conservar.</w:t>
      </w:r>
    </w:p>
    <w:p>
      <w:r>
        <w:rPr>
          <w:b w:val="0"/>
          <w:i w:val="0"/>
        </w:rPr>
        <w:t>El motivo por el que casi nadie lo usa bien es precisamente el que hemos visto antes: cuando la necesidad de la temporada se repite año tras año, la tentación es firmar cada vez un nuevo contrato por circunstancias de la producción, porque parece más simple que gestionar un llamamiento. Esa tentación es la misma que fabrica el encadenamiento: si la necesidad es estructural y recurrente, no es una circunstancia de la producción, y el contrato que corresponde desde el primer año es el fijo-discontinuo, no una sucesión de contratos temporales que terminan sumando más de 18 meses en 24.</w:t>
      </w:r>
    </w:p>
    <w:p>
      <w:r>
        <w:rPr>
          <w:b w:val="0"/>
          <w:i w:val="0"/>
        </w:rPr>
        <w:t>La consecuencia menos intuitiva, y la que más se olvida al calcular una indemnización, es cómo se cuenta la antigüedad: se calcula por toda la duración de la relación laboral desde el primer contrato, no solo por los periodos efectivamente trabajados entre temporada y temporada. Un camarero de sala que lleva cinco veranos llamado en la misma casa no tiene la antigüedad de cinco meses trabajados: tiene la antigüedad de cinco años de relación laboral, con todo lo que eso implica en cualquier cálculo posterior. Organizar los llamamientos de cada temporada contra el cuadrante (horario del personal) del año anterior es lo que evita perder el hilo de quién tiene derecho a ser llamado primero y con qué antigüedad real se incorpora.</w:t>
      </w:r>
    </w:p>
    <w:p>
      <w:pPr>
        <w:pStyle w:val="Heading2"/>
      </w:pPr>
      <w:r>
        <w:t>Periodo de prueba y contratos formativos en hostelería</w:t>
      </w:r>
    </w:p>
    <w:p>
      <w:r>
        <w:rPr>
          <w:b w:val="0"/>
          <w:i w:val="0"/>
        </w:rPr>
        <w:t>El periodo de prueba no lo fija el convenio provincial: lo fija el Acuerdo Laboral Estatal de Hostelería y ningún convenio de ámbito inferior puede modificarlo, sea al alza o a la baja (art. 21 ALEH VI y art. 14 ET, verificado el 4 de septiembre de 2026). La duración cambia según el grupo profesional y según el tipo de contrato: en el indefinido son 90, 60 o 45 días naturales según el grupo; en el temporal de más de tres meses, 75, 45 o 30; y en el temporal de hasta tres meses, 60, 30 o 15. El manager no inventa a qué grupo corresponde cada plazo dentro de esos tres tramos: lo lee cruzando el grupo profesional del puesto con el tipo de contrato en el cuadro siguiente. Para el puesto de Camarero/a de sala del caso -encuadrado en Área 3ª · Grupo II del ALEH VI, con una jornada de 40 horas semanales a turno partido-, el plazo aplicable es el que corresponde a ese grupo y a esa modalidad de contrato en la misma tabla.</w:t>
      </w:r>
    </w:p>
    <w:p>
      <w:r>
        <w:rPr>
          <w:b w:val="0"/>
          <w:i w:val="0"/>
        </w:rPr>
        <w:t>Hay una regla que pesa más que cualquiera de esos plazos: el periodo de prueba es nulo si la persona ya desempeñó las mismas funciones en la empresa, con independencia de cuánto tiempo hiciera y de qué tipo de contrato tuviera entonces. Es la trampa clásica del extra que vuelve: se le hace un contrato nuevo para la temporada siguiente, se le pacta un periodo de prueba como si fuera la primera vez, y ese periodo de prueba es nulo desde el primer día porque la persona ya ocupó ese puesto antes. La misma regla protege a quien se incorpora mediante un contrato formativo: si ya prestó esas funciones en la casa, aunque fuera con otra modalidad de contrato, tampoco cabe un nuevo periodo de prueba. Los contratos formativos, pensados para la incorporación de personal en formación, comparten con el resto de modalidades esa misma barrera del ALEH VI, y tratarlos como una casilla en blanco donde siempre cabe un periodo de prueba nuevo es un error tan caro como el de encadenar contratos temporales.</w:t>
      </w:r>
    </w:p>
    <w:p>
      <w:r>
        <w:rPr>
          <w:b w:val="0"/>
          <w:i w:val="0"/>
        </w:rPr>
        <w:t>Qué contrato cabe en cada situación es la decisión que este capítulo pone en manos del manager. Darlo de alta, documentarlo con la causa exacta y hacerle el seguimiento mes a mes -incluido el cómputo del encadenamiento y el calendario de llamamientos- es el trabajo que resuelve el Kit de Gestión de Personal.</w:t>
      </w:r>
    </w:p>
    <w:p>
      <w:r>
        <w:rPr>
          <w:b/>
          <w:i w:val="0"/>
        </w:rPr>
        <w:t>Qué contrato cabe, cuánto dura y qué lo convierte en indefinido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Figura</w:t>
            </w:r>
          </w:p>
        </w:tc>
        <w:tc>
          <w:tcPr>
            <w:tcW w:type="dxa" w:w="2436"/>
          </w:tcPr>
          <w:p>
            <w:r/>
            <w:r>
              <w:rPr>
                <w:b/>
                <w:i w:val="0"/>
              </w:rPr>
              <w:t>Duración</w:t>
            </w:r>
          </w:p>
        </w:tc>
        <w:tc>
          <w:tcPr>
            <w:tcW w:type="dxa" w:w="2436"/>
          </w:tcPr>
          <w:p>
            <w:r/>
            <w:r>
              <w:rPr>
                <w:b/>
                <w:i w:val="0"/>
              </w:rPr>
              <w:t>Qué la convierte en indefinida</w:t>
            </w:r>
          </w:p>
        </w:tc>
        <w:tc>
          <w:tcPr>
            <w:tcW w:type="dxa" w:w="2436"/>
          </w:tcPr>
          <w:p>
            <w:r/>
            <w:r>
              <w:rPr>
                <w:b/>
                <w:i w:val="0"/>
              </w:rPr>
              <w:t>Norma</w:t>
            </w:r>
          </w:p>
        </w:tc>
      </w:tr>
      <w:tr>
        <w:tc>
          <w:tcPr>
            <w:tcW w:type="dxa" w:w="2436"/>
          </w:tcPr>
          <w:p>
            <w:r/>
            <w:r>
              <w:rPr>
                <w:b w:val="0"/>
                <w:i w:val="0"/>
              </w:rPr>
              <w:t>Circunstancias de la producción</w:t>
            </w:r>
          </w:p>
        </w:tc>
        <w:tc>
          <w:tcPr>
            <w:tcW w:type="dxa" w:w="2436"/>
          </w:tcPr>
          <w:p>
            <w:r/>
            <w:r>
              <w:rPr>
                <w:b w:val="0"/>
                <w:i w:val="0"/>
              </w:rPr>
              <w:t>Máximo 6 meses, ampliables a 1 año por convenio sectorial</w:t>
            </w:r>
          </w:p>
        </w:tc>
        <w:tc>
          <w:tcPr>
            <w:tcW w:type="dxa" w:w="2436"/>
          </w:tcPr>
          <w:p>
            <w:r/>
            <w:r>
              <w:rPr>
                <w:b w:val="0"/>
                <w:i w:val="0"/>
              </w:rPr>
              <w:t>Superar el plazo, o encadenar más de 18 meses en un periodo de 24</w:t>
            </w:r>
          </w:p>
        </w:tc>
        <w:tc>
          <w:tcPr>
            <w:tcW w:type="dxa" w:w="2436"/>
          </w:tcPr>
          <w:p>
            <w:r/>
            <w:r>
              <w:rPr>
                <w:b w:val="0"/>
                <w:i w:val="0"/>
              </w:rPr>
              <w:t>Art. 15.2 ET, redacción del RDL 32/2021</w:t>
            </w:r>
          </w:p>
        </w:tc>
      </w:tr>
      <w:tr>
        <w:tc>
          <w:tcPr>
            <w:tcW w:type="dxa" w:w="2436"/>
          </w:tcPr>
          <w:p>
            <w:r/>
            <w:r>
              <w:rPr>
                <w:b w:val="0"/>
                <w:i w:val="0"/>
              </w:rPr>
              <w:t>Sustitución</w:t>
            </w:r>
          </w:p>
        </w:tc>
        <w:tc>
          <w:tcPr>
            <w:tcW w:type="dxa" w:w="2436"/>
          </w:tcPr>
          <w:p>
            <w:r/>
            <w:r>
              <w:rPr>
                <w:b w:val="0"/>
                <w:i w:val="0"/>
              </w:rPr>
              <w:t>Mientras dure la causa que la justifica</w:t>
            </w:r>
          </w:p>
        </w:tc>
        <w:tc>
          <w:tcPr>
            <w:tcW w:type="dxa" w:w="2436"/>
          </w:tcPr>
          <w:p>
            <w:r/>
            <w:r>
              <w:rPr>
                <w:b w:val="0"/>
                <w:i w:val="0"/>
              </w:rPr>
              <w:t>No identificar a la persona sustituida y la causa en el contrato</w:t>
            </w:r>
          </w:p>
        </w:tc>
        <w:tc>
          <w:tcPr>
            <w:tcW w:type="dxa" w:w="2436"/>
          </w:tcPr>
          <w:p>
            <w:r/>
            <w:r>
              <w:rPr>
                <w:b w:val="0"/>
                <w:i w:val="0"/>
              </w:rPr>
              <w:t>Art. 15.3 ET</w:t>
            </w:r>
          </w:p>
        </w:tc>
      </w:tr>
      <w:tr>
        <w:tc>
          <w:tcPr>
            <w:tcW w:type="dxa" w:w="2436"/>
          </w:tcPr>
          <w:p>
            <w:r/>
            <w:r>
              <w:rPr>
                <w:b w:val="0"/>
                <w:i w:val="0"/>
              </w:rPr>
              <w:t>Fijo-discontinuo</w:t>
            </w:r>
          </w:p>
        </w:tc>
        <w:tc>
          <w:tcPr>
            <w:tcW w:type="dxa" w:w="2436"/>
          </w:tcPr>
          <w:p>
            <w:r/>
            <w:r>
              <w:rPr>
                <w:b w:val="0"/>
                <w:i w:val="0"/>
              </w:rPr>
              <w:t>Indefinido: se activa y se interrumpe por temporada</w:t>
            </w:r>
          </w:p>
        </w:tc>
        <w:tc>
          <w:tcPr>
            <w:tcW w:type="dxa" w:w="2436"/>
          </w:tcPr>
          <w:p>
            <w:r/>
            <w:r>
              <w:rPr>
                <w:b w:val="0"/>
                <w:i w:val="0"/>
              </w:rPr>
              <w:t>Ya es indefinido; el riesgo es el llamamiento sin forma escrita</w:t>
            </w:r>
          </w:p>
        </w:tc>
        <w:tc>
          <w:tcPr>
            <w:tcW w:type="dxa" w:w="2436"/>
          </w:tcPr>
          <w:p>
            <w:r/>
            <w:r>
              <w:rPr>
                <w:b w:val="0"/>
                <w:i w:val="0"/>
              </w:rPr>
              <w:t>Art. 16 ET</w:t>
            </w:r>
          </w:p>
        </w:tc>
      </w:tr>
      <w:tr>
        <w:tc>
          <w:tcPr>
            <w:tcW w:type="dxa" w:w="2436"/>
          </w:tcPr>
          <w:p>
            <w:r/>
            <w:r>
              <w:rPr>
                <w:b w:val="0"/>
                <w:i w:val="0"/>
              </w:rPr>
              <w:t>Contrato de obra y servicio</w:t>
            </w:r>
          </w:p>
        </w:tc>
        <w:tc>
          <w:tcPr>
            <w:tcW w:type="dxa" w:w="2436"/>
          </w:tcPr>
          <w:p>
            <w:r/>
            <w:r>
              <w:rPr>
                <w:b w:val="0"/>
                <w:i w:val="0"/>
              </w:rPr>
              <w:t>No existe: desapareció el 30 de marzo de 2022</w:t>
            </w:r>
          </w:p>
        </w:tc>
        <w:tc>
          <w:tcPr>
            <w:tcW w:type="dxa" w:w="2436"/>
          </w:tcPr>
          <w:p>
            <w:r/>
            <w:r>
              <w:rPr>
                <w:b w:val="0"/>
                <w:i w:val="0"/>
              </w:rPr>
              <w:t>Usarlo hoy es fraude desde el primer día</w:t>
            </w:r>
          </w:p>
        </w:tc>
        <w:tc>
          <w:tcPr>
            <w:tcW w:type="dxa" w:w="2436"/>
          </w:tcPr>
          <w:p>
            <w:r/>
            <w:r>
              <w:rPr>
                <w:b w:val="0"/>
                <w:i w:val="0"/>
              </w:rPr>
              <w:t>Disposición transitoria 3.ª del RDL 32/2021</w:t>
            </w:r>
          </w:p>
        </w:tc>
      </w:tr>
      <w:tr>
        <w:tc>
          <w:tcPr>
            <w:tcW w:type="dxa" w:w="2436"/>
          </w:tcPr>
          <w:p>
            <w:r/>
            <w:r>
              <w:rPr>
                <w:b w:val="0"/>
                <w:i w:val="0"/>
              </w:rPr>
              <w:t>Periodo de prueba, contrato indefinido</w:t>
            </w:r>
          </w:p>
        </w:tc>
        <w:tc>
          <w:tcPr>
            <w:tcW w:type="dxa" w:w="2436"/>
          </w:tcPr>
          <w:p>
            <w:r/>
            <w:r>
              <w:rPr>
                <w:b w:val="0"/>
                <w:i w:val="0"/>
              </w:rPr>
              <w:t>90, 60 o 45 días naturales según grupo profesional</w:t>
            </w:r>
          </w:p>
        </w:tc>
        <w:tc>
          <w:tcPr>
            <w:tcW w:type="dxa" w:w="2436"/>
          </w:tcPr>
          <w:p>
            <w:r/>
            <w:r>
              <w:rPr>
                <w:b w:val="0"/>
                <w:i w:val="0"/>
              </w:rPr>
              <w:t>Es nulo si la persona ya desempeñó las mismas funciones en la empresa</w:t>
            </w:r>
          </w:p>
        </w:tc>
        <w:tc>
          <w:tcPr>
            <w:tcW w:type="dxa" w:w="2436"/>
          </w:tcPr>
          <w:p>
            <w:r/>
            <w:r>
              <w:rPr>
                <w:b w:val="0"/>
                <w:i w:val="0"/>
              </w:rPr>
              <w:t>Art. 21 ALEH VI y art. 14 ET</w:t>
            </w:r>
          </w:p>
        </w:tc>
      </w:tr>
      <w:tr>
        <w:tc>
          <w:tcPr>
            <w:tcW w:type="dxa" w:w="2436"/>
          </w:tcPr>
          <w:p>
            <w:r/>
            <w:r>
              <w:rPr>
                <w:b w:val="0"/>
                <w:i w:val="0"/>
              </w:rPr>
              <w:t>Periodo de prueba, temporal de más de 3 meses</w:t>
            </w:r>
          </w:p>
        </w:tc>
        <w:tc>
          <w:tcPr>
            <w:tcW w:type="dxa" w:w="2436"/>
          </w:tcPr>
          <w:p>
            <w:r/>
            <w:r>
              <w:rPr>
                <w:b w:val="0"/>
                <w:i w:val="0"/>
              </w:rPr>
              <w:t>75, 45 o 30 días naturales según grupo profesional</w:t>
            </w:r>
          </w:p>
        </w:tc>
        <w:tc>
          <w:tcPr>
            <w:tcW w:type="dxa" w:w="2436"/>
          </w:tcPr>
          <w:p>
            <w:r/>
            <w:r>
              <w:rPr>
                <w:b w:val="0"/>
                <w:i w:val="0"/>
              </w:rPr>
              <w:t>Ídem</w:t>
            </w:r>
          </w:p>
        </w:tc>
        <w:tc>
          <w:tcPr>
            <w:tcW w:type="dxa" w:w="2436"/>
          </w:tcPr>
          <w:p>
            <w:r/>
            <w:r>
              <w:rPr>
                <w:b w:val="0"/>
                <w:i w:val="0"/>
              </w:rPr>
              <w:t>Art. 21 ALEH VI</w:t>
            </w:r>
          </w:p>
        </w:tc>
      </w:tr>
      <w:tr>
        <w:tc>
          <w:tcPr>
            <w:tcW w:type="dxa" w:w="2436"/>
          </w:tcPr>
          <w:p>
            <w:r/>
            <w:r>
              <w:rPr>
                <w:b w:val="0"/>
                <w:i w:val="0"/>
              </w:rPr>
              <w:t>Periodo de prueba, temporal de hasta 3 meses</w:t>
            </w:r>
          </w:p>
        </w:tc>
        <w:tc>
          <w:tcPr>
            <w:tcW w:type="dxa" w:w="2436"/>
          </w:tcPr>
          <w:p>
            <w:r/>
            <w:r>
              <w:rPr>
                <w:b w:val="0"/>
                <w:i w:val="0"/>
              </w:rPr>
              <w:t>60, 30 o 15 días naturales según grupo profesional</w:t>
            </w:r>
          </w:p>
        </w:tc>
        <w:tc>
          <w:tcPr>
            <w:tcW w:type="dxa" w:w="2436"/>
          </w:tcPr>
          <w:p>
            <w:r/>
            <w:r>
              <w:rPr>
                <w:b w:val="0"/>
                <w:i w:val="0"/>
              </w:rPr>
              <w:t>Ídem</w:t>
            </w:r>
          </w:p>
        </w:tc>
        <w:tc>
          <w:tcPr>
            <w:tcW w:type="dxa" w:w="2436"/>
          </w:tcPr>
          <w:p>
            <w:r/>
            <w:r>
              <w:rPr>
                <w:b w:val="0"/>
                <w:i w:val="0"/>
              </w:rPr>
              <w:t>Art. 21 ALEH VI</w:t>
            </w:r>
          </w:p>
        </w:tc>
      </w:tr>
    </w:tbl>
    <w:p/>
    <w:p>
      <w:pPr>
        <w:jc w:val="center"/>
      </w:pPr>
      <w:r>
        <w:rPr>
          <w:i/>
          <w:color w:val="444444"/>
        </w:rPr>
        <w:t>Verificado el 04-09-2026 · Art. 34.9 y concordantes del Estatuto de los Trabajadores (RDLeg 2/2015) · https://www.boe.es/buscar/act.php?id=BOE-A-2015-11430</w:t>
      </w:r>
    </w:p>
    <w:p>
      <w:r>
        <w:br w:type="page"/>
      </w:r>
    </w:p>
    <w:p>
      <w:pPr>
        <w:pStyle w:val="Heading1"/>
      </w:pPr>
      <w:r>
        <w:t>10. Selección con Criterio y los Primeros 30 Días</w:t>
      </w:r>
    </w:p>
    <w:p>
      <w:pPr>
        <w:pStyle w:val="Heading2"/>
      </w:pPr>
      <w:r>
        <w:t>El scorecard: competencias con peso antes de ver a nadie</w:t>
      </w:r>
    </w:p>
    <w:p>
      <w:r>
        <w:rPr>
          <w:b w:val="0"/>
          <w:i w:val="0"/>
        </w:rPr>
        <w:t>El sesgo en una selección no se combate con buena voluntad, sino con orden. Quien entra a una entrevista sin más guía que la simpatía acaba reescribiendo el perfil del puesto para que encaje con la persona que le ha caído bien. El orden empieza antes de abrir el primer currículum: pesar las competencias del puesto y dejar por escrito cuánto vale cada una antes de conocer a nadie. Ese documento es el scorecard, y su valor no está en la lista de competencias, sino en el peso que se le asigna a cada una antes de que aparezca la primera cara.</w:t>
      </w:r>
    </w:p>
    <w:p>
      <w:r>
        <w:rPr>
          <w:b w:val="0"/>
          <w:i w:val="0"/>
        </w:rPr>
        <w:t>En el caso que recorre este capítulo, el puesto es Camarero/a de sala, y el scorecard pesa ocho competencias: no se puntúa por intuición, porque en la sala (el salón, en Hispanoamérica) hay competencias que sostienen el servicio de un camarero (mesero, en Hispanoamérica) -el trato con el cliente, la venta sugerida, la resistencia a la presión de un turno lleno- y otras deseables pero no determinantes. Fijar el peso antes impide que, al decidir, se suba a pulso el peso de la competencia en la que ha destacado el candidato favorito.</w:t>
      </w:r>
    </w:p>
    <w:p>
      <w:r>
        <w:rPr>
          <w:b w:val="0"/>
          <w:i w:val="0"/>
        </w:rPr>
        <w:t>La diferencia entre media simple y media ponderada se ve mejor con candidatos reales que con la teoría. En este proceso se evaluaron cuatro candidatos, y dos pueden empatar en la media simple -el promedio llano de las ocho puntuaciones, sin distinguir una competencia de otra- y separarse en la ponderada, que multiplica cada puntuación por el peso fijado en el scorecard antes de sumar. Es la ponderada, no la simple, la que refleja lo que de verdad importa. En el cuadro siguiente, el candidato que encabeza la comparativa saca una media ponderada de 4,06, apenas 0,06 por encima del segundo: una distancia que la simple, mirada sola, podría no reflejar. El umbral de recomendación está fijado en 3,5, y de los cuatro candidatos, dos lo alcanzan; la tabla de abajo distingue quién lo cruza y por cuánto.</w:t>
      </w:r>
    </w:p>
    <w:p>
      <w:pPr>
        <w:pStyle w:val="Heading2"/>
      </w:pPr>
      <w:r>
        <w:t>La entrevista estructurada: las mismas preguntas para todos</w:t>
      </w:r>
    </w:p>
    <w:p>
      <w:r>
        <w:rPr>
          <w:b w:val="0"/>
          <w:i w:val="0"/>
        </w:rPr>
        <w:t>Pesar las competencias sirve de poco si cada entrevistador improvisa sus preguntas: la estructura sigue en la entrevista, no sólo en el papel de partida. El guion trae veinticuatro preguntas, las mismas para los cuatro candidatos, repartidas entre las ocho competencias del scorecard: nadie responde a una pregunta que no les han hecho a los demás.</w:t>
      </w:r>
    </w:p>
    <w:p>
      <w:r>
        <w:rPr>
          <w:b w:val="0"/>
          <w:i w:val="0"/>
        </w:rPr>
        <w:t>La forma de la pregunta importa tanto como su contenido. Una de opinión -«¿qué harías si un cliente se queja del punto de la carne?»- invita a la respuesta que el candidato cree que se espera de él. Una de conducta pide una situación que ya ocurrió y lo que la persona hizo en ella -«cuéntame la última vez que un cliente se quejó de un plato: qué pasó, qué dijiste, cómo terminó»-, mucho más difícil de fabricar que una intención. Las veinticuatro preguntas del guion están escritas en ese formato, para que la respuesta cueste tanto de improvisar como el propio desempeño en sala.</w:t>
      </w:r>
    </w:p>
    <w:p>
      <w:r>
        <w:rPr>
          <w:b w:val="0"/>
          <w:i w:val="0"/>
        </w:rPr>
        <w:t>Y hay una regla de calendario que pesa tanto como la de contenido: se puntúa justo después de cada entrevista, con la conversación fresca, nunca al final del día, cuando ya se han mezclado los candidatos en la memoria y el último se lleva la ventaja injusta de ser el más reciente. Puntuar en caliente hace que la comparativa final se apoye en fotografías tomadas en su momento y no en un recuerdo borroso de la tarde.</w:t>
      </w:r>
    </w:p>
    <w:p>
      <w:pPr>
        <w:pStyle w:val="Heading2"/>
      </w:pPr>
      <w:r>
        <w:t>Lo que no se puede preguntar</w:t>
      </w:r>
    </w:p>
    <w:p>
      <w:r>
        <w:rPr>
          <w:b w:val="0"/>
          <w:i w:val="0"/>
        </w:rPr>
        <w:t>Hay materias sobre las que un proceso de selección no puede indagar, y conocerlas protege tanto a la empresa como a la persona candidata. El art. 17.1 del Estatuto de los Trabajadores declara nulas las decisiones del empresario, incluidas las de acceso al empleo, que den lugar a discriminación por sexo, estado civil, edad, origen -incluido el racial o étnico-, condición social, religión o convicciones, ideas políticas, orientación o condición sexual, expresión de género, características sexuales, afiliación sindical, vínculos de parentesco con otras personas trabajadoras de la empresa o lengua. Preguntar por el estado civil, por la intención de tener hijos o por la afiliación sindical no es una curiosidad inocente: es un dato que la norma prohíbe usar para decidir, y lo más seguro es no recogerlo.</w:t>
      </w:r>
    </w:p>
    <w:p>
      <w:r>
        <w:rPr>
          <w:b w:val="0"/>
          <w:i w:val="0"/>
        </w:rPr>
        <w:t>Esta lista no convierte la entrevista en un campo minado. Las veinticuatro preguntas del guion se quedan en el terreno que sí se puede pisar: la conducta pasada frente a las competencias del puesto. Ceñirse a ellas, y dejar constancia de qué se ha preguntado y a quién, permite defender el proceso si hay que explicarlo, y evita que una pregunta de pasillo acabe entrando en un terreno que la ley reserva fuera de la decisión de contratar.</w:t>
      </w:r>
    </w:p>
    <w:p>
      <w:pPr>
        <w:pStyle w:val="Heading2"/>
      </w:pPr>
      <w:r>
        <w:t>Los primeros 30 días: acogida, acompañamiento y prueba</w:t>
      </w:r>
    </w:p>
    <w:p>
      <w:r>
        <w:rPr>
          <w:b w:val="0"/>
          <w:i w:val="0"/>
        </w:rPr>
        <w:t>El scorecard y la entrevista estructurada deciden a quién se contrata; los primeros treinta días deciden si esa decisión se confirma. La acogida del primer día no es un trámite: es el momento en que la persona forma la primera impresión del sitio donde va a trabajar, y esa impresión pesa en si aguanta la primera semana dura de un turno lleno. Presentar al equipo, enseñar la sala y la cocina, entregar el cuadrante (el horario del personal) de los primeros días y explicar quién es su referente inmediato son las piezas mínimas de esa jornada, y ninguna sustituye a las demás.</w:t>
      </w:r>
    </w:p>
    <w:p>
      <w:r>
        <w:rPr>
          <w:b w:val="0"/>
          <w:i w:val="0"/>
        </w:rPr>
        <w:t>El acompañamiento es la fase donde más se juega la retención temprana, y funciona mejor con una persona de referencia asignada -alguien de la propia sala, no sólo el manager (gerente o encargado)- a la que la persona nueva puede preguntar sin sentir que interrumpe el servicio. Ese acompañamiento no se improvisa turno a turno: conviene fijar de antemano en qué momentos se hace una revisión -a los siete días, a los quince, a los treinta- y qué se mira en cada una, porque un mes es tiempo de sobra para que un roce con un compañero, o una duda que nadie resolvió a tiempo, se convierta en el motivo por el que esa persona no llega al segundo mes.</w:t>
      </w:r>
    </w:p>
    <w:p>
      <w:r>
        <w:rPr>
          <w:b w:val="0"/>
          <w:i w:val="0"/>
        </w:rPr>
        <w:t>La revisión de los treinta días se apoya, otra vez, en las competencias que se pesaron en el scorecard antes de la entrevista: son el mismo lenguaje con el que se decidió contratar, así que son también el lenguaje con el que se decide si la persona encaja en el puesto real, no sólo en el candidato de papel. Durante el periodo de prueba pactado en el contrato, esa revisión da el criterio para confirmar o para no continuar, y hacerla con las competencias del scorecard evita que la decisión final dependa, otra vez, de la simpatía del último turno compartido.</w:t>
      </w:r>
    </w:p>
    <w:p>
      <w:pPr>
        <w:pStyle w:val="Heading2"/>
      </w:pPr>
      <w:r>
        <w:t>Las cuatro formaciones que no son la misma</w:t>
      </w:r>
    </w:p>
    <w:p>
      <w:r>
        <w:rPr>
          <w:b w:val="0"/>
          <w:i w:val="0"/>
        </w:rPr>
        <w:t>En los primeros treinta días se cruzan cuatro formaciones distintas que se confunden con facilidad en una sola charla de bienvenida, y cada una responde a una obligación distinta. La primera es la acogida al puesto: enseñar cómo se trabaja en ese local, con sus procedimientos, su carta y su equipo, y es la base operativa de todo lo que sigue, no una norma con nombre propio.</w:t>
      </w:r>
    </w:p>
    <w:p>
      <w:r>
        <w:rPr>
          <w:b w:val="0"/>
          <w:i w:val="0"/>
        </w:rPr>
        <w:t>La segunda es la formación en prevención de riesgos laborales, y esta sí tiene norma: el art. 19.1 de la Ley 31/1995 obliga al empresario a garantizar que cada persona trabajadora reciba una formación teórica y práctica, suficiente y adecuada en materia preventiva, centrada en su puesto, tanto en el momento de la contratación como dentro de la jornada cuando cambian sus funciones o se incorporan equipos nuevos. No es un curso genérico que sirva para cualquier sector: tiene que hablar de los riesgos reales de una cocina y una sala -cuchillos, quemaduras, suelos mojados, cargas- y no de una plantilla descargada de cualquier sitio.</w:t>
      </w:r>
    </w:p>
    <w:p>
      <w:r>
        <w:rPr>
          <w:b w:val="0"/>
          <w:i w:val="0"/>
        </w:rPr>
        <w:t>La tercera es la formación en manipulación de alimentos, y aquí es donde más se confunde el manual con la realidad: no existe un carné oficial de manipulador. El RD 202/2000, que lo regulaba, está derogado por el RD 109/2010, y desde entonces la obligación recae en el titular de la empresa, que debe garantizar una formación adecuada a la actividad laboral de cada puesto y puede impartirla él mismo, sin examen externo (RD 202/2000, derogado por el RD 109/2010; Reg. 852/2004 Anexo II Cap. XII, verificado el 4 de septiembre de 2026). Quien todavía vende un carné oficial homologado vende un papel sin respaldo legal desde hace más de una década.</w:t>
      </w:r>
    </w:p>
    <w:p>
      <w:r>
        <w:rPr>
          <w:b w:val="0"/>
          <w:i w:val="0"/>
        </w:rPr>
        <w:t>La cuarta es la formación específica en el sistema de autocontrol del propio local: no basta con saber manipular alimentos en general, hay que conocer los puntos de control que ese establecimiento ha fijado en su plan -temperaturas, trazabilidad, alérgenos-, porque ese plan no es el mismo en dos locales distintos. Es la formación que sostiene el día a día del Pack APPCC, que resuelve el registro de esos controles pero no sustituye a la persona que entiende por qué se hacen.</w:t>
      </w:r>
    </w:p>
    <w:p>
      <w:r>
        <w:rPr>
          <w:b w:val="0"/>
          <w:i w:val="0"/>
        </w:rPr>
        <w:t>Las cuatro formaciones cuestan tiempo, y el tiempo de formación es justo donde la hostelería queda peor situada frente al resto de la economía española: el sector invierte 20,14 € por trabajador y año en formar a su gente, frente a los 76,49 € de media, una cuarta parte (INE, Encuesta Anual de Coste Laboral 2025). En un negocio donde reponer a alguien y volver a formarlo cuesta esfuerzo, cerrar esa brecha con las cuatro formaciones bien hechas -y sin confundirlas entre sí- es de los diferenciadores más baratos para que la gente se quede.</w:t>
      </w:r>
    </w:p>
    <w:p>
      <w:r>
        <w:rPr>
          <w:b/>
          <w:i w:val="0"/>
        </w:rPr>
        <w:t>Las competencias del puesto, con su peso y las cuatro puntuaciones (seleccion-scorecard-entrevista.xlsx, hoja «Scorecard»)</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w:t>
            </w:r>
          </w:p>
        </w:tc>
        <w:tc>
          <w:tcPr>
            <w:tcW w:type="dxa" w:w="1392"/>
          </w:tcPr>
          <w:p>
            <w:r/>
            <w:r>
              <w:rPr>
                <w:b/>
                <w:i w:val="0"/>
              </w:rPr>
              <w:t>Competencia</w:t>
            </w:r>
          </w:p>
        </w:tc>
        <w:tc>
          <w:tcPr>
            <w:tcW w:type="dxa" w:w="1392"/>
          </w:tcPr>
          <w:p>
            <w:r/>
            <w:r>
              <w:rPr>
                <w:b/>
                <w:i w:val="0"/>
              </w:rPr>
              <w:t>Peso (1-3)</w:t>
            </w:r>
          </w:p>
        </w:tc>
        <w:tc>
          <w:tcPr>
            <w:tcW w:type="dxa" w:w="1392"/>
          </w:tcPr>
          <w:p>
            <w:r/>
            <w:r>
              <w:rPr>
                <w:b/>
                <w:i w:val="0"/>
              </w:rPr>
              <w:t>Candidata A</w:t>
            </w:r>
          </w:p>
        </w:tc>
        <w:tc>
          <w:tcPr>
            <w:tcW w:type="dxa" w:w="1392"/>
          </w:tcPr>
          <w:p>
            <w:r/>
            <w:r>
              <w:rPr>
                <w:b/>
                <w:i w:val="0"/>
              </w:rPr>
              <w:t>Candidato B</w:t>
            </w:r>
          </w:p>
        </w:tc>
        <w:tc>
          <w:tcPr>
            <w:tcW w:type="dxa" w:w="1392"/>
          </w:tcPr>
          <w:p>
            <w:r/>
            <w:r>
              <w:rPr>
                <w:b/>
                <w:i w:val="0"/>
              </w:rPr>
              <w:t>Candidata C</w:t>
            </w:r>
          </w:p>
        </w:tc>
        <w:tc>
          <w:tcPr>
            <w:tcW w:type="dxa" w:w="1392"/>
          </w:tcPr>
          <w:p>
            <w:r/>
            <w:r>
              <w:rPr>
                <w:b/>
                <w:i w:val="0"/>
              </w:rPr>
              <w:t>Candidato D</w:t>
            </w:r>
          </w:p>
        </w:tc>
      </w:tr>
      <w:tr>
        <w:tc>
          <w:tcPr>
            <w:tcW w:type="dxa" w:w="1392"/>
          </w:tcPr>
          <w:p>
            <w:r/>
            <w:r>
              <w:rPr>
                <w:b w:val="0"/>
                <w:i w:val="0"/>
              </w:rPr>
              <w:t>1</w:t>
            </w:r>
          </w:p>
        </w:tc>
        <w:tc>
          <w:tcPr>
            <w:tcW w:type="dxa" w:w="1392"/>
          </w:tcPr>
          <w:p>
            <w:r/>
            <w:r>
              <w:rPr>
                <w:b w:val="0"/>
                <w:i w:val="0"/>
              </w:rPr>
              <w:t>Experiencia en sala de carta con servicio en mesa</w:t>
            </w:r>
          </w:p>
        </w:tc>
        <w:tc>
          <w:tcPr>
            <w:tcW w:type="dxa" w:w="1392"/>
          </w:tcPr>
          <w:p>
            <w:r/>
            <w:r>
              <w:rPr>
                <w:b w:val="0"/>
                <w:i w:val="0"/>
              </w:rPr>
              <w:t>3</w:t>
            </w:r>
          </w:p>
        </w:tc>
        <w:tc>
          <w:tcPr>
            <w:tcW w:type="dxa" w:w="1392"/>
          </w:tcPr>
          <w:p>
            <w:r/>
            <w:r>
              <w:rPr>
                <w:b w:val="0"/>
                <w:i w:val="0"/>
              </w:rPr>
              <w:t>4</w:t>
            </w:r>
          </w:p>
        </w:tc>
        <w:tc>
          <w:tcPr>
            <w:tcW w:type="dxa" w:w="1392"/>
          </w:tcPr>
          <w:p>
            <w:r/>
            <w:r>
              <w:rPr>
                <w:b w:val="0"/>
                <w:i w:val="0"/>
              </w:rPr>
              <w:t>5</w:t>
            </w:r>
          </w:p>
        </w:tc>
        <w:tc>
          <w:tcPr>
            <w:tcW w:type="dxa" w:w="1392"/>
          </w:tcPr>
          <w:p>
            <w:r/>
            <w:r>
              <w:rPr>
                <w:b w:val="0"/>
                <w:i w:val="0"/>
              </w:rPr>
              <w:t>3</w:t>
            </w:r>
          </w:p>
        </w:tc>
        <w:tc>
          <w:tcPr>
            <w:tcW w:type="dxa" w:w="1392"/>
          </w:tcPr>
          <w:p>
            <w:r/>
            <w:r>
              <w:rPr>
                <w:b w:val="0"/>
                <w:i w:val="0"/>
              </w:rPr>
              <w:t>2</w:t>
            </w:r>
          </w:p>
        </w:tc>
      </w:tr>
      <w:tr>
        <w:tc>
          <w:tcPr>
            <w:tcW w:type="dxa" w:w="1392"/>
          </w:tcPr>
          <w:p>
            <w:r/>
            <w:r>
              <w:rPr>
                <w:b w:val="0"/>
                <w:i w:val="0"/>
              </w:rPr>
              <w:t>2</w:t>
            </w:r>
          </w:p>
        </w:tc>
        <w:tc>
          <w:tcPr>
            <w:tcW w:type="dxa" w:w="1392"/>
          </w:tcPr>
          <w:p>
            <w:r/>
            <w:r>
              <w:rPr>
                <w:b w:val="0"/>
                <w:i w:val="0"/>
              </w:rPr>
              <w:t>Ritmo y aguante en un servicio de 75 cubiertos</w:t>
            </w:r>
          </w:p>
        </w:tc>
        <w:tc>
          <w:tcPr>
            <w:tcW w:type="dxa" w:w="1392"/>
          </w:tcPr>
          <w:p>
            <w:r/>
            <w:r>
              <w:rPr>
                <w:b w:val="0"/>
                <w:i w:val="0"/>
              </w:rPr>
              <w:t>3</w:t>
            </w:r>
          </w:p>
        </w:tc>
        <w:tc>
          <w:tcPr>
            <w:tcW w:type="dxa" w:w="1392"/>
          </w:tcPr>
          <w:p>
            <w:r/>
            <w:r>
              <w:rPr>
                <w:b w:val="0"/>
                <w:i w:val="0"/>
              </w:rPr>
              <w:t>4</w:t>
            </w:r>
          </w:p>
        </w:tc>
        <w:tc>
          <w:tcPr>
            <w:tcW w:type="dxa" w:w="1392"/>
          </w:tcPr>
          <w:p>
            <w:r/>
            <w:r>
              <w:rPr>
                <w:b w:val="0"/>
                <w:i w:val="0"/>
              </w:rPr>
              <w:t>4</w:t>
            </w:r>
          </w:p>
        </w:tc>
        <w:tc>
          <w:tcPr>
            <w:tcW w:type="dxa" w:w="1392"/>
          </w:tcPr>
          <w:p>
            <w:r/>
            <w:r>
              <w:rPr>
                <w:b w:val="0"/>
                <w:i w:val="0"/>
              </w:rPr>
              <w:t>3</w:t>
            </w:r>
          </w:p>
        </w:tc>
        <w:tc>
          <w:tcPr>
            <w:tcW w:type="dxa" w:w="1392"/>
          </w:tcPr>
          <w:p>
            <w:r/>
            <w:r>
              <w:rPr>
                <w:b w:val="0"/>
                <w:i w:val="0"/>
              </w:rPr>
              <w:t>4</w:t>
            </w:r>
          </w:p>
        </w:tc>
      </w:tr>
      <w:tr>
        <w:tc>
          <w:tcPr>
            <w:tcW w:type="dxa" w:w="1392"/>
          </w:tcPr>
          <w:p>
            <w:r/>
            <w:r>
              <w:rPr>
                <w:b w:val="0"/>
                <w:i w:val="0"/>
              </w:rPr>
              <w:t>3</w:t>
            </w:r>
          </w:p>
        </w:tc>
        <w:tc>
          <w:tcPr>
            <w:tcW w:type="dxa" w:w="1392"/>
          </w:tcPr>
          <w:p>
            <w:r/>
            <w:r>
              <w:rPr>
                <w:b w:val="0"/>
                <w:i w:val="0"/>
              </w:rPr>
              <w:t>Trato con el cliente y gestión de una queja</w:t>
            </w:r>
          </w:p>
        </w:tc>
        <w:tc>
          <w:tcPr>
            <w:tcW w:type="dxa" w:w="1392"/>
          </w:tcPr>
          <w:p>
            <w:r/>
            <w:r>
              <w:rPr>
                <w:b w:val="0"/>
                <w:i w:val="0"/>
              </w:rPr>
              <w:t>3</w:t>
            </w:r>
          </w:p>
        </w:tc>
        <w:tc>
          <w:tcPr>
            <w:tcW w:type="dxa" w:w="1392"/>
          </w:tcPr>
          <w:p>
            <w:r/>
            <w:r>
              <w:rPr>
                <w:b w:val="0"/>
                <w:i w:val="0"/>
              </w:rPr>
              <w:t>5</w:t>
            </w:r>
          </w:p>
        </w:tc>
        <w:tc>
          <w:tcPr>
            <w:tcW w:type="dxa" w:w="1392"/>
          </w:tcPr>
          <w:p>
            <w:r/>
            <w:r>
              <w:rPr>
                <w:b w:val="0"/>
                <w:i w:val="0"/>
              </w:rPr>
              <w:t>3</w:t>
            </w:r>
          </w:p>
        </w:tc>
        <w:tc>
          <w:tcPr>
            <w:tcW w:type="dxa" w:w="1392"/>
          </w:tcPr>
          <w:p>
            <w:r/>
            <w:r>
              <w:rPr>
                <w:b w:val="0"/>
                <w:i w:val="0"/>
              </w:rPr>
              <w:t>4</w:t>
            </w:r>
          </w:p>
        </w:tc>
        <w:tc>
          <w:tcPr>
            <w:tcW w:type="dxa" w:w="1392"/>
          </w:tcPr>
          <w:p>
            <w:r/>
            <w:r>
              <w:rPr>
                <w:b w:val="0"/>
                <w:i w:val="0"/>
              </w:rPr>
              <w:t>3</w:t>
            </w:r>
          </w:p>
        </w:tc>
      </w:tr>
      <w:tr>
        <w:tc>
          <w:tcPr>
            <w:tcW w:type="dxa" w:w="1392"/>
          </w:tcPr>
          <w:p>
            <w:r/>
            <w:r>
              <w:rPr>
                <w:b w:val="0"/>
                <w:i w:val="0"/>
              </w:rPr>
              <w:t>4</w:t>
            </w:r>
          </w:p>
        </w:tc>
        <w:tc>
          <w:tcPr>
            <w:tcW w:type="dxa" w:w="1392"/>
          </w:tcPr>
          <w:p>
            <w:r/>
            <w:r>
              <w:rPr>
                <w:b w:val="0"/>
                <w:i w:val="0"/>
              </w:rPr>
              <w:t>Coordinación con cocina</w:t>
            </w:r>
          </w:p>
        </w:tc>
        <w:tc>
          <w:tcPr>
            <w:tcW w:type="dxa" w:w="1392"/>
          </w:tcPr>
          <w:p>
            <w:r/>
            <w:r>
              <w:rPr>
                <w:b w:val="0"/>
                <w:i w:val="0"/>
              </w:rPr>
              <w:t>2</w:t>
            </w:r>
          </w:p>
        </w:tc>
        <w:tc>
          <w:tcPr>
            <w:tcW w:type="dxa" w:w="1392"/>
          </w:tcPr>
          <w:p>
            <w:r/>
            <w:r>
              <w:rPr>
                <w:b w:val="0"/>
                <w:i w:val="0"/>
              </w:rPr>
              <w:t>4</w:t>
            </w:r>
          </w:p>
        </w:tc>
        <w:tc>
          <w:tcPr>
            <w:tcW w:type="dxa" w:w="1392"/>
          </w:tcPr>
          <w:p>
            <w:r/>
            <w:r>
              <w:rPr>
                <w:b w:val="0"/>
                <w:i w:val="0"/>
              </w:rPr>
              <w:t>3</w:t>
            </w:r>
          </w:p>
        </w:tc>
        <w:tc>
          <w:tcPr>
            <w:tcW w:type="dxa" w:w="1392"/>
          </w:tcPr>
          <w:p>
            <w:r/>
            <w:r>
              <w:rPr>
                <w:b w:val="0"/>
                <w:i w:val="0"/>
              </w:rPr>
              <w:t>4</w:t>
            </w:r>
          </w:p>
        </w:tc>
        <w:tc>
          <w:tcPr>
            <w:tcW w:type="dxa" w:w="1392"/>
          </w:tcPr>
          <w:p>
            <w:r/>
            <w:r>
              <w:rPr>
                <w:b w:val="0"/>
                <w:i w:val="0"/>
              </w:rPr>
              <w:t>3</w:t>
            </w:r>
          </w:p>
        </w:tc>
      </w:tr>
      <w:tr>
        <w:tc>
          <w:tcPr>
            <w:tcW w:type="dxa" w:w="1392"/>
          </w:tcPr>
          <w:p>
            <w:r/>
            <w:r>
              <w:rPr>
                <w:b w:val="0"/>
                <w:i w:val="0"/>
              </w:rPr>
              <w:t>5</w:t>
            </w:r>
          </w:p>
        </w:tc>
        <w:tc>
          <w:tcPr>
            <w:tcW w:type="dxa" w:w="1392"/>
          </w:tcPr>
          <w:p>
            <w:r/>
            <w:r>
              <w:rPr>
                <w:b w:val="0"/>
                <w:i w:val="0"/>
              </w:rPr>
              <w:t>Manejo de TPV, comanda y cobro</w:t>
            </w:r>
          </w:p>
        </w:tc>
        <w:tc>
          <w:tcPr>
            <w:tcW w:type="dxa" w:w="1392"/>
          </w:tcPr>
          <w:p>
            <w:r/>
            <w:r>
              <w:rPr>
                <w:b w:val="0"/>
                <w:i w:val="0"/>
              </w:rPr>
              <w:t>2</w:t>
            </w:r>
          </w:p>
        </w:tc>
        <w:tc>
          <w:tcPr>
            <w:tcW w:type="dxa" w:w="1392"/>
          </w:tcPr>
          <w:p>
            <w:r/>
            <w:r>
              <w:rPr>
                <w:b w:val="0"/>
                <w:i w:val="0"/>
              </w:rPr>
              <w:t>3</w:t>
            </w:r>
          </w:p>
        </w:tc>
        <w:tc>
          <w:tcPr>
            <w:tcW w:type="dxa" w:w="1392"/>
          </w:tcPr>
          <w:p>
            <w:r/>
            <w:r>
              <w:rPr>
                <w:b w:val="0"/>
                <w:i w:val="0"/>
              </w:rPr>
              <w:t>5</w:t>
            </w:r>
          </w:p>
        </w:tc>
        <w:tc>
          <w:tcPr>
            <w:tcW w:type="dxa" w:w="1392"/>
          </w:tcPr>
          <w:p>
            <w:r/>
            <w:r>
              <w:rPr>
                <w:b w:val="0"/>
                <w:i w:val="0"/>
              </w:rPr>
              <w:t>3</w:t>
            </w:r>
          </w:p>
        </w:tc>
        <w:tc>
          <w:tcPr>
            <w:tcW w:type="dxa" w:w="1392"/>
          </w:tcPr>
          <w:p>
            <w:r/>
            <w:r>
              <w:rPr>
                <w:b w:val="0"/>
                <w:i w:val="0"/>
              </w:rPr>
              <w:t>4</w:t>
            </w:r>
          </w:p>
        </w:tc>
      </w:tr>
      <w:tr>
        <w:tc>
          <w:tcPr>
            <w:tcW w:type="dxa" w:w="1392"/>
          </w:tcPr>
          <w:p>
            <w:r/>
            <w:r>
              <w:rPr>
                <w:b w:val="0"/>
                <w:i w:val="0"/>
              </w:rPr>
              <w:t>6</w:t>
            </w:r>
          </w:p>
        </w:tc>
        <w:tc>
          <w:tcPr>
            <w:tcW w:type="dxa" w:w="1392"/>
          </w:tcPr>
          <w:p>
            <w:r/>
            <w:r>
              <w:rPr>
                <w:b w:val="0"/>
                <w:i w:val="0"/>
              </w:rPr>
              <w:t>Conocimiento de alérgenos y de la carta</w:t>
            </w:r>
          </w:p>
        </w:tc>
        <w:tc>
          <w:tcPr>
            <w:tcW w:type="dxa" w:w="1392"/>
          </w:tcPr>
          <w:p>
            <w:r/>
            <w:r>
              <w:rPr>
                <w:b w:val="0"/>
                <w:i w:val="0"/>
              </w:rPr>
              <w:t>2</w:t>
            </w:r>
          </w:p>
        </w:tc>
        <w:tc>
          <w:tcPr>
            <w:tcW w:type="dxa" w:w="1392"/>
          </w:tcPr>
          <w:p>
            <w:r/>
            <w:r>
              <w:rPr>
                <w:b w:val="0"/>
                <w:i w:val="0"/>
              </w:rPr>
              <w:t>3</w:t>
            </w:r>
          </w:p>
        </w:tc>
        <w:tc>
          <w:tcPr>
            <w:tcW w:type="dxa" w:w="1392"/>
          </w:tcPr>
          <w:p>
            <w:r/>
            <w:r>
              <w:rPr>
                <w:b w:val="0"/>
                <w:i w:val="0"/>
              </w:rPr>
              <w:t>4</w:t>
            </w:r>
          </w:p>
        </w:tc>
        <w:tc>
          <w:tcPr>
            <w:tcW w:type="dxa" w:w="1392"/>
          </w:tcPr>
          <w:p>
            <w:r/>
            <w:r>
              <w:rPr>
                <w:b w:val="0"/>
                <w:i w:val="0"/>
              </w:rPr>
              <w:t>2</w:t>
            </w:r>
          </w:p>
        </w:tc>
        <w:tc>
          <w:tcPr>
            <w:tcW w:type="dxa" w:w="1392"/>
          </w:tcPr>
          <w:p>
            <w:r/>
            <w:r>
              <w:rPr>
                <w:b w:val="0"/>
                <w:i w:val="0"/>
              </w:rPr>
              <w:t>2</w:t>
            </w:r>
          </w:p>
        </w:tc>
      </w:tr>
      <w:tr>
        <w:tc>
          <w:tcPr>
            <w:tcW w:type="dxa" w:w="1392"/>
          </w:tcPr>
          <w:p>
            <w:r/>
            <w:r>
              <w:rPr>
                <w:b w:val="0"/>
                <w:i w:val="0"/>
              </w:rPr>
              <w:t>7</w:t>
            </w:r>
          </w:p>
        </w:tc>
        <w:tc>
          <w:tcPr>
            <w:tcW w:type="dxa" w:w="1392"/>
          </w:tcPr>
          <w:p>
            <w:r/>
            <w:r>
              <w:rPr>
                <w:b w:val="0"/>
                <w:i w:val="0"/>
              </w:rPr>
              <w:t>Idiomas de sala (inglés y francés)</w:t>
            </w:r>
          </w:p>
        </w:tc>
        <w:tc>
          <w:tcPr>
            <w:tcW w:type="dxa" w:w="1392"/>
          </w:tcPr>
          <w:p>
            <w:r/>
            <w:r>
              <w:rPr>
                <w:b w:val="0"/>
                <w:i w:val="0"/>
              </w:rPr>
              <w:t>1</w:t>
            </w:r>
          </w:p>
        </w:tc>
        <w:tc>
          <w:tcPr>
            <w:tcW w:type="dxa" w:w="1392"/>
          </w:tcPr>
          <w:p>
            <w:r/>
            <w:r>
              <w:rPr>
                <w:b w:val="0"/>
                <w:i w:val="0"/>
              </w:rPr>
              <w:t>4</w:t>
            </w:r>
          </w:p>
        </w:tc>
        <w:tc>
          <w:tcPr>
            <w:tcW w:type="dxa" w:w="1392"/>
          </w:tcPr>
          <w:p>
            <w:r/>
          </w:p>
        </w:tc>
        <w:tc>
          <w:tcPr>
            <w:tcW w:type="dxa" w:w="1392"/>
          </w:tcPr>
          <w:p>
            <w:r/>
            <w:r>
              <w:rPr>
                <w:b w:val="0"/>
                <w:i w:val="0"/>
              </w:rPr>
              <w:t>3</w:t>
            </w:r>
          </w:p>
        </w:tc>
        <w:tc>
          <w:tcPr>
            <w:tcW w:type="dxa" w:w="1392"/>
          </w:tcPr>
          <w:p>
            <w:r/>
            <w:r>
              <w:rPr>
                <w:b w:val="0"/>
                <w:i w:val="0"/>
              </w:rPr>
              <w:t>2</w:t>
            </w:r>
          </w:p>
        </w:tc>
      </w:tr>
      <w:tr>
        <w:tc>
          <w:tcPr>
            <w:tcW w:type="dxa" w:w="1392"/>
          </w:tcPr>
          <w:p>
            <w:r/>
            <w:r>
              <w:rPr>
                <w:b w:val="0"/>
                <w:i w:val="0"/>
              </w:rPr>
              <w:t>8</w:t>
            </w:r>
          </w:p>
        </w:tc>
        <w:tc>
          <w:tcPr>
            <w:tcW w:type="dxa" w:w="1392"/>
          </w:tcPr>
          <w:p>
            <w:r/>
            <w:r>
              <w:rPr>
                <w:b w:val="0"/>
                <w:i w:val="0"/>
              </w:rPr>
              <w:t>Disponibilidad para turno partido y fines de semana</w:t>
            </w:r>
          </w:p>
        </w:tc>
        <w:tc>
          <w:tcPr>
            <w:tcW w:type="dxa" w:w="1392"/>
          </w:tcPr>
          <w:p>
            <w:r/>
            <w:r>
              <w:rPr>
                <w:b w:val="0"/>
                <w:i w:val="0"/>
              </w:rPr>
              <w:t>2</w:t>
            </w:r>
          </w:p>
        </w:tc>
        <w:tc>
          <w:tcPr>
            <w:tcW w:type="dxa" w:w="1392"/>
          </w:tcPr>
          <w:p>
            <w:r/>
            <w:r>
              <w:rPr>
                <w:b w:val="0"/>
                <w:i w:val="0"/>
              </w:rPr>
              <w:t>5</w:t>
            </w:r>
          </w:p>
        </w:tc>
        <w:tc>
          <w:tcPr>
            <w:tcW w:type="dxa" w:w="1392"/>
          </w:tcPr>
          <w:p>
            <w:r/>
            <w:r>
              <w:rPr>
                <w:b w:val="0"/>
                <w:i w:val="0"/>
              </w:rPr>
              <w:t>4</w:t>
            </w:r>
          </w:p>
        </w:tc>
        <w:tc>
          <w:tcPr>
            <w:tcW w:type="dxa" w:w="1392"/>
          </w:tcPr>
          <w:p>
            <w:r/>
            <w:r>
              <w:rPr>
                <w:b w:val="0"/>
                <w:i w:val="0"/>
              </w:rPr>
              <w:t>3</w:t>
            </w:r>
          </w:p>
        </w:tc>
        <w:tc>
          <w:tcPr>
            <w:tcW w:type="dxa" w:w="1392"/>
          </w:tcPr>
          <w:p>
            <w:r/>
            <w:r>
              <w:rPr>
                <w:b w:val="0"/>
                <w:i w:val="0"/>
              </w:rPr>
              <w:t>5</w:t>
            </w:r>
          </w:p>
        </w:tc>
      </w:tr>
    </w:tbl>
    <w:p/>
    <w:p>
      <w:r>
        <w:rPr>
          <w:b/>
          <w:i w:val="0"/>
        </w:rPr>
        <w:t>La comparación final: media ponderada, media simple y recomendación (seleccion-scorecard-entrevista.xlsx, hoja «Comparativa de Candidatos»)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Candidato</w:t>
            </w:r>
          </w:p>
        </w:tc>
        <w:tc>
          <w:tcPr>
            <w:tcW w:type="dxa" w:w="1624"/>
          </w:tcPr>
          <w:p>
            <w:r/>
            <w:r>
              <w:rPr>
                <w:b/>
                <w:i w:val="0"/>
              </w:rPr>
              <w:t>Media ponderada</w:t>
            </w:r>
          </w:p>
        </w:tc>
        <w:tc>
          <w:tcPr>
            <w:tcW w:type="dxa" w:w="1624"/>
          </w:tcPr>
          <w:p>
            <w:r/>
            <w:r>
              <w:rPr>
                <w:b/>
                <w:i w:val="0"/>
              </w:rPr>
              <w:t>Media simple</w:t>
            </w:r>
          </w:p>
        </w:tc>
        <w:tc>
          <w:tcPr>
            <w:tcW w:type="dxa" w:w="1624"/>
          </w:tcPr>
          <w:p>
            <w:r/>
            <w:r>
              <w:rPr>
                <w:b/>
                <w:i w:val="0"/>
              </w:rPr>
              <w:t>Competencias valoradas</w:t>
            </w:r>
          </w:p>
        </w:tc>
        <w:tc>
          <w:tcPr>
            <w:tcW w:type="dxa" w:w="1624"/>
          </w:tcPr>
          <w:p>
            <w:r/>
            <w:r>
              <w:rPr>
                <w:b/>
                <w:i w:val="0"/>
              </w:rPr>
              <w:t>Puesto en el ranking</w:t>
            </w:r>
          </w:p>
        </w:tc>
        <w:tc>
          <w:tcPr>
            <w:tcW w:type="dxa" w:w="1624"/>
          </w:tcPr>
          <w:p>
            <w:r/>
            <w:r>
              <w:rPr>
                <w:b/>
                <w:i w:val="0"/>
              </w:rPr>
              <w:t>Recomendación</w:t>
            </w:r>
          </w:p>
        </w:tc>
      </w:tr>
      <w:tr>
        <w:tc>
          <w:tcPr>
            <w:tcW w:type="dxa" w:w="1624"/>
          </w:tcPr>
          <w:p>
            <w:r/>
            <w:r>
              <w:rPr>
                <w:b w:val="0"/>
                <w:i w:val="0"/>
              </w:rPr>
              <w:t>Candidata A</w:t>
            </w:r>
          </w:p>
        </w:tc>
        <w:tc>
          <w:tcPr>
            <w:tcW w:type="dxa" w:w="1624"/>
          </w:tcPr>
          <w:p>
            <w:r/>
            <w:r>
              <w:rPr>
                <w:b w:val="0"/>
                <w:i w:val="0"/>
              </w:rPr>
              <w:t>4,06</w:t>
            </w:r>
          </w:p>
        </w:tc>
        <w:tc>
          <w:tcPr>
            <w:tcW w:type="dxa" w:w="1624"/>
          </w:tcPr>
          <w:p>
            <w:r/>
            <w:r>
              <w:rPr>
                <w:b w:val="0"/>
                <w:i w:val="0"/>
              </w:rPr>
              <w:t>4,00</w:t>
            </w:r>
          </w:p>
        </w:tc>
        <w:tc>
          <w:tcPr>
            <w:tcW w:type="dxa" w:w="1624"/>
          </w:tcPr>
          <w:p>
            <w:r/>
            <w:r>
              <w:rPr>
                <w:b w:val="0"/>
                <w:i w:val="0"/>
              </w:rPr>
              <w:t>8</w:t>
            </w:r>
          </w:p>
        </w:tc>
        <w:tc>
          <w:tcPr>
            <w:tcW w:type="dxa" w:w="1624"/>
          </w:tcPr>
          <w:p>
            <w:r/>
            <w:r>
              <w:rPr>
                <w:b w:val="0"/>
                <w:i w:val="0"/>
              </w:rPr>
              <w:t>1</w:t>
            </w:r>
          </w:p>
        </w:tc>
        <w:tc>
          <w:tcPr>
            <w:tcW w:type="dxa" w:w="1624"/>
          </w:tcPr>
          <w:p>
            <w:r/>
            <w:r>
              <w:rPr>
                <w:b w:val="0"/>
                <w:i w:val="0"/>
              </w:rPr>
              <w:t>Recomendado</w:t>
            </w:r>
          </w:p>
        </w:tc>
      </w:tr>
      <w:tr>
        <w:tc>
          <w:tcPr>
            <w:tcW w:type="dxa" w:w="1624"/>
          </w:tcPr>
          <w:p>
            <w:r/>
            <w:r>
              <w:rPr>
                <w:b w:val="0"/>
                <w:i w:val="0"/>
              </w:rPr>
              <w:t>Candidato B</w:t>
            </w:r>
          </w:p>
        </w:tc>
        <w:tc>
          <w:tcPr>
            <w:tcW w:type="dxa" w:w="1624"/>
          </w:tcPr>
          <w:p>
            <w:r/>
            <w:r>
              <w:rPr>
                <w:b w:val="0"/>
                <w:i w:val="0"/>
              </w:rPr>
              <w:t>4,00</w:t>
            </w:r>
          </w:p>
        </w:tc>
        <w:tc>
          <w:tcPr>
            <w:tcW w:type="dxa" w:w="1624"/>
          </w:tcPr>
          <w:p>
            <w:r/>
            <w:r>
              <w:rPr>
                <w:b w:val="0"/>
                <w:i w:val="0"/>
              </w:rPr>
              <w:t>4,00</w:t>
            </w:r>
          </w:p>
        </w:tc>
        <w:tc>
          <w:tcPr>
            <w:tcW w:type="dxa" w:w="1624"/>
          </w:tcPr>
          <w:p>
            <w:r/>
            <w:r>
              <w:rPr>
                <w:b w:val="0"/>
                <w:i w:val="0"/>
              </w:rPr>
              <w:t>7</w:t>
            </w:r>
          </w:p>
        </w:tc>
        <w:tc>
          <w:tcPr>
            <w:tcW w:type="dxa" w:w="1624"/>
          </w:tcPr>
          <w:p>
            <w:r/>
            <w:r>
              <w:rPr>
                <w:b w:val="0"/>
                <w:i w:val="0"/>
              </w:rPr>
              <w:t>2</w:t>
            </w:r>
          </w:p>
        </w:tc>
        <w:tc>
          <w:tcPr>
            <w:tcW w:type="dxa" w:w="1624"/>
          </w:tcPr>
          <w:p>
            <w:r/>
            <w:r>
              <w:rPr>
                <w:b w:val="0"/>
                <w:i w:val="0"/>
              </w:rPr>
              <w:t>Recomendado</w:t>
            </w:r>
          </w:p>
        </w:tc>
      </w:tr>
      <w:tr>
        <w:tc>
          <w:tcPr>
            <w:tcW w:type="dxa" w:w="1624"/>
          </w:tcPr>
          <w:p>
            <w:r/>
            <w:r>
              <w:rPr>
                <w:b w:val="0"/>
                <w:i w:val="0"/>
              </w:rPr>
              <w:t>Candidata C</w:t>
            </w:r>
          </w:p>
        </w:tc>
        <w:tc>
          <w:tcPr>
            <w:tcW w:type="dxa" w:w="1624"/>
          </w:tcPr>
          <w:p>
            <w:r/>
            <w:r>
              <w:rPr>
                <w:b w:val="0"/>
                <w:i w:val="0"/>
              </w:rPr>
              <w:t>3,17</w:t>
            </w:r>
          </w:p>
        </w:tc>
        <w:tc>
          <w:tcPr>
            <w:tcW w:type="dxa" w:w="1624"/>
          </w:tcPr>
          <w:p>
            <w:r/>
            <w:r>
              <w:rPr>
                <w:b w:val="0"/>
                <w:i w:val="0"/>
              </w:rPr>
              <w:t>3,12</w:t>
            </w:r>
          </w:p>
        </w:tc>
        <w:tc>
          <w:tcPr>
            <w:tcW w:type="dxa" w:w="1624"/>
          </w:tcPr>
          <w:p>
            <w:r/>
            <w:r>
              <w:rPr>
                <w:b w:val="0"/>
                <w:i w:val="0"/>
              </w:rPr>
              <w:t>8</w:t>
            </w:r>
          </w:p>
        </w:tc>
        <w:tc>
          <w:tcPr>
            <w:tcW w:type="dxa" w:w="1624"/>
          </w:tcPr>
          <w:p>
            <w:r/>
            <w:r>
              <w:rPr>
                <w:b w:val="0"/>
                <w:i w:val="0"/>
              </w:rPr>
              <w:t>3</w:t>
            </w:r>
          </w:p>
        </w:tc>
        <w:tc>
          <w:tcPr>
            <w:tcW w:type="dxa" w:w="1624"/>
          </w:tcPr>
          <w:p>
            <w:r/>
            <w:r>
              <w:rPr>
                <w:b w:val="0"/>
                <w:i w:val="0"/>
              </w:rPr>
              <w:t>No alcanza el umbral</w:t>
            </w:r>
          </w:p>
        </w:tc>
      </w:tr>
      <w:tr>
        <w:tc>
          <w:tcPr>
            <w:tcW w:type="dxa" w:w="1624"/>
          </w:tcPr>
          <w:p>
            <w:r/>
            <w:r>
              <w:rPr>
                <w:b w:val="0"/>
                <w:i w:val="0"/>
              </w:rPr>
              <w:t>Candidato D</w:t>
            </w:r>
          </w:p>
        </w:tc>
        <w:tc>
          <w:tcPr>
            <w:tcW w:type="dxa" w:w="1624"/>
          </w:tcPr>
          <w:p>
            <w:r/>
            <w:r>
              <w:rPr>
                <w:b w:val="0"/>
                <w:i w:val="0"/>
              </w:rPr>
              <w:t>3,17</w:t>
            </w:r>
          </w:p>
        </w:tc>
        <w:tc>
          <w:tcPr>
            <w:tcW w:type="dxa" w:w="1624"/>
          </w:tcPr>
          <w:p>
            <w:r/>
            <w:r>
              <w:rPr>
                <w:b w:val="0"/>
                <w:i w:val="0"/>
              </w:rPr>
              <w:t>3,12</w:t>
            </w:r>
          </w:p>
        </w:tc>
        <w:tc>
          <w:tcPr>
            <w:tcW w:type="dxa" w:w="1624"/>
          </w:tcPr>
          <w:p>
            <w:r/>
            <w:r>
              <w:rPr>
                <w:b w:val="0"/>
                <w:i w:val="0"/>
              </w:rPr>
              <w:t>8</w:t>
            </w:r>
          </w:p>
        </w:tc>
        <w:tc>
          <w:tcPr>
            <w:tcW w:type="dxa" w:w="1624"/>
          </w:tcPr>
          <w:p>
            <w:r/>
            <w:r>
              <w:rPr>
                <w:b w:val="0"/>
                <w:i w:val="0"/>
              </w:rPr>
              <w:t>3</w:t>
            </w:r>
          </w:p>
        </w:tc>
        <w:tc>
          <w:tcPr>
            <w:tcW w:type="dxa" w:w="1624"/>
          </w:tcPr>
          <w:p>
            <w:r/>
            <w:r>
              <w:rPr>
                <w:b w:val="0"/>
                <w:i w:val="0"/>
              </w:rPr>
              <w:t>No alcanza el umbral</w:t>
            </w:r>
          </w:p>
        </w:tc>
      </w:tr>
    </w:tbl>
    <w:p/>
    <w:p>
      <w:pPr>
        <w:jc w:val="center"/>
      </w:pPr>
      <w:r>
        <w:rPr>
          <w:i/>
          <w:color w:val="444444"/>
        </w:rPr>
        <w:t>Compara las dos primeras columnas de números: cuando la media simple y la ponderada no ordenan igual, es que el peso está haciendo su trabajo.</w:t>
      </w:r>
    </w:p>
    <w:p>
      <w:r>
        <w:br w:type="page"/>
      </w:r>
    </w:p>
    <w:p>
      <w:pPr>
        <w:pStyle w:val="Heading1"/>
      </w:pPr>
      <w:r>
        <w:t>11. Jornada, Cuadrante y Registro de Jornada: Tres Documentos que no Son lo Mismo</w:t>
      </w:r>
    </w:p>
    <w:p>
      <w:pPr>
        <w:pStyle w:val="Heading2"/>
      </w:pPr>
      <w:r>
        <w:t>Cuadrante, registro y calendario laboral: tres papeles distintos</w:t>
      </w:r>
    </w:p>
    <w:p>
      <w:r>
        <w:rPr>
          <w:b w:val="0"/>
          <w:i w:val="0"/>
        </w:rPr>
        <w:t>En el noventa por ciento de los locales, tres documentos que la ley trata de forma distinta terminan archivados bajo la misma etiqueta: «el horario». Conviene separarlos con precisión, porque cada uno responde ante una Inspección con una función distinta, y confundirlos es la primera fuente de sanciones evitables de este capítulo.</w:t>
      </w:r>
    </w:p>
    <w:p>
      <w:r>
        <w:rPr>
          <w:b w:val="0"/>
          <w:i w:val="0"/>
        </w:rPr>
        <w:t>El cuadrante (horario del personal) es planificación: mira hacia delante. Es donde el manager (gerente/encargado) reparte los turnos de la semana o la quincena siguiente y decide quién libra antes de que el servicio empiece. En La Encina, con doce personas en plantilla para cubrir 42 horas de apertura al público a la semana y 2.177 horas de apertura en el año, el cuadrante decide si esa carga se reparte sin agujeros de cobertura en sala (salón) o en cocina. Un cuadrante mal construido no incumple nada por sí mismo: lo que incumple es lo que de verdad ocurrió, y eso lo dice el segundo documento.</w:t>
      </w:r>
    </w:p>
    <w:p>
      <w:r>
        <w:rPr>
          <w:b w:val="0"/>
          <w:i w:val="0"/>
        </w:rPr>
        <w:t>El registro es constancia: mira hacia atrás. No recoge una intención de horario, sino la hora de entrada y la hora de salida reales de cada persona, cada día, tal y como sucedieron. El cuadrante puede estar impecable y el registro, si no refleja lo que pasó de verdad en la sala aquel viernes, ser el documento que decide una discusión con un camarero (mesero) o el resultado de una visita de la Inspección. Conservar solo uno -casi siempre el cuadrante, por ser el que ya existía antes de que el registro fuera obligatorio- deja a la empresa sin la prueba que necesita.</w:t>
      </w:r>
    </w:p>
    <w:p>
      <w:r>
        <w:rPr>
          <w:b w:val="0"/>
          <w:i w:val="0"/>
        </w:rPr>
        <w:t>El tercer documento es el calendario laboral anual, y suele ser el gran olvidado. No es el cuadrante del año que viene ni el registro del año que pasó: fija, para el conjunto del centro de trabajo, el calendario de días laborables, festivos y horario general aplicable al ejercicio. Y tiene una obligación que ni el cuadrante ni el registro tienen: debe estar expuesto en lugar visible del centro de trabajo, a la vista de toda la plantilla, no archivado en un cajón ni guardado solo en un ordenador.</w:t>
      </w:r>
    </w:p>
    <w:p>
      <w:pPr>
        <w:pStyle w:val="Heading2"/>
      </w:pPr>
      <w:r>
        <w:t>Los topes que no se pueden pactar a la baja</w:t>
      </w:r>
    </w:p>
    <w:p>
      <w:r>
        <w:rPr>
          <w:b w:val="0"/>
          <w:i w:val="0"/>
        </w:rPr>
        <w:t>Antes de tocar el cuadrante conviene tener los topes de jornada delante, con su artículo, porque son el suelo por debajo del cual ningún pacto ni ninguna necesidad de servicio los puede mover. Empezamos por el máximo anual, con artículo propio, y seguimos con tres topes que comparten fuente: jornada diaria, descanso entre jornadas y descanso semanal, recogidos en los arts. 34.3 y 37.1 del Estatuto de los Trabajadores, verificado el 4 de septiembre de 2026.</w:t>
      </w:r>
    </w:p>
    <w:p>
      <w:pPr>
        <w:pStyle w:val="ListBullet"/>
      </w:pPr>
      <w:r>
        <w:rPr>
          <w:b w:val="0"/>
          <w:i w:val="0"/>
        </w:rPr>
        <w:t>Jornada máxima de promedio en cómputo anual: 40 horas semanales, art. 34.1 del Estatuto de los Trabajadores (Real Decreto Legislativo 2/2015), verificado el 4 de septiembre de 2026. La reducción a 37,5 horas no está vigente: el Congreso la rechazó el 10 de septiembre de 2025, con 178 votos frente a 170, y devolvió el proyecto al Gobierno.</w:t>
      </w:r>
    </w:p>
    <w:p>
      <w:pPr>
        <w:pStyle w:val="ListBullet"/>
      </w:pPr>
      <w:r>
        <w:rPr>
          <w:b w:val="0"/>
          <w:i w:val="0"/>
        </w:rPr>
        <w:t>Jornada ordinaria diaria: máximo de 9 horas, salvo pacto en contrario.</w:t>
      </w:r>
    </w:p>
    <w:p>
      <w:pPr>
        <w:pStyle w:val="ListBullet"/>
      </w:pPr>
      <w:r>
        <w:rPr>
          <w:b w:val="0"/>
          <w:i w:val="0"/>
        </w:rPr>
        <w:t>Descanso entre el fin de una jornada y el inicio de la siguiente: mínimo de 12 horas.</w:t>
      </w:r>
    </w:p>
    <w:p>
      <w:pPr>
        <w:pStyle w:val="ListBullet"/>
      </w:pPr>
      <w:r>
        <w:rPr>
          <w:b w:val="0"/>
          <w:i w:val="0"/>
        </w:rPr>
        <w:t>Descanso semanal: día y medio ininterrumpido, acumulable por periodos de hasta 14 días.</w:t>
      </w:r>
    </w:p>
    <w:p>
      <w:r>
        <w:rPr>
          <w:b w:val="0"/>
          <w:i w:val="0"/>
        </w:rPr>
        <w:t>Ese último tope es la clave de todo cuadrante de hostelería que funciona sin incumplir nada. Un negocio que abre fines de semana no puede repartir el día y medio de descanso en fracciones sueltas dentro de la misma semana sin perder cobertura en el momento de mayor venta, pero la ley no exige que el descanso caiga semana a semana: exige que el cómputo se respete sumado a periodos de hasta catorce días. Eso permite construir cuadrantes donde una persona trabaja el fin de semana completo y recupera el descanso acumulado entre semana, sin tocar el suelo legal. En La Encina, con las 40 horas semanales pactadas de promedio situadas exactamente en el máximo legal de 40 horas, ese margen de acumulación en 14 días es la vía que permite cuadrar la plantilla sin dejar turnos sin cubrir.</w:t>
      </w:r>
    </w:p>
    <w:p>
      <w:pPr>
        <w:pStyle w:val="Heading2"/>
      </w:pPr>
      <w:r>
        <w:t>Los quince minutos del bocadillo y otras trampas del cómputo</w:t>
      </w:r>
    </w:p>
    <w:p>
      <w:r>
        <w:rPr>
          <w:b w:val="0"/>
          <w:i w:val="0"/>
        </w:rPr>
        <w:t>Si la jornada continuada supera las 6 horas, existe un derecho a 15 minutos de descanso: es lo que en el oficio se conoce, de toda la vida, como el descanso del bocadillo. La trampa no está en el derecho, que existe siempre con ese umbral, sino en su cómputo: esos 15 minutos sólo cuentan como tiempo de trabajo efectivo -es decir, sólo se pagan como parte de la jornada- si así lo establece el convenio colectivo o el contrato de trabajo, art. 34.4 del Estatuto de los Trabajadores, verificado el 4 de septiembre de 2026. Si ninguno de los dos lo dice, el descanso existe igualmente, pero como tiempo no trabajado, y descontarlo o no del cómputo diario deja de ser una cuestión de costumbre del local para convertirse en una cuestión de qué pone el convenio.</w:t>
      </w:r>
    </w:p>
    <w:p>
      <w:r>
        <w:rPr>
          <w:b w:val="0"/>
          <w:i w:val="0"/>
        </w:rPr>
        <w:t>Es, con diferencia, la fuente número uno de discusiones evitables en mitad de un pase: alguien da por hecho que el bocadillo se paga porque siempre se ha hecho así en el local, y nadie ha comprobado qué dice realmente el convenio provincial aplicable. El criterio del manager aquí no es negociar caso por caso, sino zanjarlo una sola vez: leer la letra del convenio, dejar el criterio por escrito en el propio cuadrante o en el contrato si hiciera falta, y aplicarlo igual a toda la plantilla. Otras trampas del cómputo diario nacen del mismo vicio: dar por sentado que un uso local equivale a una obligación legal, cuando lo único que obliga es lo que dice la norma o lo que se ha pactado expresamente por escrito.</w:t>
      </w:r>
    </w:p>
    <w:p>
      <w:pPr>
        <w:pStyle w:val="Heading2"/>
      </w:pPr>
      <w:r>
        <w:t>Horas extraordinarias y horas complementarias: dos cosas distintas</w:t>
      </w:r>
    </w:p>
    <w:p>
      <w:r>
        <w:rPr>
          <w:b w:val="0"/>
          <w:i w:val="0"/>
        </w:rPr>
        <w:t>Se usan como sinónimos en la conversación de cocina y no lo son en absoluto: cada una tiene su propio tope, su propio tipo de contrato y su propio procedimiento de pacto, y mezclarlas es el error más frecuente del capítulo.</w:t>
      </w:r>
    </w:p>
    <w:p>
      <w:r>
        <w:rPr>
          <w:b w:val="0"/>
          <w:i w:val="0"/>
        </w:rPr>
        <w:t>Las horas extraordinarias son las que se trabajan por encima de la jornada ordinaria pactada, con un tope de 80 horas al año por persona, que se reduce en proporción en las jornadas a tiempo parcial, art. 35.1 y 35.2 del Estatuto de los Trabajadores, verificado el 4 de septiembre de 2026. Dos matices cambian la gestión del día a día: las horas extraordinarias compensadas con descanso dentro de los cuatro meses siguientes no computan contra ese tope de 80, y si no hay pacto expreso sobre la forma de compensarlas, la compensación por defecto es en descanso, no en dinero. En La Encina el margen disponible es de 80 horas al año por persona -el tope legal completo, sin consumir todavía- y el aviso de la herramienta salta en cuanto el consumo supera el 80 % de ese tope, para no llegar al límite sin margen de reacción.</w:t>
      </w:r>
    </w:p>
    <w:p>
      <w:r>
        <w:rPr>
          <w:b w:val="0"/>
          <w:i w:val="0"/>
        </w:rPr>
        <w:t>Las horas complementarias son otra figura, reservada a los contratos a tiempo parcial de al menos 10 horas semanales, y sólo caben si existe un pacto específico por escrito, art. 12.5 del Estatuto de los Trabajadores, verificado el 4 de septiembre de 2026. Las complementarias pactadas no pueden superar el 30 % de las horas ordinarias del contrato, porcentaje que el convenio colectivo puede ampliar hasta el 60 %, y que exige un preaviso de 3 días antes de su realización. Existe además una modalidad voluntaria, reservada a los contratos indefinidos, que llega al 15 % de las horas ordinarias y es ampliable hasta el 30 % por la misma vía. Una hora extraordinaria mal etiquetada como complementaria, o al revés, invalida el pacto entero, porque cada figura responde a un tope distinto y a un tipo de contrato distinto: la extraordinaria nace del exceso sobre la jornada pactada, y la complementaria, de un pacto previo sobre horas que el contrato a tiempo parcial todavía no incluye.</w:t>
      </w:r>
    </w:p>
    <w:p>
      <w:pPr>
        <w:pStyle w:val="Heading2"/>
      </w:pPr>
      <w:r>
        <w:t>Qué exige hoy el registro de jornada, y qué no exige todavía</w:t>
      </w:r>
    </w:p>
    <w:p>
      <w:r>
        <w:rPr>
          <w:b w:val="0"/>
          <w:i w:val="0"/>
        </w:rPr>
        <w:t>Conviene decirlo con la misma claridad con la que se dice todo lo demás en este capítulo: el registro de jornada digital obligatorio no existe todavía. El real decreto que lo regularía sigue en tramitación, no se ha publicado en el BOE, y el Consejo de Estado emitió sobre él un dictamen desfavorable el 23 de marzo de 2026. Quien afirme que ya hay un sistema homologado de obligado cumplimiento, o que operar sin registro digital es sancionable por ese solo hecho, suele tener detrás algo que vender.</w:t>
      </w:r>
    </w:p>
    <w:p>
      <w:r>
        <w:rPr>
          <w:b w:val="0"/>
          <w:i w:val="0"/>
        </w:rPr>
        <w:t>Lo que exige hoy la ley, y lo exige desde antes, es el registro diario de la jornada del art. 34.9 del Estatuto de los Trabajadores, en la redacción que le dio el Real Decreto-ley 8/2019, verificado el 4 de septiembre de 2026. Ese registro tiene que recoger la hora de inicio y la hora de fin de la jornada de cada persona, cada día, y conservarse durante 4 años a disposición de la propia plantilla, de su representación legal y de la Inspección de Trabajo. La ley no impone el soporte: admite tanto el papel como una hoja de cálculo, siempre que el dato quede fijado día a día y no se reconstruya después de memoria. Lo que sí exige, y aquí es donde más locales fallan sin saberlo, es que el registro sea accesible cuando se pida: guardarlo en un cuaderno que solo abre una persona, o en un fichero que nadie sabe localizar, incumple la disposición del artículo aunque el dato exista en alguna parte.</w:t>
      </w:r>
    </w:p>
    <w:p>
      <w:r>
        <w:rPr>
          <w:b w:val="0"/>
          <w:i w:val="0"/>
        </w:rPr>
        <w:t>Hay una consecuencia de este mismo artículo que se conoce mucho menos que el resto, y que pesa especialmente sobre la plantilla a tiempo parcial: si no se lleva el registro diario de la jornada, totalizado mes a mes y con copia entregada a la persona trabajadora, el contrato se presume celebrado a jornada completa, salvo que la empresa pruebe lo contrario, art. 12.4, letra c, del Estatuto de los Trabajadores, verificado el 4 de septiembre de 2026. En un negocio que combina contratos a tiempo completo y a tiempo parcial en el mismo cuadrante, ese descuido convierte un contrato parcial en jornada completa a efectos legales, con todo lo que eso arrastra en cotización y en cómputo de horas.</w:t>
      </w:r>
    </w:p>
    <w:p>
      <w:pPr>
        <w:pStyle w:val="Heading2"/>
      </w:pPr>
      <w:r>
        <w:t>El registro como materia disciplinaria: la novedad del ALEH VI</w:t>
      </w:r>
    </w:p>
    <w:p>
      <w:r>
        <w:rPr>
          <w:b w:val="0"/>
          <w:i w:val="0"/>
        </w:rPr>
        <w:t>Hasta ahora, no llevar bien el registro era sobre todo un riesgo frente a la Inspección de Trabajo o frente a una demanda: la falta de acreditación de la jornada real complicaba la defensa de la empresa en el litigio. Desde el 4 de septiembre de 2026 eso cambia de naturaleza, porque el acuerdo laboral que rige el sector, el ALEH VI, ha tipificado los incumplimientos del registro como materia disciplinaria interna: la falta se califica como leve, grave o muy grave en función de cuántos incumplimientos se acumulen dentro de un mismo mes.</w:t>
      </w:r>
    </w:p>
    <w:p>
      <w:r>
        <w:rPr>
          <w:b w:val="0"/>
          <w:i w:val="0"/>
        </w:rPr>
        <w:t>El cuadro siguiente recoge esa escala completa, con sus 10 filas de calificación. Lo relevante para la gestión diaria es que el registro deja de ser sólo una cuestión de cumplimiento normativo externo y pasa a formar parte del régimen disciplinario interno del propio convenio, lo que obliga al manager a documentar cada incumplimiento igual que documentaría cualquier otra falta: con fecha, con persona afectada y con el hecho concreto que se está imputando. Un aviso verbal ya no basta como respuesta a un fallo de registro repetido, porque la falta puede acumularse dentro del mes y escalar de calificación sin que exista constancia escrita de lo ocurrido. La disciplina interna, a partir de esta fecha, corre en paralelo a la obligación externa del art. 34.9, y las dos exigen el mismo hábito: registrar cada día, sin excepción, y guardar la prueba de que se ha hecho.</w:t>
      </w:r>
    </w:p>
    <w:p>
      <w:r>
        <w:rPr>
          <w:b/>
          <w:i w:val="0"/>
        </w:rPr>
        <w:t>Los topes de jornada, con su valor y su artículo (calendario-cumplimiento-legal.xlsx, hoja «Topes de Jornada»)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Concepto</w:t>
            </w:r>
          </w:p>
        </w:tc>
        <w:tc>
          <w:tcPr>
            <w:tcW w:type="dxa" w:w="2436"/>
          </w:tcPr>
          <w:p>
            <w:r/>
            <w:r>
              <w:rPr>
                <w:b/>
                <w:i w:val="0"/>
              </w:rPr>
              <w:t>Valor</w:t>
            </w:r>
          </w:p>
        </w:tc>
        <w:tc>
          <w:tcPr>
            <w:tcW w:type="dxa" w:w="2436"/>
          </w:tcPr>
          <w:p>
            <w:r/>
            <w:r>
              <w:rPr>
                <w:b/>
                <w:i w:val="0"/>
              </w:rPr>
              <w:t>Artículo</w:t>
            </w:r>
          </w:p>
        </w:tc>
      </w:tr>
      <w:tr>
        <w:tc>
          <w:tcPr>
            <w:tcW w:type="dxa" w:w="2436"/>
          </w:tcPr>
          <w:p>
            <w:r/>
            <w:r>
              <w:rPr>
                <w:b w:val="0"/>
                <w:i w:val="0"/>
              </w:rPr>
              <w:t>1</w:t>
            </w:r>
          </w:p>
        </w:tc>
        <w:tc>
          <w:tcPr>
            <w:tcW w:type="dxa" w:w="2436"/>
          </w:tcPr>
          <w:p>
            <w:r/>
            <w:r>
              <w:rPr>
                <w:b w:val="0"/>
                <w:i w:val="0"/>
              </w:rPr>
              <w:t>Jornada máxima</w:t>
            </w:r>
          </w:p>
        </w:tc>
        <w:tc>
          <w:tcPr>
            <w:tcW w:type="dxa" w:w="2436"/>
          </w:tcPr>
          <w:p>
            <w:r/>
            <w:r>
              <w:rPr>
                <w:b w:val="0"/>
                <w:i w:val="0"/>
              </w:rPr>
              <w:t>40 h/semana de promedio en cómputo anual</w:t>
            </w:r>
          </w:p>
        </w:tc>
        <w:tc>
          <w:tcPr>
            <w:tcW w:type="dxa" w:w="2436"/>
          </w:tcPr>
          <w:p>
            <w:r/>
            <w:r>
              <w:rPr>
                <w:b w:val="0"/>
                <w:i w:val="0"/>
              </w:rPr>
              <w:t>Art. 34.1 ET</w:t>
            </w:r>
          </w:p>
        </w:tc>
      </w:tr>
      <w:tr>
        <w:tc>
          <w:tcPr>
            <w:tcW w:type="dxa" w:w="2436"/>
          </w:tcPr>
          <w:p>
            <w:r/>
            <w:r>
              <w:rPr>
                <w:b w:val="0"/>
                <w:i w:val="0"/>
              </w:rPr>
              <w:t>2</w:t>
            </w:r>
          </w:p>
        </w:tc>
        <w:tc>
          <w:tcPr>
            <w:tcW w:type="dxa" w:w="2436"/>
          </w:tcPr>
          <w:p>
            <w:r/>
            <w:r>
              <w:rPr>
                <w:b w:val="0"/>
                <w:i w:val="0"/>
              </w:rPr>
              <w:t>Jornada ordinaria diaria máxima</w:t>
            </w:r>
          </w:p>
        </w:tc>
        <w:tc>
          <w:tcPr>
            <w:tcW w:type="dxa" w:w="2436"/>
          </w:tcPr>
          <w:p>
            <w:r/>
            <w:r>
              <w:rPr>
                <w:b w:val="0"/>
                <w:i w:val="0"/>
              </w:rPr>
              <w:t>9 h, salvo distribución irregular pactada</w:t>
            </w:r>
          </w:p>
        </w:tc>
        <w:tc>
          <w:tcPr>
            <w:tcW w:type="dxa" w:w="2436"/>
          </w:tcPr>
          <w:p>
            <w:r/>
            <w:r>
              <w:rPr>
                <w:b w:val="0"/>
                <w:i w:val="0"/>
              </w:rPr>
              <w:t>Art. 34.3 ET</w:t>
            </w:r>
          </w:p>
        </w:tc>
      </w:tr>
      <w:tr>
        <w:tc>
          <w:tcPr>
            <w:tcW w:type="dxa" w:w="2436"/>
          </w:tcPr>
          <w:p>
            <w:r/>
            <w:r>
              <w:rPr>
                <w:b w:val="0"/>
                <w:i w:val="0"/>
              </w:rPr>
              <w:t>3</w:t>
            </w:r>
          </w:p>
        </w:tc>
        <w:tc>
          <w:tcPr>
            <w:tcW w:type="dxa" w:w="2436"/>
          </w:tcPr>
          <w:p>
            <w:r/>
            <w:r>
              <w:rPr>
                <w:b w:val="0"/>
                <w:i w:val="0"/>
              </w:rPr>
              <w:t>Descanso mínimo entre jornadas</w:t>
            </w:r>
          </w:p>
        </w:tc>
        <w:tc>
          <w:tcPr>
            <w:tcW w:type="dxa" w:w="2436"/>
          </w:tcPr>
          <w:p>
            <w:r/>
            <w:r>
              <w:rPr>
                <w:b w:val="0"/>
                <w:i w:val="0"/>
              </w:rPr>
              <w:t>12 h</w:t>
            </w:r>
          </w:p>
        </w:tc>
        <w:tc>
          <w:tcPr>
            <w:tcW w:type="dxa" w:w="2436"/>
          </w:tcPr>
          <w:p>
            <w:r/>
            <w:r>
              <w:rPr>
                <w:b w:val="0"/>
                <w:i w:val="0"/>
              </w:rPr>
              <w:t>Art. 34.3 ET</w:t>
            </w:r>
          </w:p>
        </w:tc>
      </w:tr>
      <w:tr>
        <w:tc>
          <w:tcPr>
            <w:tcW w:type="dxa" w:w="2436"/>
          </w:tcPr>
          <w:p>
            <w:r/>
            <w:r>
              <w:rPr>
                <w:b w:val="0"/>
                <w:i w:val="0"/>
              </w:rPr>
              <w:t>4</w:t>
            </w:r>
          </w:p>
        </w:tc>
        <w:tc>
          <w:tcPr>
            <w:tcW w:type="dxa" w:w="2436"/>
          </w:tcPr>
          <w:p>
            <w:r/>
            <w:r>
              <w:rPr>
                <w:b w:val="0"/>
                <w:i w:val="0"/>
              </w:rPr>
              <w:t>Descanso semanal</w:t>
            </w:r>
          </w:p>
        </w:tc>
        <w:tc>
          <w:tcPr>
            <w:tcW w:type="dxa" w:w="2436"/>
          </w:tcPr>
          <w:p>
            <w:r/>
            <w:r>
              <w:rPr>
                <w:b w:val="0"/>
                <w:i w:val="0"/>
              </w:rPr>
              <w:t>1,5 días, acumulables en periodos de hasta 14 días</w:t>
            </w:r>
          </w:p>
        </w:tc>
        <w:tc>
          <w:tcPr>
            <w:tcW w:type="dxa" w:w="2436"/>
          </w:tcPr>
          <w:p>
            <w:r/>
            <w:r>
              <w:rPr>
                <w:b w:val="0"/>
                <w:i w:val="0"/>
              </w:rPr>
              <w:t>Art. 37.1 ET</w:t>
            </w:r>
          </w:p>
        </w:tc>
      </w:tr>
      <w:tr>
        <w:tc>
          <w:tcPr>
            <w:tcW w:type="dxa" w:w="2436"/>
          </w:tcPr>
          <w:p>
            <w:r/>
            <w:r>
              <w:rPr>
                <w:b w:val="0"/>
                <w:i w:val="0"/>
              </w:rPr>
              <w:t>5</w:t>
            </w:r>
          </w:p>
        </w:tc>
        <w:tc>
          <w:tcPr>
            <w:tcW w:type="dxa" w:w="2436"/>
          </w:tcPr>
          <w:p>
            <w:r/>
            <w:r>
              <w:rPr>
                <w:b w:val="0"/>
                <w:i w:val="0"/>
              </w:rPr>
              <w:t>Descanso en jornada continuada de más de 6 h</w:t>
            </w:r>
          </w:p>
        </w:tc>
        <w:tc>
          <w:tcPr>
            <w:tcW w:type="dxa" w:w="2436"/>
          </w:tcPr>
          <w:p>
            <w:r/>
            <w:r>
              <w:rPr>
                <w:b w:val="0"/>
                <w:i w:val="0"/>
              </w:rPr>
              <w:t>15 min; son tiempo de trabajo sólo si lo dice el convenio</w:t>
            </w:r>
          </w:p>
        </w:tc>
        <w:tc>
          <w:tcPr>
            <w:tcW w:type="dxa" w:w="2436"/>
          </w:tcPr>
          <w:p>
            <w:r/>
            <w:r>
              <w:rPr>
                <w:b w:val="0"/>
                <w:i w:val="0"/>
              </w:rPr>
              <w:t>Art. 34.4 ET</w:t>
            </w:r>
          </w:p>
        </w:tc>
      </w:tr>
      <w:tr>
        <w:tc>
          <w:tcPr>
            <w:tcW w:type="dxa" w:w="2436"/>
          </w:tcPr>
          <w:p>
            <w:r/>
            <w:r>
              <w:rPr>
                <w:b w:val="0"/>
                <w:i w:val="0"/>
              </w:rPr>
              <w:t>6</w:t>
            </w:r>
          </w:p>
        </w:tc>
        <w:tc>
          <w:tcPr>
            <w:tcW w:type="dxa" w:w="2436"/>
          </w:tcPr>
          <w:p>
            <w:r/>
            <w:r>
              <w:rPr>
                <w:b w:val="0"/>
                <w:i w:val="0"/>
              </w:rPr>
              <w:t>Horas extraordinarias</w:t>
            </w:r>
          </w:p>
        </w:tc>
        <w:tc>
          <w:tcPr>
            <w:tcW w:type="dxa" w:w="2436"/>
          </w:tcPr>
          <w:p>
            <w:r/>
            <w:r>
              <w:rPr>
                <w:b w:val="0"/>
                <w:i w:val="0"/>
              </w:rPr>
              <w:t>80 h/año por persona, en proporción en la jornada parcial</w:t>
            </w:r>
          </w:p>
        </w:tc>
        <w:tc>
          <w:tcPr>
            <w:tcW w:type="dxa" w:w="2436"/>
          </w:tcPr>
          <w:p>
            <w:r/>
            <w:r>
              <w:rPr>
                <w:b w:val="0"/>
                <w:i w:val="0"/>
              </w:rPr>
              <w:t>Art. 35.2 ET</w:t>
            </w:r>
          </w:p>
        </w:tc>
      </w:tr>
      <w:tr>
        <w:tc>
          <w:tcPr>
            <w:tcW w:type="dxa" w:w="2436"/>
          </w:tcPr>
          <w:p>
            <w:r/>
            <w:r>
              <w:rPr>
                <w:b w:val="0"/>
                <w:i w:val="0"/>
              </w:rPr>
              <w:t>7</w:t>
            </w:r>
          </w:p>
        </w:tc>
        <w:tc>
          <w:tcPr>
            <w:tcW w:type="dxa" w:w="2436"/>
          </w:tcPr>
          <w:p>
            <w:r/>
            <w:r>
              <w:rPr>
                <w:b w:val="0"/>
                <w:i w:val="0"/>
              </w:rPr>
              <w:t>Horas complementarias pactadas</w:t>
            </w:r>
          </w:p>
        </w:tc>
        <w:tc>
          <w:tcPr>
            <w:tcW w:type="dxa" w:w="2436"/>
          </w:tcPr>
          <w:p>
            <w:r/>
            <w:r>
              <w:rPr>
                <w:b w:val="0"/>
                <w:i w:val="0"/>
              </w:rPr>
              <w:t>30 % de las ordinarias, ampliable hasta el 60 % por convenio</w:t>
            </w:r>
          </w:p>
        </w:tc>
        <w:tc>
          <w:tcPr>
            <w:tcW w:type="dxa" w:w="2436"/>
          </w:tcPr>
          <w:p>
            <w:r/>
            <w:r>
              <w:rPr>
                <w:b w:val="0"/>
                <w:i w:val="0"/>
              </w:rPr>
              <w:t>Art. 12.5 ET</w:t>
            </w:r>
          </w:p>
        </w:tc>
      </w:tr>
      <w:tr>
        <w:tc>
          <w:tcPr>
            <w:tcW w:type="dxa" w:w="2436"/>
          </w:tcPr>
          <w:p>
            <w:r/>
            <w:r>
              <w:rPr>
                <w:b w:val="0"/>
                <w:i w:val="0"/>
              </w:rPr>
              <w:t>8</w:t>
            </w:r>
          </w:p>
        </w:tc>
        <w:tc>
          <w:tcPr>
            <w:tcW w:type="dxa" w:w="2436"/>
          </w:tcPr>
          <w:p>
            <w:r/>
            <w:r>
              <w:rPr>
                <w:b w:val="0"/>
                <w:i w:val="0"/>
              </w:rPr>
              <w:t>Horas complementarias voluntarias</w:t>
            </w:r>
          </w:p>
        </w:tc>
        <w:tc>
          <w:tcPr>
            <w:tcW w:type="dxa" w:w="2436"/>
          </w:tcPr>
          <w:p>
            <w:r/>
            <w:r>
              <w:rPr>
                <w:b w:val="0"/>
                <w:i w:val="0"/>
              </w:rPr>
              <w:t>15 % adicional</w:t>
            </w:r>
          </w:p>
        </w:tc>
        <w:tc>
          <w:tcPr>
            <w:tcW w:type="dxa" w:w="2436"/>
          </w:tcPr>
          <w:p>
            <w:r/>
            <w:r>
              <w:rPr>
                <w:b w:val="0"/>
                <w:i w:val="0"/>
              </w:rPr>
              <w:t>Art. 12.5 ET</w:t>
            </w:r>
          </w:p>
        </w:tc>
      </w:tr>
      <w:tr>
        <w:tc>
          <w:tcPr>
            <w:tcW w:type="dxa" w:w="2436"/>
          </w:tcPr>
          <w:p>
            <w:r/>
            <w:r>
              <w:rPr>
                <w:b w:val="0"/>
                <w:i w:val="0"/>
              </w:rPr>
              <w:t>9</w:t>
            </w:r>
          </w:p>
        </w:tc>
        <w:tc>
          <w:tcPr>
            <w:tcW w:type="dxa" w:w="2436"/>
          </w:tcPr>
          <w:p>
            <w:r/>
            <w:r>
              <w:rPr>
                <w:b w:val="0"/>
                <w:i w:val="0"/>
              </w:rPr>
              <w:t>Registro de jornada</w:t>
            </w:r>
          </w:p>
        </w:tc>
        <w:tc>
          <w:tcPr>
            <w:tcW w:type="dxa" w:w="2436"/>
          </w:tcPr>
          <w:p>
            <w:r/>
            <w:r>
              <w:rPr>
                <w:b w:val="0"/>
                <w:i w:val="0"/>
              </w:rPr>
              <w:t>Diario, con hora de inicio y de fin</w:t>
            </w:r>
          </w:p>
        </w:tc>
        <w:tc>
          <w:tcPr>
            <w:tcW w:type="dxa" w:w="2436"/>
          </w:tcPr>
          <w:p>
            <w:r/>
            <w:r>
              <w:rPr>
                <w:b w:val="0"/>
                <w:i w:val="0"/>
              </w:rPr>
              <w:t>Art. 34.9 ET</w:t>
            </w:r>
          </w:p>
        </w:tc>
      </w:tr>
      <w:tr>
        <w:tc>
          <w:tcPr>
            <w:tcW w:type="dxa" w:w="2436"/>
          </w:tcPr>
          <w:p>
            <w:r/>
            <w:r>
              <w:rPr>
                <w:b w:val="0"/>
                <w:i w:val="0"/>
              </w:rPr>
              <w:t>10</w:t>
            </w:r>
          </w:p>
        </w:tc>
        <w:tc>
          <w:tcPr>
            <w:tcW w:type="dxa" w:w="2436"/>
          </w:tcPr>
          <w:p>
            <w:r/>
            <w:r>
              <w:rPr>
                <w:b w:val="0"/>
                <w:i w:val="0"/>
              </w:rPr>
              <w:t>Conservación del registro</w:t>
            </w:r>
          </w:p>
        </w:tc>
        <w:tc>
          <w:tcPr>
            <w:tcW w:type="dxa" w:w="2436"/>
          </w:tcPr>
          <w:p>
            <w:r/>
            <w:r>
              <w:rPr>
                <w:b w:val="0"/>
                <w:i w:val="0"/>
              </w:rPr>
              <w:t>4 años</w:t>
            </w:r>
          </w:p>
        </w:tc>
        <w:tc>
          <w:tcPr>
            <w:tcW w:type="dxa" w:w="2436"/>
          </w:tcPr>
          <w:p>
            <w:r/>
            <w:r>
              <w:rPr>
                <w:b w:val="0"/>
                <w:i w:val="0"/>
              </w:rPr>
              <w:t>Art. 34.9 ET</w:t>
            </w:r>
          </w:p>
        </w:tc>
      </w:tr>
      <w:tr>
        <w:tc>
          <w:tcPr>
            <w:tcW w:type="dxa" w:w="2436"/>
          </w:tcPr>
          <w:p>
            <w:r/>
            <w:r>
              <w:rPr>
                <w:b w:val="0"/>
                <w:i w:val="0"/>
              </w:rPr>
              <w:t>11</w:t>
            </w:r>
          </w:p>
        </w:tc>
        <w:tc>
          <w:tcPr>
            <w:tcW w:type="dxa" w:w="2436"/>
          </w:tcPr>
          <w:p>
            <w:r/>
            <w:r>
              <w:rPr>
                <w:b w:val="0"/>
                <w:i w:val="0"/>
              </w:rPr>
              <w:t>Contrato a tiempo parcial sin registro</w:t>
            </w:r>
          </w:p>
        </w:tc>
        <w:tc>
          <w:tcPr>
            <w:tcW w:type="dxa" w:w="2436"/>
          </w:tcPr>
          <w:p>
            <w:r/>
            <w:r>
              <w:rPr>
                <w:b w:val="0"/>
                <w:i w:val="0"/>
              </w:rPr>
              <w:t>Se presume celebrado a jornada completa</w:t>
            </w:r>
          </w:p>
        </w:tc>
        <w:tc>
          <w:tcPr>
            <w:tcW w:type="dxa" w:w="2436"/>
          </w:tcPr>
          <w:p>
            <w:r/>
            <w:r>
              <w:rPr>
                <w:b w:val="0"/>
                <w:i w:val="0"/>
              </w:rPr>
              <w:t>Art. 12.4.c ET</w:t>
            </w:r>
          </w:p>
        </w:tc>
      </w:tr>
    </w:tbl>
    <w:p/>
    <w:p>
      <w:pPr>
        <w:jc w:val="center"/>
      </w:pPr>
      <w:r>
        <w:rPr>
          <w:i/>
          <w:color w:val="444444"/>
        </w:rPr>
        <w:t>Verificado el 04-09-2026 · Art. 34.9 y concordantes del Estatuto de los Trabajadores (RDLeg 2/2015) · https://www.boe.es/buscar/act.php?id=BOE-A-2015-11430</w:t>
      </w:r>
    </w:p>
    <w:p>
      <w:r>
        <w:rPr>
          <w:b/>
          <w:i w:val="0"/>
        </w:rPr>
        <w:t>No registrar la jornada, ahora también es falta (calendario-cumplimiento-legal.xlsx, hoja «Régimen Disciplinario ALEH»)</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Falta o figura</w:t>
            </w:r>
          </w:p>
        </w:tc>
        <w:tc>
          <w:tcPr>
            <w:tcW w:type="dxa" w:w="1949"/>
          </w:tcPr>
          <w:p>
            <w:r/>
            <w:r>
              <w:rPr>
                <w:b/>
                <w:i w:val="0"/>
              </w:rPr>
              <w:t>Gravedad</w:t>
            </w:r>
          </w:p>
        </w:tc>
        <w:tc>
          <w:tcPr>
            <w:tcW w:type="dxa" w:w="1949"/>
          </w:tcPr>
          <w:p>
            <w:r/>
            <w:r>
              <w:rPr>
                <w:b/>
                <w:i w:val="0"/>
              </w:rPr>
              <w:t>Umbral o detalle</w:t>
            </w:r>
          </w:p>
        </w:tc>
        <w:tc>
          <w:tcPr>
            <w:tcW w:type="dxa" w:w="1949"/>
          </w:tcPr>
          <w:p>
            <w:r/>
            <w:r>
              <w:rPr>
                <w:b/>
                <w:i w:val="0"/>
              </w:rPr>
              <w:t>Sanción posible</w:t>
            </w:r>
          </w:p>
        </w:tc>
        <w:tc>
          <w:tcPr>
            <w:tcW w:type="dxa" w:w="1949"/>
          </w:tcPr>
          <w:p>
            <w:r/>
            <w:r>
              <w:rPr>
                <w:b/>
                <w:i w:val="0"/>
              </w:rPr>
              <w:t>Artículo</w:t>
            </w:r>
          </w:p>
        </w:tc>
      </w:tr>
      <w:tr>
        <w:tc>
          <w:tcPr>
            <w:tcW w:type="dxa" w:w="1949"/>
          </w:tcPr>
          <w:p>
            <w:r/>
            <w:r>
              <w:rPr>
                <w:b w:val="0"/>
                <w:i w:val="0"/>
              </w:rPr>
              <w:t>Falta LEVE: no registrar la jornada</w:t>
            </w:r>
          </w:p>
        </w:tc>
        <w:tc>
          <w:tcPr>
            <w:tcW w:type="dxa" w:w="1949"/>
          </w:tcPr>
          <w:p>
            <w:r/>
            <w:r>
              <w:rPr>
                <w:b w:val="0"/>
                <w:i w:val="0"/>
              </w:rPr>
              <w:t>Leve</w:t>
            </w:r>
          </w:p>
        </w:tc>
        <w:tc>
          <w:tcPr>
            <w:tcW w:type="dxa" w:w="1949"/>
          </w:tcPr>
          <w:p>
            <w:r/>
            <w:r>
              <w:rPr>
                <w:b w:val="0"/>
                <w:i w:val="0"/>
              </w:rPr>
              <w:t>2 incumplimientos en un mes</w:t>
            </w:r>
          </w:p>
        </w:tc>
        <w:tc>
          <w:tcPr>
            <w:tcW w:type="dxa" w:w="1949"/>
          </w:tcPr>
          <w:p>
            <w:r/>
            <w:r>
              <w:rPr>
                <w:b w:val="0"/>
                <w:i w:val="0"/>
              </w:rPr>
              <w:t>Amonestación verbal o escrita</w:t>
            </w:r>
          </w:p>
        </w:tc>
        <w:tc>
          <w:tcPr>
            <w:tcW w:type="dxa" w:w="1949"/>
          </w:tcPr>
          <w:p>
            <w:r/>
            <w:r>
              <w:rPr>
                <w:b w:val="0"/>
                <w:i w:val="0"/>
              </w:rPr>
              <w:t>Art. 38.10 ALEH VI (BOE-A-2026-18630)</w:t>
            </w:r>
          </w:p>
        </w:tc>
      </w:tr>
      <w:tr>
        <w:tc>
          <w:tcPr>
            <w:tcW w:type="dxa" w:w="1949"/>
          </w:tcPr>
          <w:p>
            <w:r/>
            <w:r>
              <w:rPr>
                <w:b w:val="0"/>
                <w:i w:val="0"/>
              </w:rPr>
              <w:t>Falta LEVE: uso no autorizado del móvil durante el servicio</w:t>
            </w:r>
          </w:p>
        </w:tc>
        <w:tc>
          <w:tcPr>
            <w:tcW w:type="dxa" w:w="1949"/>
          </w:tcPr>
          <w:p>
            <w:r/>
            <w:r>
              <w:rPr>
                <w:b w:val="0"/>
                <w:i w:val="0"/>
              </w:rPr>
              <w:t>Leve</w:t>
            </w:r>
          </w:p>
        </w:tc>
        <w:tc>
          <w:tcPr>
            <w:tcW w:type="dxa" w:w="1949"/>
          </w:tcPr>
          <w:p>
            <w:r/>
          </w:p>
        </w:tc>
        <w:tc>
          <w:tcPr>
            <w:tcW w:type="dxa" w:w="1949"/>
          </w:tcPr>
          <w:p>
            <w:r/>
            <w:r>
              <w:rPr>
                <w:b w:val="0"/>
                <w:i w:val="0"/>
              </w:rPr>
              <w:t>Amonestación verbal o escrita</w:t>
            </w:r>
          </w:p>
        </w:tc>
        <w:tc>
          <w:tcPr>
            <w:tcW w:type="dxa" w:w="1949"/>
          </w:tcPr>
          <w:p>
            <w:r/>
            <w:r>
              <w:rPr>
                <w:b w:val="0"/>
                <w:i w:val="0"/>
              </w:rPr>
              <w:t>Art. 38.12 ALEH VI</w:t>
            </w:r>
          </w:p>
        </w:tc>
      </w:tr>
      <w:tr>
        <w:tc>
          <w:tcPr>
            <w:tcW w:type="dxa" w:w="1949"/>
          </w:tcPr>
          <w:p>
            <w:r/>
            <w:r>
              <w:rPr>
                <w:b w:val="0"/>
                <w:i w:val="0"/>
              </w:rPr>
              <w:t>Falta GRAVE: no registrar la jornada</w:t>
            </w:r>
          </w:p>
        </w:tc>
        <w:tc>
          <w:tcPr>
            <w:tcW w:type="dxa" w:w="1949"/>
          </w:tcPr>
          <w:p>
            <w:r/>
            <w:r>
              <w:rPr>
                <w:b w:val="0"/>
                <w:i w:val="0"/>
              </w:rPr>
              <w:t>Grave</w:t>
            </w:r>
          </w:p>
        </w:tc>
        <w:tc>
          <w:tcPr>
            <w:tcW w:type="dxa" w:w="1949"/>
          </w:tcPr>
          <w:p>
            <w:r/>
            <w:r>
              <w:rPr>
                <w:b w:val="0"/>
                <w:i w:val="0"/>
              </w:rPr>
              <w:t>3 o 4 incumplimientos en un mes</w:t>
            </w:r>
          </w:p>
        </w:tc>
        <w:tc>
          <w:tcPr>
            <w:tcW w:type="dxa" w:w="1949"/>
          </w:tcPr>
          <w:p>
            <w:r/>
            <w:r>
              <w:rPr>
                <w:b w:val="0"/>
                <w:i w:val="0"/>
              </w:rPr>
              <w:t>Suspensión de empleo y sueldo, según la escala de sanciones del ALEH VI</w:t>
            </w:r>
          </w:p>
        </w:tc>
        <w:tc>
          <w:tcPr>
            <w:tcW w:type="dxa" w:w="1949"/>
          </w:tcPr>
          <w:p>
            <w:r/>
            <w:r>
              <w:rPr>
                <w:b w:val="0"/>
                <w:i w:val="0"/>
              </w:rPr>
              <w:t>Art. 39.21 ALEH VI</w:t>
            </w:r>
          </w:p>
        </w:tc>
      </w:tr>
      <w:tr>
        <w:tc>
          <w:tcPr>
            <w:tcW w:type="dxa" w:w="1949"/>
          </w:tcPr>
          <w:p>
            <w:r/>
            <w:r>
              <w:rPr>
                <w:b w:val="0"/>
                <w:i w:val="0"/>
              </w:rPr>
              <w:t>Falta GRAVE: fumar en zonas no permitidas</w:t>
            </w:r>
          </w:p>
        </w:tc>
        <w:tc>
          <w:tcPr>
            <w:tcW w:type="dxa" w:w="1949"/>
          </w:tcPr>
          <w:p>
            <w:r/>
            <w:r>
              <w:rPr>
                <w:b w:val="0"/>
                <w:i w:val="0"/>
              </w:rPr>
              <w:t>Grave</w:t>
            </w:r>
          </w:p>
        </w:tc>
        <w:tc>
          <w:tcPr>
            <w:tcW w:type="dxa" w:w="1949"/>
          </w:tcPr>
          <w:p>
            <w:r/>
          </w:p>
        </w:tc>
        <w:tc>
          <w:tcPr>
            <w:tcW w:type="dxa" w:w="1949"/>
          </w:tcPr>
          <w:p>
            <w:r/>
            <w:r>
              <w:rPr>
                <w:b w:val="0"/>
                <w:i w:val="0"/>
              </w:rPr>
              <w:t>Suspensión de empleo y sueldo, según la escala de sanciones del ALEH VI</w:t>
            </w:r>
          </w:p>
        </w:tc>
        <w:tc>
          <w:tcPr>
            <w:tcW w:type="dxa" w:w="1949"/>
          </w:tcPr>
          <w:p>
            <w:r/>
            <w:r>
              <w:rPr>
                <w:b w:val="0"/>
                <w:i w:val="0"/>
              </w:rPr>
              <w:t>Art. 39.20 ALEH VI</w:t>
            </w:r>
          </w:p>
        </w:tc>
      </w:tr>
      <w:tr>
        <w:tc>
          <w:tcPr>
            <w:tcW w:type="dxa" w:w="1949"/>
          </w:tcPr>
          <w:p>
            <w:r/>
            <w:r>
              <w:rPr>
                <w:b w:val="0"/>
                <w:i w:val="0"/>
              </w:rPr>
              <w:t>Falta MUY GRAVE: no registrar la jornada</w:t>
            </w:r>
          </w:p>
        </w:tc>
        <w:tc>
          <w:tcPr>
            <w:tcW w:type="dxa" w:w="1949"/>
          </w:tcPr>
          <w:p>
            <w:r/>
            <w:r>
              <w:rPr>
                <w:b w:val="0"/>
                <w:i w:val="0"/>
              </w:rPr>
              <w:t>Muy grave</w:t>
            </w:r>
          </w:p>
        </w:tc>
        <w:tc>
          <w:tcPr>
            <w:tcW w:type="dxa" w:w="1949"/>
          </w:tcPr>
          <w:p>
            <w:r/>
            <w:r>
              <w:rPr>
                <w:b w:val="0"/>
                <w:i w:val="0"/>
              </w:rPr>
              <w:t>5 o más incumplimientos en un mes</w:t>
            </w:r>
          </w:p>
        </w:tc>
        <w:tc>
          <w:tcPr>
            <w:tcW w:type="dxa" w:w="1949"/>
          </w:tcPr>
          <w:p>
            <w:r/>
            <w:r>
              <w:rPr>
                <w:b w:val="0"/>
                <w:i w:val="0"/>
              </w:rPr>
              <w:t>Suspensión de empleo y sueldo o despido disciplinario, según la escala de sanciones del ALEH VI</w:t>
            </w:r>
          </w:p>
        </w:tc>
        <w:tc>
          <w:tcPr>
            <w:tcW w:type="dxa" w:w="1949"/>
          </w:tcPr>
          <w:p>
            <w:r/>
            <w:r>
              <w:rPr>
                <w:b w:val="0"/>
                <w:i w:val="0"/>
              </w:rPr>
              <w:t>Art. 40.14 ALEH VI</w:t>
            </w:r>
          </w:p>
        </w:tc>
      </w:tr>
    </w:tbl>
    <w:p/>
    <w:p>
      <w:pPr>
        <w:jc w:val="center"/>
      </w:pPr>
      <w:r>
        <w:rPr>
          <w:i/>
          <w:color w:val="444444"/>
        </w:rPr>
        <w:t>Verificado el 04-09-2026 · ALEH VI (BOE-A-2023-6344), modificado por la Resolución de la DGT de 25-08-2026 (BOE-A-2026-18630) · https://www.boe.es/diario_boe/txt.php?id=BOE-A-2026-18630</w:t>
      </w:r>
    </w:p>
    <w:p>
      <w:r>
        <w:br w:type="page"/>
      </w:r>
    </w:p>
    <w:p>
      <w:pPr>
        <w:pStyle w:val="Heading1"/>
      </w:pPr>
      <w:r>
        <w:t>12. Permisos, Vacaciones y Conciliación sin Sustos</w:t>
      </w:r>
    </w:p>
    <w:p>
      <w:pPr>
        <w:pStyle w:val="Heading2"/>
      </w:pPr>
      <w:r>
        <w:t>Vacaciones: días naturales, calendario y preaviso</w:t>
      </w:r>
    </w:p>
    <w:p>
      <w:r>
        <w:rPr>
          <w:b w:val="0"/>
          <w:i w:val="0"/>
        </w:rPr>
        <w:t>El manager (gerente/encargado) que recibe una petición de vacaciones a mitad de temporada tiene menos margen del que suele creer: el art. 38 del Estatuto de los Trabajadores fija un mínimo de 30 días naturales al año, retribuidos, y no se cambian por dinero salvo que el contrato se extinga antes de disfrutarlos, verificado el 4 de septiembre de 2026. La cifra se cuenta en NATURALES, no en laborables: dos semanas de vacaciones consumen catorce días de calendario, fines de semana y festivos incluidos, y quien monta el cuadrante (horario del personal) contando sólo los días de servicio descubre el descuadre cuando ya es tarde para corregirlo.</w:t>
      </w:r>
    </w:p>
    <w:p>
      <w:r>
        <w:rPr>
          <w:b w:val="0"/>
          <w:i w:val="0"/>
        </w:rPr>
        <w:t>El propio art. 38 ET exige que el calendario de vacaciones se conozca con una antelación mínima de dos meses antes de que empiece el disfrute. Esa antelación convierte las vacaciones en un problema de planificación, no en una negociación de última hora: con el calendario cerrado con dos meses de margen hay tiempo de reforzar la polivalencia del equipo y de repartir los periodos entre estaciones sin que dos personas imprescindibles para el mismo puesto libren la misma quincena. La plantilla del caso de La Encina, doce personas para cubrir 42 horas de apertura al público a la semana, sólo sostiene julio y agosto sin sobrecarga si ese calendario está cerrado desde mayo.</w:t>
      </w:r>
    </w:p>
    <w:p>
      <w:r>
        <w:rPr>
          <w:b w:val="0"/>
          <w:i w:val="0"/>
        </w:rPr>
        <w:t>La hoja «Permisos y Cómputo» del calendario de cumplimiento legal que acompaña este manual recoge diez figuras de permiso distintas, de las cuales seis están retribuidas y dos no lo están. Consultarla antes de contestar cualquier petición evita mezclar unas figuras con otras, que es exactamente el error que corrigen los dos epígrafes siguientes.</w:t>
      </w:r>
    </w:p>
    <w:p>
      <w:pPr>
        <w:pStyle w:val="Heading2"/>
      </w:pPr>
      <w:r>
        <w:t>Fallecimiento, accidente y enfermedad grave: los días que son y los que no</w:t>
      </w:r>
    </w:p>
    <w:p>
      <w:r>
        <w:rPr>
          <w:b w:val="0"/>
          <w:i w:val="0"/>
        </w:rPr>
        <w:t>El error más repetido en sala y en cocina es dar cinco días por el fallecimiento de un familiar. No son cinco: son dos, ampliables en dos más si hace falta desplazamiento, y lo fija la letra b del art. 37.3 del Estatuto de los Trabajadores, verificado el 4 de septiembre de 2026. Los cinco días existen, pero pertenecen a otra figura distinta: el accidente o la enfermedad graves, la hospitalización o la intervención quirúrgica sin hospitalización que precise reposo domiciliario, regulados en la letra b bis del mismo art. 37.3 ET. El Real Decreto-ley 5/2023 separó estas dos situaciones porque se venían confundiendo, y esa separación es la que hay que trasladar al equipo antes de contar días: primero se pregunta qué ha ocurrido, después se cuenta.</w:t>
      </w:r>
    </w:p>
    <w:p>
      <w:r>
        <w:rPr>
          <w:b w:val="0"/>
          <w:i w:val="0"/>
        </w:rPr>
        <w:t>Los cinco días de accidente o enfermedad graves alcanzan a más personas de las que se piensa: no sólo al cónyuge o a los hijos, también a la pareja de hecho y a cualquier persona conviviente que requiera un cuidado efectivo. Junto a estas dos figuras hay una tercera: la fuerza mayor familiar del art. 37.9 ET, que no se mide en días sino en horas de ausencia, con un máximo de cuatro horas al año. Resolver las tres con la misma frase -«tómate los días que necesites»- acierta en la intención y se equivoca en el cómputo, porque cada una activa una anotación distinta en el cuadrante.</w:t>
      </w:r>
    </w:p>
    <w:p>
      <w:pPr>
        <w:pStyle w:val="Heading2"/>
      </w:pPr>
      <w:r>
        <w:t>El permiso parental son DOS figuras y sólo una se paga</w:t>
      </w:r>
    </w:p>
    <w:p>
      <w:r>
        <w:rPr>
          <w:b w:val="0"/>
          <w:i w:val="0"/>
        </w:rPr>
        <w:t>Aquí está el segundo malentendido caro del capítulo. La primera figura es el permiso parental del art. 48 bis ET: hasta ocho semanas, continuas o discontinuas, disfrutables hasta que el menor cumpla ocho años, derecho individual e intransferible de cada progenitor. Es una SUSPENSIÓN del contrato, así lo tipifica la letra o del art. 45.1 ET, y el art. 45.2 ET establece que la suspensión exonera a las dos partes de trabajar y de remunerar el trabajo. Tampoco existe una prestación de la Seguridad Social que lo cubra. Ocho semanas sin retribución y sin prestación: eso es lo primero que hay que dejar claro cuando alguien las solicita.</w:t>
      </w:r>
    </w:p>
    <w:p>
      <w:r>
        <w:rPr>
          <w:b w:val="0"/>
          <w:i w:val="0"/>
        </w:rPr>
        <w:t>La segunda figura son las dos semanas de la letra c del art. 48.4 ET, cuatro en familias monoparentales, que desde el Real Decreto-ley 9/2025 forman parte del permiso por nacimiento y cuidado de menor. Se parecen a la primera casi punto por punto: también son para el cuidado del menor, también se disfrutan hasta que el hijo o la hija cumple ocho años y también son un derecho individual e intransferible. La diferencia que importa es que estas SÍ están retribuidas, porque el art. 177 de la Ley General de la Seguridad Social declara situación protegida los descansos de los apartados 4, 5 y 6 del art. 48 ET, y la prestación por nacimiento y cuidado de menor las cubre.</w:t>
      </w:r>
    </w:p>
    <w:p>
      <w:r>
        <w:rPr>
          <w:b w:val="0"/>
          <w:i w:val="0"/>
        </w:rPr>
        <w:t>Confundir las dos figuras cuesta dinero en las dos direcciones: tratar las dos semanas de la letra c como si fueran el permiso parental no retribuido es negar una prestación debida, y tratar el permiso parental como si lo cubriera la Seguridad Social es prometer un ingreso que no va a llegar. Antes de contestar, lo primero es preguntar cuál de las dos está pidiendo el equipo: las ocho semanas sin paga, o las dos semanas de la letra c, cuatro en monoparentalidad, que sí llegan con la prestación.</w:t>
      </w:r>
    </w:p>
    <w:p>
      <w:pPr>
        <w:pStyle w:val="Heading2"/>
      </w:pPr>
      <w:r>
        <w:t>Nacimiento y cuidado de menor: qué cambió y qué hay que planificar</w:t>
      </w:r>
    </w:p>
    <w:p>
      <w:r>
        <w:rPr>
          <w:b w:val="0"/>
          <w:i w:val="0"/>
        </w:rPr>
        <w:t>Desde el Real Decreto-ley 9/2025, el permiso por nacimiento y cuidado de menor es de 19 semanas para cada progenitor, 32 en familias monoparentales, y ya no de 16. La reforma modificó los apartados 4 y 5 del art. 48 ET, en vigor desde el 31 de julio de 2025. Un manager que siga cuadrando el cuadrante con la cifra anterior está planificando sobre un dato caducado, y ese error se repite cada vez que se abre una plaza nueva en el equipo.</w:t>
      </w:r>
    </w:p>
    <w:p>
      <w:r>
        <w:rPr>
          <w:b w:val="0"/>
          <w:i w:val="0"/>
        </w:rPr>
        <w:t>El permiso se reparte en tres tramos, y cada uno exige una gestión distinta del servicio. Las primeras 6 semanas son obligatorias, ininterrumpidas y a jornada completa justo después del parto: aquí no hay margen de reparto posible, la ausencia es total desde el primer día. Las 11 semanas siguientes -22 en monoparentalidad- se distribuyen a voluntad de la persona trabajadora hasta que el menor cumple doce meses, y la madre biológica puede además anticipar hasta cuatro semanas antes del parto: esta es la parte del permiso que un manager sí puede negociar con antelación, porque su calendario de disfrute no es fijo. Y las últimas 2 semanas -4 en monoparentalidad- son las que se confunden con el permiso parental no retribuido del art. 48 bis ET, y que en realidad sí llegan con la prestación de la Seguridad Social por estar cubiertas por la letra c del art. 48.4 ET. En adopción, guarda con fines de adopción y acogimiento, la duración es también de 19 semanas por persona adoptante.</w:t>
      </w:r>
    </w:p>
    <w:p>
      <w:r>
        <w:rPr>
          <w:b w:val="0"/>
          <w:i w:val="0"/>
        </w:rPr>
        <w:t>Lo que convierte este permiso en un problema de cuadrante y no en una sorpresa de un día para otro es el preaviso: la persona trabajadora tiene que comunicarlo a la empresa con quince días de antelación. Quince días bastan para localizar una sustitución, pero no sobran: si el manager espera a que el segundo tramo empiece para empezar a buscar cobertura, ya ha perdido la mitad del margen que la norma le da. La plantilla del caso de La Encina, doce personas repartidas por estación, sostiene un permiso de 19 semanas sólo si la persona sustituta entra formada antes de que arranque el tramo obligatorio, no después.</w:t>
      </w:r>
    </w:p>
    <w:p>
      <w:r>
        <w:rPr>
          <w:b w:val="0"/>
          <w:i w:val="0"/>
        </w:rPr>
        <w:t>Estas conversaciones no tienen por qué llegar como sorpresa el día del preaviso formal. La hoja «Uno a uno» del cuadernillo de reuniones y acuerdos del plan de noventa días recoge el seguimiento individual de las mismas doce personas del equipo, y es ahí donde suele asomar antes que en ningún otro sitio un cambio de situación familiar que más adelante se convierte en petición formal. Un manager que mantiene ese seguimiento periódico no se entera del permiso el día que llega el papel, sino semanas antes, cuando todavía hay margen para formar a la sustitución sin apretar el servicio.</w:t>
      </w:r>
    </w:p>
    <w:p>
      <w:pPr>
        <w:pStyle w:val="Heading2"/>
      </w:pPr>
      <w:r>
        <w:t>Guarda legal y adaptación de jornada: quién decide y qué pasa con el silencio</w:t>
      </w:r>
    </w:p>
    <w:p>
      <w:r>
        <w:rPr>
          <w:b w:val="0"/>
          <w:i w:val="0"/>
        </w:rPr>
        <w:t>Son las dos figuras que más discusiones generan en la práctica, y las dos se resuelven mal por el mismo motivo: dar por hecho que decide la empresa. En la reducción de jornada por guarda legal, art. 37.6 ET, la concreción horaria y el periodo de disfrute los elige la persona trabajadora dentro de su jornada ordinaria, no el manager: puede decidir, por ejemplo, entrar más tarde o salir antes dentro del mismo turno, y esa elección no se negocia servicio a servicio. La empresa puede discutir la reducción en sí en los supuestos que la norma prevé, pero no puede imponer un horario distinto al solicitado sólo porque encaje mejor en el cuadrante: si hay desacuerdo, la vía es judicial, no la negociación de sala.</w:t>
      </w:r>
    </w:p>
    <w:p>
      <w:r>
        <w:rPr>
          <w:b w:val="0"/>
          <w:i w:val="0"/>
        </w:rPr>
        <w:t>La adaptación de jornada por conciliación, art. 34.8 ET, funciona con una lógica distinta y más peligrosa para quien no la conoce: si la empresa no responde dentro del plazo que marca el procedimiento, la solicitud se entiende concedida. El silencio no es una posición neutral ni una prórroga cómoda; es una respuesta afirmativa por defecto. Dejar una petición de adaptación sin contestar, aunque sea por acumulación de trabajo o porque el manager esperaba consultarlo antes con dirección, produce el mismo efecto que haberla aprobado por escrito, y por eso las dos figuras se anotan en el cuadrante el día en que se piden, no el día en que la persona empieza a disfrutarlas: lo que deja descubierto un turno no es conceder lo que la ley ya ha decidido, es enterarse tarde y sin margen para organizar la cobertura.</w:t>
      </w:r>
    </w:p>
    <w:p>
      <w:r>
        <w:rPr>
          <w:b/>
          <w:i w:val="0"/>
        </w:rPr>
        <w:t>Permisos y cómputo, con las dos figuras del permiso parental separadas (calendario-cumplimiento-legal.xlsx, hoja «Permisos y Cómputo»)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w:t>
            </w:r>
          </w:p>
        </w:tc>
        <w:tc>
          <w:tcPr>
            <w:tcW w:type="dxa" w:w="1949"/>
          </w:tcPr>
          <w:p>
            <w:r/>
            <w:r>
              <w:rPr>
                <w:b/>
                <w:i w:val="0"/>
              </w:rPr>
              <w:t>Permiso o figura</w:t>
            </w:r>
          </w:p>
        </w:tc>
        <w:tc>
          <w:tcPr>
            <w:tcW w:type="dxa" w:w="1949"/>
          </w:tcPr>
          <w:p>
            <w:r/>
            <w:r>
              <w:rPr>
                <w:b/>
                <w:i w:val="0"/>
              </w:rPr>
              <w:t>Duración o cómputo</w:t>
            </w:r>
          </w:p>
        </w:tc>
        <w:tc>
          <w:tcPr>
            <w:tcW w:type="dxa" w:w="1949"/>
          </w:tcPr>
          <w:p>
            <w:r/>
            <w:r>
              <w:rPr>
                <w:b/>
                <w:i w:val="0"/>
              </w:rPr>
              <w:t>¿Retribuido?</w:t>
            </w:r>
          </w:p>
        </w:tc>
        <w:tc>
          <w:tcPr>
            <w:tcW w:type="dxa" w:w="1949"/>
          </w:tcPr>
          <w:p>
            <w:r/>
            <w:r>
              <w:rPr>
                <w:b/>
                <w:i w:val="0"/>
              </w:rPr>
              <w:t>Artículo</w:t>
            </w:r>
          </w:p>
        </w:tc>
      </w:tr>
      <w:tr>
        <w:tc>
          <w:tcPr>
            <w:tcW w:type="dxa" w:w="1949"/>
          </w:tcPr>
          <w:p>
            <w:r/>
            <w:r>
              <w:rPr>
                <w:b w:val="0"/>
                <w:i w:val="0"/>
              </w:rPr>
              <w:t>1</w:t>
            </w:r>
          </w:p>
        </w:tc>
        <w:tc>
          <w:tcPr>
            <w:tcW w:type="dxa" w:w="1949"/>
          </w:tcPr>
          <w:p>
            <w:r/>
            <w:r>
              <w:rPr>
                <w:b w:val="0"/>
                <w:i w:val="0"/>
              </w:rPr>
              <w:t>Vacaciones anuales</w:t>
            </w:r>
          </w:p>
        </w:tc>
        <w:tc>
          <w:tcPr>
            <w:tcW w:type="dxa" w:w="1949"/>
          </w:tcPr>
          <w:p>
            <w:r/>
            <w:r>
              <w:rPr>
                <w:b w:val="0"/>
                <w:i w:val="0"/>
              </w:rPr>
              <w:t>30 días naturales, no sustituibles por dinero salvo extinción</w:t>
            </w:r>
          </w:p>
        </w:tc>
        <w:tc>
          <w:tcPr>
            <w:tcW w:type="dxa" w:w="1949"/>
          </w:tcPr>
          <w:p>
            <w:r/>
            <w:r>
              <w:rPr>
                <w:b w:val="0"/>
                <w:i w:val="0"/>
              </w:rPr>
              <w:t>Sí</w:t>
            </w:r>
          </w:p>
        </w:tc>
        <w:tc>
          <w:tcPr>
            <w:tcW w:type="dxa" w:w="1949"/>
          </w:tcPr>
          <w:p>
            <w:r/>
            <w:r>
              <w:rPr>
                <w:b w:val="0"/>
                <w:i w:val="0"/>
              </w:rPr>
              <w:t>Art. 38 ET</w:t>
            </w:r>
          </w:p>
        </w:tc>
      </w:tr>
      <w:tr>
        <w:tc>
          <w:tcPr>
            <w:tcW w:type="dxa" w:w="1949"/>
          </w:tcPr>
          <w:p>
            <w:r/>
            <w:r>
              <w:rPr>
                <w:b w:val="0"/>
                <w:i w:val="0"/>
              </w:rPr>
              <w:t>2</w:t>
            </w:r>
          </w:p>
        </w:tc>
        <w:tc>
          <w:tcPr>
            <w:tcW w:type="dxa" w:w="1949"/>
          </w:tcPr>
          <w:p>
            <w:r/>
            <w:r>
              <w:rPr>
                <w:b w:val="0"/>
                <w:i w:val="0"/>
              </w:rPr>
              <w:t>Preaviso del calendario de vacaciones</w:t>
            </w:r>
          </w:p>
        </w:tc>
        <w:tc>
          <w:tcPr>
            <w:tcW w:type="dxa" w:w="1949"/>
          </w:tcPr>
          <w:p>
            <w:r/>
            <w:r>
              <w:rPr>
                <w:b w:val="0"/>
                <w:i w:val="0"/>
              </w:rPr>
              <w:t>2 meses antes del disfrute</w:t>
            </w:r>
          </w:p>
        </w:tc>
        <w:tc>
          <w:tcPr>
            <w:tcW w:type="dxa" w:w="1949"/>
          </w:tcPr>
          <w:p>
            <w:r/>
            <w:r>
              <w:rPr>
                <w:b w:val="0"/>
                <w:i w:val="0"/>
              </w:rPr>
              <w:t>No aplica</w:t>
            </w:r>
          </w:p>
        </w:tc>
        <w:tc>
          <w:tcPr>
            <w:tcW w:type="dxa" w:w="1949"/>
          </w:tcPr>
          <w:p>
            <w:r/>
            <w:r>
              <w:rPr>
                <w:b w:val="0"/>
                <w:i w:val="0"/>
              </w:rPr>
              <w:t>Art. 38.3 ET</w:t>
            </w:r>
          </w:p>
        </w:tc>
      </w:tr>
      <w:tr>
        <w:tc>
          <w:tcPr>
            <w:tcW w:type="dxa" w:w="1949"/>
          </w:tcPr>
          <w:p>
            <w:r/>
            <w:r>
              <w:rPr>
                <w:b w:val="0"/>
                <w:i w:val="0"/>
              </w:rPr>
              <w:t>3</w:t>
            </w:r>
          </w:p>
        </w:tc>
        <w:tc>
          <w:tcPr>
            <w:tcW w:type="dxa" w:w="1949"/>
          </w:tcPr>
          <w:p>
            <w:r/>
            <w:r>
              <w:rPr>
                <w:b w:val="0"/>
                <w:i w:val="0"/>
              </w:rPr>
              <w:t>Fallecimiento de cónyuge, pareja de hecho o pariente hasta 2.º grado</w:t>
            </w:r>
          </w:p>
        </w:tc>
        <w:tc>
          <w:tcPr>
            <w:tcW w:type="dxa" w:w="1949"/>
          </w:tcPr>
          <w:p>
            <w:r/>
            <w:r>
              <w:rPr>
                <w:b w:val="0"/>
                <w:i w:val="0"/>
              </w:rPr>
              <w:t>2 días, ampliables a 4 si hay desplazamiento</w:t>
            </w:r>
          </w:p>
        </w:tc>
        <w:tc>
          <w:tcPr>
            <w:tcW w:type="dxa" w:w="1949"/>
          </w:tcPr>
          <w:p>
            <w:r/>
            <w:r>
              <w:rPr>
                <w:b w:val="0"/>
                <w:i w:val="0"/>
              </w:rPr>
              <w:t>Sí</w:t>
            </w:r>
          </w:p>
        </w:tc>
        <w:tc>
          <w:tcPr>
            <w:tcW w:type="dxa" w:w="1949"/>
          </w:tcPr>
          <w:p>
            <w:r/>
            <w:r>
              <w:rPr>
                <w:b w:val="0"/>
                <w:i w:val="0"/>
              </w:rPr>
              <w:t>Art. 37.3.b ET</w:t>
            </w:r>
          </w:p>
        </w:tc>
      </w:tr>
      <w:tr>
        <w:tc>
          <w:tcPr>
            <w:tcW w:type="dxa" w:w="1949"/>
          </w:tcPr>
          <w:p>
            <w:r/>
            <w:r>
              <w:rPr>
                <w:b w:val="0"/>
                <w:i w:val="0"/>
              </w:rPr>
              <w:t>4</w:t>
            </w:r>
          </w:p>
        </w:tc>
        <w:tc>
          <w:tcPr>
            <w:tcW w:type="dxa" w:w="1949"/>
          </w:tcPr>
          <w:p>
            <w:r/>
            <w:r>
              <w:rPr>
                <w:b w:val="0"/>
                <w:i w:val="0"/>
              </w:rPr>
              <w:t>Accidente o enfermedad graves, hospitalización o intervención que precise reposo</w:t>
            </w:r>
          </w:p>
        </w:tc>
        <w:tc>
          <w:tcPr>
            <w:tcW w:type="dxa" w:w="1949"/>
          </w:tcPr>
          <w:p>
            <w:r/>
            <w:r>
              <w:rPr>
                <w:b w:val="0"/>
                <w:i w:val="0"/>
              </w:rPr>
              <w:t>5 días</w:t>
            </w:r>
          </w:p>
        </w:tc>
        <w:tc>
          <w:tcPr>
            <w:tcW w:type="dxa" w:w="1949"/>
          </w:tcPr>
          <w:p>
            <w:r/>
            <w:r>
              <w:rPr>
                <w:b w:val="0"/>
                <w:i w:val="0"/>
              </w:rPr>
              <w:t>Sí</w:t>
            </w:r>
          </w:p>
        </w:tc>
        <w:tc>
          <w:tcPr>
            <w:tcW w:type="dxa" w:w="1949"/>
          </w:tcPr>
          <w:p>
            <w:r/>
            <w:r>
              <w:rPr>
                <w:b w:val="0"/>
                <w:i w:val="0"/>
              </w:rPr>
              <w:t>Art. 37.3.b ET</w:t>
            </w:r>
          </w:p>
        </w:tc>
      </w:tr>
      <w:tr>
        <w:tc>
          <w:tcPr>
            <w:tcW w:type="dxa" w:w="1949"/>
          </w:tcPr>
          <w:p>
            <w:r/>
            <w:r>
              <w:rPr>
                <w:b w:val="0"/>
                <w:i w:val="0"/>
              </w:rPr>
              <w:t>5</w:t>
            </w:r>
          </w:p>
        </w:tc>
        <w:tc>
          <w:tcPr>
            <w:tcW w:type="dxa" w:w="1949"/>
          </w:tcPr>
          <w:p>
            <w:r/>
            <w:r>
              <w:rPr>
                <w:b w:val="0"/>
                <w:i w:val="0"/>
              </w:rPr>
              <w:t>Fuerza mayor familiar</w:t>
            </w:r>
          </w:p>
        </w:tc>
        <w:tc>
          <w:tcPr>
            <w:tcW w:type="dxa" w:w="1949"/>
          </w:tcPr>
          <w:p>
            <w:r/>
            <w:r>
              <w:rPr>
                <w:b w:val="0"/>
                <w:i w:val="0"/>
              </w:rPr>
              <w:t>Hasta 4 días al año, computados POR HORAS</w:t>
            </w:r>
          </w:p>
        </w:tc>
        <w:tc>
          <w:tcPr>
            <w:tcW w:type="dxa" w:w="1949"/>
          </w:tcPr>
          <w:p>
            <w:r/>
            <w:r>
              <w:rPr>
                <w:b w:val="0"/>
                <w:i w:val="0"/>
              </w:rPr>
              <w:t>Sí</w:t>
            </w:r>
          </w:p>
        </w:tc>
        <w:tc>
          <w:tcPr>
            <w:tcW w:type="dxa" w:w="1949"/>
          </w:tcPr>
          <w:p>
            <w:r/>
            <w:r>
              <w:rPr>
                <w:b w:val="0"/>
                <w:i w:val="0"/>
              </w:rPr>
              <w:t>Art. 37.9 ET</w:t>
            </w:r>
          </w:p>
        </w:tc>
      </w:tr>
      <w:tr>
        <w:tc>
          <w:tcPr>
            <w:tcW w:type="dxa" w:w="1949"/>
          </w:tcPr>
          <w:p>
            <w:r/>
            <w:r>
              <w:rPr>
                <w:b w:val="0"/>
                <w:i w:val="0"/>
              </w:rPr>
              <w:t>6</w:t>
            </w:r>
          </w:p>
        </w:tc>
        <w:tc>
          <w:tcPr>
            <w:tcW w:type="dxa" w:w="1949"/>
          </w:tcPr>
          <w:p>
            <w:r/>
            <w:r>
              <w:rPr>
                <w:b w:val="0"/>
                <w:i w:val="0"/>
              </w:rPr>
              <w:t>Permiso parental hasta los 8 años</w:t>
            </w:r>
          </w:p>
        </w:tc>
        <w:tc>
          <w:tcPr>
            <w:tcW w:type="dxa" w:w="1949"/>
          </w:tcPr>
          <w:p>
            <w:r/>
            <w:r>
              <w:rPr>
                <w:b w:val="0"/>
                <w:i w:val="0"/>
              </w:rPr>
              <w:t>8 semanas NO retribuidas</w:t>
            </w:r>
          </w:p>
        </w:tc>
        <w:tc>
          <w:tcPr>
            <w:tcW w:type="dxa" w:w="1949"/>
          </w:tcPr>
          <w:p>
            <w:r/>
            <w:r>
              <w:rPr>
                <w:b w:val="0"/>
                <w:i w:val="0"/>
              </w:rPr>
              <w:t>No</w:t>
            </w:r>
          </w:p>
        </w:tc>
        <w:tc>
          <w:tcPr>
            <w:tcW w:type="dxa" w:w="1949"/>
          </w:tcPr>
          <w:p>
            <w:r/>
            <w:r>
              <w:rPr>
                <w:b w:val="0"/>
                <w:i w:val="0"/>
              </w:rPr>
              <w:t>Art. 48 bis ET</w:t>
            </w:r>
          </w:p>
        </w:tc>
      </w:tr>
      <w:tr>
        <w:tc>
          <w:tcPr>
            <w:tcW w:type="dxa" w:w="1949"/>
          </w:tcPr>
          <w:p>
            <w:r/>
            <w:r>
              <w:rPr>
                <w:b w:val="0"/>
                <w:i w:val="0"/>
              </w:rPr>
              <w:t>7</w:t>
            </w:r>
          </w:p>
        </w:tc>
        <w:tc>
          <w:tcPr>
            <w:tcW w:type="dxa" w:w="1949"/>
          </w:tcPr>
          <w:p>
            <w:r/>
            <w:r>
              <w:rPr>
                <w:b w:val="0"/>
                <w:i w:val="0"/>
              </w:rPr>
              <w:t>Permiso parental retribuido hasta los 8 años</w:t>
            </w:r>
          </w:p>
        </w:tc>
        <w:tc>
          <w:tcPr>
            <w:tcW w:type="dxa" w:w="1949"/>
          </w:tcPr>
          <w:p>
            <w:r/>
            <w:r>
              <w:rPr>
                <w:b w:val="0"/>
                <w:i w:val="0"/>
              </w:rPr>
              <w:t>2 semanas retribuidas</w:t>
            </w:r>
          </w:p>
        </w:tc>
        <w:tc>
          <w:tcPr>
            <w:tcW w:type="dxa" w:w="1949"/>
          </w:tcPr>
          <w:p>
            <w:r/>
            <w:r>
              <w:rPr>
                <w:b w:val="0"/>
                <w:i w:val="0"/>
              </w:rPr>
              <w:t>Sí</w:t>
            </w:r>
          </w:p>
        </w:tc>
        <w:tc>
          <w:tcPr>
            <w:tcW w:type="dxa" w:w="1949"/>
          </w:tcPr>
          <w:p>
            <w:r/>
            <w:r>
              <w:rPr>
                <w:b w:val="0"/>
                <w:i w:val="0"/>
              </w:rPr>
              <w:t>Art. 48.4.c ET (RDL 9/2025); prestación del art. 177 LGSS</w:t>
            </w:r>
          </w:p>
        </w:tc>
      </w:tr>
      <w:tr>
        <w:tc>
          <w:tcPr>
            <w:tcW w:type="dxa" w:w="1949"/>
          </w:tcPr>
          <w:p>
            <w:r/>
            <w:r>
              <w:rPr>
                <w:b w:val="0"/>
                <w:i w:val="0"/>
              </w:rPr>
              <w:t>8</w:t>
            </w:r>
          </w:p>
        </w:tc>
        <w:tc>
          <w:tcPr>
            <w:tcW w:type="dxa" w:w="1949"/>
          </w:tcPr>
          <w:p>
            <w:r/>
            <w:r>
              <w:rPr>
                <w:b w:val="0"/>
                <w:i w:val="0"/>
              </w:rPr>
              <w:t>Nacimiento y cuidado de menor</w:t>
            </w:r>
          </w:p>
        </w:tc>
        <w:tc>
          <w:tcPr>
            <w:tcW w:type="dxa" w:w="1949"/>
          </w:tcPr>
          <w:p>
            <w:r/>
            <w:r>
              <w:rPr>
                <w:b w:val="0"/>
                <w:i w:val="0"/>
              </w:rPr>
              <w:t>19 semanas por progenitor (32 en monoparentalidad)</w:t>
            </w:r>
          </w:p>
        </w:tc>
        <w:tc>
          <w:tcPr>
            <w:tcW w:type="dxa" w:w="1949"/>
          </w:tcPr>
          <w:p>
            <w:r/>
            <w:r>
              <w:rPr>
                <w:b w:val="0"/>
                <w:i w:val="0"/>
              </w:rPr>
              <w:t>Sí</w:t>
            </w:r>
          </w:p>
        </w:tc>
        <w:tc>
          <w:tcPr>
            <w:tcW w:type="dxa" w:w="1949"/>
          </w:tcPr>
          <w:p>
            <w:r/>
            <w:r>
              <w:rPr>
                <w:b w:val="0"/>
                <w:i w:val="0"/>
              </w:rPr>
              <w:t>Art. 48.4 ET (RDL 9/2025)</w:t>
            </w:r>
          </w:p>
        </w:tc>
      </w:tr>
      <w:tr>
        <w:tc>
          <w:tcPr>
            <w:tcW w:type="dxa" w:w="1949"/>
          </w:tcPr>
          <w:p>
            <w:r/>
            <w:r>
              <w:rPr>
                <w:b w:val="0"/>
                <w:i w:val="0"/>
              </w:rPr>
              <w:t>9</w:t>
            </w:r>
          </w:p>
        </w:tc>
        <w:tc>
          <w:tcPr>
            <w:tcW w:type="dxa" w:w="1949"/>
          </w:tcPr>
          <w:p>
            <w:r/>
            <w:r>
              <w:rPr>
                <w:b w:val="0"/>
                <w:i w:val="0"/>
              </w:rPr>
              <w:t>Guarda legal: reducción de jornada</w:t>
            </w:r>
          </w:p>
        </w:tc>
        <w:tc>
          <w:tcPr>
            <w:tcW w:type="dxa" w:w="1949"/>
          </w:tcPr>
          <w:p>
            <w:r/>
            <w:r>
              <w:rPr>
                <w:b w:val="0"/>
                <w:i w:val="0"/>
              </w:rPr>
              <w:t>La concreción horaria la elige la persona trabajadora dentro de su jornada ordinaria</w:t>
            </w:r>
          </w:p>
        </w:tc>
        <w:tc>
          <w:tcPr>
            <w:tcW w:type="dxa" w:w="1949"/>
          </w:tcPr>
          <w:p>
            <w:r/>
            <w:r>
              <w:rPr>
                <w:b w:val="0"/>
                <w:i w:val="0"/>
              </w:rPr>
              <w:t>No</w:t>
            </w:r>
          </w:p>
        </w:tc>
        <w:tc>
          <w:tcPr>
            <w:tcW w:type="dxa" w:w="1949"/>
          </w:tcPr>
          <w:p>
            <w:r/>
            <w:r>
              <w:rPr>
                <w:b w:val="0"/>
                <w:i w:val="0"/>
              </w:rPr>
              <w:t>Art. 37.6 y 37.7 ET</w:t>
            </w:r>
          </w:p>
        </w:tc>
      </w:tr>
      <w:tr>
        <w:tc>
          <w:tcPr>
            <w:tcW w:type="dxa" w:w="1949"/>
          </w:tcPr>
          <w:p>
            <w:r/>
            <w:r>
              <w:rPr>
                <w:b w:val="0"/>
                <w:i w:val="0"/>
              </w:rPr>
              <w:t>10</w:t>
            </w:r>
          </w:p>
        </w:tc>
        <w:tc>
          <w:tcPr>
            <w:tcW w:type="dxa" w:w="1949"/>
          </w:tcPr>
          <w:p>
            <w:r/>
            <w:r>
              <w:rPr>
                <w:b w:val="0"/>
                <w:i w:val="0"/>
              </w:rPr>
              <w:t>Adaptación de jornada por conciliación</w:t>
            </w:r>
          </w:p>
        </w:tc>
        <w:tc>
          <w:tcPr>
            <w:tcW w:type="dxa" w:w="1949"/>
          </w:tcPr>
          <w:p>
            <w:r/>
            <w:r>
              <w:rPr>
                <w:b w:val="0"/>
                <w:i w:val="0"/>
              </w:rPr>
              <w:t>Si la empresa no contesta en el plazo legal, se entiende CONCEDIDA</w:t>
            </w:r>
          </w:p>
        </w:tc>
        <w:tc>
          <w:tcPr>
            <w:tcW w:type="dxa" w:w="1949"/>
          </w:tcPr>
          <w:p>
            <w:r/>
            <w:r>
              <w:rPr>
                <w:b w:val="0"/>
                <w:i w:val="0"/>
              </w:rPr>
              <w:t>No aplica</w:t>
            </w:r>
          </w:p>
        </w:tc>
        <w:tc>
          <w:tcPr>
            <w:tcW w:type="dxa" w:w="1949"/>
          </w:tcPr>
          <w:p>
            <w:r/>
            <w:r>
              <w:rPr>
                <w:b w:val="0"/>
                <w:i w:val="0"/>
              </w:rPr>
              <w:t>Art. 34.8 ET</w:t>
            </w:r>
          </w:p>
        </w:tc>
      </w:tr>
    </w:tbl>
    <w:p/>
    <w:p>
      <w:pPr>
        <w:jc w:val="center"/>
      </w:pPr>
      <w:r>
        <w:rPr>
          <w:i/>
          <w:color w:val="444444"/>
        </w:rPr>
        <w:t>Verificado el 04-09-2026 · Art. 34.9 y concordantes del Estatuto de los Trabajadores (RDLeg 2/2015) · https://www.boe.es/buscar/act.php?id=BOE-A-2015-11430</w:t>
      </w:r>
    </w:p>
    <w:p>
      <w:r>
        <w:br w:type="page"/>
      </w:r>
    </w:p>
    <w:p>
      <w:pPr>
        <w:pStyle w:val="Heading1"/>
      </w:pPr>
      <w:r>
        <w:t>13. Rotación, Absentismo y Polivalencia: Qué se Puede Medir de Verdad</w:t>
      </w:r>
    </w:p>
    <w:p>
      <w:pPr>
        <w:pStyle w:val="Heading2"/>
      </w:pPr>
      <w:r>
        <w:t>Tres indicadores distintos y una fórmula para cada uno</w:t>
      </w:r>
    </w:p>
    <w:p>
      <w:r>
        <w:rPr>
          <w:b w:val="0"/>
          <w:i w:val="0"/>
        </w:rPr>
        <w:t>Rotación, absentismo y temporalidad no son el mismo problema, y un manager (gerente/encargado) que los mezcla en una sola cifra no sabe qué está midiendo ni qué palanca mover. Tres fórmulas que se aplican el mismo día, con los datos que ya están en la hoja de personal:</w:t>
      </w:r>
    </w:p>
    <w:p>
      <w:pPr>
        <w:pStyle w:val="ListBullet"/>
      </w:pPr>
      <w:r>
        <w:rPr>
          <w:b w:val="0"/>
          <w:i w:val="0"/>
        </w:rPr>
        <w:t>Rotación: bajas del periodo dividido entre plantilla media del periodo. El cociente, por cien, se lee como el porcentaje de ESE periodo; extrapolarlo a un año sin decirlo distorsiona la lectura.</w:t>
      </w:r>
    </w:p>
    <w:p>
      <w:pPr>
        <w:pStyle w:val="ListBullet"/>
      </w:pPr>
      <w:r>
        <w:rPr>
          <w:b w:val="0"/>
          <w:i w:val="0"/>
        </w:rPr>
        <w:t>Absentismo: horas no trabajadas por ausencia dividido entre horas pactadas. Las vacaciones y las fiestas quedan FUERA del numerador: no son ausencia, son descanso pactado, y meterlas dentro infla la cifra y esconde lo que hay que vigilar, la baja médica y el permiso no planificado.</w:t>
      </w:r>
    </w:p>
    <w:p>
      <w:pPr>
        <w:pStyle w:val="ListBullet"/>
      </w:pPr>
      <w:r>
        <w:rPr>
          <w:b w:val="0"/>
          <w:i w:val="0"/>
        </w:rPr>
        <w:t>Temporalidad: contratos temporales dividido entre el total de asalariados. Dice si la plantilla se sostiene con gente fija que puede crecer en la matriz de polivalencia o con contratos cortos que se marchan antes de formarse.</w:t>
      </w:r>
    </w:p>
    <w:p>
      <w:r>
        <w:rPr>
          <w:b w:val="0"/>
          <w:i w:val="0"/>
        </w:rPr>
        <w:t>Las tres se calculan sobre el mismo periodo y la misma unidad de conteo, y ninguna orienta gran cosa mirada una sola vez: lo útil es la serie comparada consigo misma, mes a mes o trimestre a trimestre.</w:t>
      </w:r>
    </w:p>
    <w:p>
      <w:pPr>
        <w:pStyle w:val="Heading2"/>
      </w:pPr>
      <w:r>
        <w:t>Qué dato existe para hostelería y cuál no</w:t>
      </w:r>
    </w:p>
    <w:p>
      <w:r>
        <w:rPr>
          <w:b w:val="0"/>
          <w:i w:val="0"/>
        </w:rPr>
        <w:t>La cifra de rotación de hostelería que circula en presentaciones comerciales de software de gestión no tiene detrás un informe publicado: al rastrear la fuente aparecen dos emisores distintos reclamándola cada uno como propia, sin remitir a ningún estudio. Este manual no la reproduce: se calcula con la fórmula anterior y la plantilla real del lector.</w:t>
      </w:r>
    </w:p>
    <w:p>
      <w:r>
        <w:rPr>
          <w:b w:val="0"/>
          <w:i w:val="0"/>
        </w:rPr>
        <w:t>El absentismo sí tiene fuente oficial para hostelería: el INE publica horas pactadas y no trabajadas por trabajador y mes, por sección de actividad, no solo hasta «sector servicios» como algunos paneles privados. En el primer trimestre de 2026, por trabajador y mes, la hostelería tuvo 132,9 horas pactadas y 15,5 no trabajadas, de las que 6,2 fueron vacaciones y fiestas y 7,9 incapacidad temporal (INE, Encuesta Trimestral de Coste Laboral, tabla 6043, 1T 2026). Descontando vacaciones y fiestas del numerador, esas horas dan un 7,0 % de absentismo, y un 5,9 % si se aísla solo la baja médica; el conjunto de la economía española da 7,3 % y 5,6 %. La hostelería no tiene más absentismo total que la media, pero sí algo más de baja médica. Son cálculo propio sobre horas oficiales: el INE publica las horas, no una tasa de absentismo.</w:t>
      </w:r>
    </w:p>
    <w:p>
      <w:r>
        <w:rPr>
          <w:b w:val="0"/>
          <w:i w:val="0"/>
        </w:rPr>
        <w:t>El coste laboral bruto por trabajador y año en hostelería es, de las 18 secciones de la encuesta, el más bajo de todas: 23.690,02 € frente a 38.748,94 € de media nacional, un 61 % de esa media (INE, Encuesta Anual de Coste Laboral 2025, resultados por secciones de la CNAE-09). Contexto obligado para leer cualquier cifra de rotación o de absentismo del sector.</w:t>
      </w:r>
    </w:p>
    <w:p>
      <w:r>
        <w:rPr>
          <w:b w:val="0"/>
          <w:i w:val="0"/>
        </w:rPr>
        <w:t>La supervivencia empresarial es el tercer dato honesto de este capítulo, y se da en positivo. El INE sigue por cohorte a las empresas nacidas en un año: de las 34.933 de hostelería -CNAE 55, alojamiento, y CNAE 56, comidas y bebidas- nacidas en 2018, sobrevive el 75,6 % al año, el 61,6 % a los dos, el 53,5 % a los tres, el 45,2 % a los cuatro y el 38,8 % a los cinco (INE, Demografía Armonizada de Empresas, año 2023, anexo de tablas por CNAE). Esa cohorte atraviesa la pandemia, así que la caída no responde solo a causas estructurales. Para el conjunto de todas las actividades, la misma fuente da 76,9 %, 63,5 %, 55,3 %, 47,5 % y 41,9 % a uno, dos, tres, cuatro y cinco años: el 63,5 % es a los dos años, no a los tres, y de todas las actividades, no solo de hostelería. Ninguna de las dos series se convierte en tasa de cierre de restaurantes: no existe estadística oficial de mortalidad para esa subclase, y lo único citable es la supervivencia, con su cohorte y su año.</w:t>
      </w:r>
    </w:p>
    <w:p>
      <w:pPr>
        <w:pStyle w:val="Heading2"/>
      </w:pPr>
      <w:r>
        <w:t>La matriz de polivalencia y el punto único de fallo</w:t>
      </w:r>
    </w:p>
    <w:p>
      <w:r>
        <w:rPr>
          <w:b w:val="0"/>
          <w:i w:val="0"/>
        </w:rPr>
        <w:t>La matriz de polivalencia pone en números algo que cualquier encargado de sala o de cocina sabe de memoria pero rara vez tiene por escrito: quién cubre cada estación, con qué nivel y qué pasa si esa persona falta un día. Tres niveles: el mínimo para dar la estación en solitario en un turno de cubierta, el nivel desde el que esa persona puede enseñarla a otra, y el umbral de punto único de fallo, que salta en cuanto una estación depende de una sola persona capaz de sostenerla sin ayuda. Ese umbral señala dónde se rompe el servicio si esa persona libra, cae enferma o se marcha.</w:t>
      </w:r>
    </w:p>
    <w:p>
      <w:r>
        <w:rPr>
          <w:b w:val="0"/>
          <w:i w:val="0"/>
        </w:rPr>
        <w:t>En el pack de este manual, la hoja «Cobertura por Estación» de la matriz de formación y polivalencia registra 12 personas sobre 6 estaciones. De esas 6, hay 1 en riesgo de punto único de fallo, un 16,7 % del total: fríos y entrantes, sostenida por 1 sola persona, con una cobertura del 8,3 % frente al resto de la plantilla registrada. No es un defecto de la plantilla: es la fotografía honesta de dónde está el riesgo real, justo lo que un cuadrante (horario del personal) bien hecho no enseña por sí solo, porque dice quién trabaja cada turno, no quién más sabe hacer ese puesto. La tabla siguiente detalla, estación por estación, quién la sostiene hoy y quién está ya en condiciones de enseñarla.</w:t>
      </w:r>
    </w:p>
    <w:p>
      <w:pPr>
        <w:pStyle w:val="Heading2"/>
      </w:pPr>
      <w:r>
        <w:t>El plan de cross-training: quién enseña a quién y para cuándo</w:t>
      </w:r>
    </w:p>
    <w:p>
      <w:r>
        <w:rPr>
          <w:b w:val="0"/>
          <w:i w:val="0"/>
        </w:rPr>
        <w:t>La matriz de polivalencia diagnostica; el plan de cross-training decide. Un diagnóstico sin fecha solo sirve para preocuparse, y para dejar de estarlo hacen falta cuatro cosas juntas: quién sube de nivel, en qué estación concreta, quién es la persona que le enseña y para cuándo tiene que estar hecho. Falta una de las cuatro y el plan no existe, por muy bien argumentado que quede en una reunión.</w:t>
      </w:r>
    </w:p>
    <w:p>
      <w:r>
        <w:rPr>
          <w:b w:val="0"/>
          <w:i w:val="0"/>
        </w:rPr>
        <w:t>El orden de prioridad lo marca la propia matriz, no la comodidad del cuadro de turnos: se empieza por la estación con menos cobertura, no por la que resulte más fácil de encajar en el calendario. Y la persona que enseña tiene que estar ya en el nivel de la matriz que habilita para formar a otros, no solo en el mínimo para cubrir la estación en solitario: dominar un puesto y saber transmitirlo son dos niveles distintos, y confundirlos deja el plan escrito sin nadie capaz de ejecutarlo.</w:t>
      </w:r>
    </w:p>
    <w:p>
      <w:r>
        <w:rPr>
          <w:b w:val="0"/>
          <w:i w:val="0"/>
        </w:rPr>
        <w:t>La urgencia no es un capricho de manual: la hostelería invierte en formar a su gente una cuarta parte de lo que invierte la media de la economía española, por trabajador y año: 20,14 € frente a 76,49 € de media (INE, Encuesta Anual de Coste Laboral 2025). Con esa distancia, ninguna estación en riesgo se resuelve sola ni por rotación natural de turnos: se resuelve señalando, con fecha, quién va a aprender la estación descubierta este trimestre y quién de la plantilla ya cualificada se la va a enseñar.</w:t>
      </w:r>
    </w:p>
    <w:p>
      <w:r>
        <w:rPr>
          <w:b w:val="0"/>
          <w:i w:val="0"/>
        </w:rPr>
        <w:t>En el pack de este manual, la hoja «Plan de Cross-Training» de la matriz de formación y polivalencia registra 8 acciones. Cada una lleva la persona que sube de nivel, la estación, quién enseña y la fecha objetivo; ese es el formato mínimo que convierte una alerta de punto único de fallo en un compromiso con calendario. Un plan con menos de esas cuatro columnas rellenas es una lista de intenciones, no una hoja de ruta, y no cierra el hueco que la matriz dejó al descubierto. Cada acción que se cierra sube de nivel a una persona en una estación concreta, y con eso reduce el peso de las estaciones en riesgo sobre el total; a cuánto baja lo dice la propia hoja según se vayan completando las acciones, no una proyección de este capítulo.</w:t>
      </w:r>
    </w:p>
    <w:p>
      <w:pPr>
        <w:pStyle w:val="Heading2"/>
      </w:pPr>
      <w:r>
        <w:t>Cuánto te cuesta de verdad una baja</w:t>
      </w:r>
    </w:p>
    <w:p>
      <w:r>
        <w:rPr>
          <w:b w:val="0"/>
          <w:i w:val="0"/>
        </w:rPr>
        <w:t>El coste de una baja se calcula en dos bloques, y hacen falta los dos para que la cifra tenga peso delante del propietario. El primero es el coste directo: las horas de selección, las horas de la persona que enseña al sustituto y las horas de la persona nueva mientras rinde por debajo de lo que rendía quien se fue. En el pack de este manual, ese bloque suma 1.194,00 € (hoja «Coste de una Baja» de la matriz de formación y polivalencia). Las horas que alimentan este cálculo son datos propios del lector, no un promedio de mercado: el tiempo de selección, el coste de la hora de quien enseña y la duración del rendimiento bajo de una incorporación cambian de un restaurante a otro, y por eso en la herramienta son casillas editables y no una tabla fija para todos.</w:t>
      </w:r>
    </w:p>
    <w:p>
      <w:r>
        <w:rPr>
          <w:b w:val="0"/>
          <w:i w:val="0"/>
        </w:rPr>
        <w:t>El segundo bloque es el que casi nunca se cuenta: el margen que no se gana mientras el equipo va corto de manos y el servicio se resiente, aunque nadie lo apunte en ningún libro de caja. En este manual asciende a 1.881,87 €. Coste directo y margen no ganado dan, juntos, un impacto estimado de la baja de 3.075,87 €, la cifra completa que hay que llevar a la conversación sobre presupuesto de formación, no solo la parte visible del coste directo.</w:t>
      </w:r>
    </w:p>
    <w:p>
      <w:r>
        <w:rPr>
          <w:b w:val="0"/>
          <w:i w:val="0"/>
        </w:rPr>
        <w:t>Es la cifra con la que se defiende un plan de cross-training ante quien firma el gasto: no como una intuición de que «hace falta formar más», sino como un impacto ya calculado con las horas y el margen de la propia casa. La matriz de polivalencia enseña dónde está el riesgo; el coste de una baja explica por qué merece la pena resolverlo antes de que se materialice, y el plan de cross-training dice exactamente cuándo.</w:t>
      </w:r>
    </w:p>
    <w:p>
      <w:r>
        <w:rPr>
          <w:b w:val="0"/>
          <w:i w:val="0"/>
        </w:rPr>
        <w:t>Una estación con más de una persona capaz de sostenerla no elimina el coste de una baja, pero acorta la parte más cara de los dos bloques: el tiempo en el que la persona nueva rinde por debajo de lo que rendía quien se fue, porque ya hay alguien formado para sostener el servicio mientras tanto. Es el punto exacto donde se conectan la matriz de polivalencia y el coste de una baja: cerrar un punto único de fallo no es solo apagar una alerta de riesgo, es una manera concreta de abaratar la próxima baja antes de que ocurra.</w:t>
      </w:r>
    </w:p>
    <w:p>
      <w:r>
        <w:rPr>
          <w:b/>
          <w:i w:val="0"/>
        </w:rPr>
        <w:t>Cobertura por estación: quién la sostiene, quién puede enseñarla y dónde salta la alerta (matriz-formacion-polivalencia.xlsx, hoja «Cobertura por Estación»)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Estación</w:t>
            </w:r>
          </w:p>
        </w:tc>
        <w:tc>
          <w:tcPr>
            <w:tcW w:type="dxa" w:w="1949"/>
          </w:tcPr>
          <w:p>
            <w:r/>
            <w:r>
              <w:rPr>
                <w:b/>
                <w:i w:val="0"/>
              </w:rPr>
              <w:t>Personas que la sostienen</w:t>
            </w:r>
          </w:p>
        </w:tc>
        <w:tc>
          <w:tcPr>
            <w:tcW w:type="dxa" w:w="1949"/>
          </w:tcPr>
          <w:p>
            <w:r/>
            <w:r>
              <w:rPr>
                <w:b/>
                <w:i w:val="0"/>
              </w:rPr>
              <w:t>Personas que pueden enseñarla</w:t>
            </w:r>
          </w:p>
        </w:tc>
        <w:tc>
          <w:tcPr>
            <w:tcW w:type="dxa" w:w="1949"/>
          </w:tcPr>
          <w:p>
            <w:r/>
            <w:r>
              <w:rPr>
                <w:b/>
                <w:i w:val="0"/>
              </w:rPr>
              <w:t>Cobertura (%)</w:t>
            </w:r>
          </w:p>
        </w:tc>
        <w:tc>
          <w:tcPr>
            <w:tcW w:type="dxa" w:w="1949"/>
          </w:tcPr>
          <w:p>
            <w:r/>
            <w:r>
              <w:rPr>
                <w:b/>
                <w:i w:val="0"/>
              </w:rPr>
              <w:t>Alerta</w:t>
            </w:r>
          </w:p>
        </w:tc>
      </w:tr>
      <w:tr>
        <w:tc>
          <w:tcPr>
            <w:tcW w:type="dxa" w:w="1949"/>
          </w:tcPr>
          <w:p>
            <w:r/>
            <w:r>
              <w:rPr>
                <w:b w:val="0"/>
                <w:i w:val="0"/>
              </w:rPr>
              <w:t>Pase y caliente</w:t>
            </w:r>
          </w:p>
        </w:tc>
        <w:tc>
          <w:tcPr>
            <w:tcW w:type="dxa" w:w="1949"/>
          </w:tcPr>
          <w:p>
            <w:r/>
            <w:r>
              <w:rPr>
                <w:b w:val="0"/>
                <w:i w:val="0"/>
              </w:rPr>
              <w:t>4</w:t>
            </w:r>
          </w:p>
        </w:tc>
        <w:tc>
          <w:tcPr>
            <w:tcW w:type="dxa" w:w="1949"/>
          </w:tcPr>
          <w:p>
            <w:r/>
            <w:r>
              <w:rPr>
                <w:b w:val="0"/>
                <w:i w:val="0"/>
              </w:rPr>
              <w:t>2</w:t>
            </w:r>
          </w:p>
        </w:tc>
        <w:tc>
          <w:tcPr>
            <w:tcW w:type="dxa" w:w="1949"/>
          </w:tcPr>
          <w:p>
            <w:r/>
            <w:r>
              <w:rPr>
                <w:b w:val="0"/>
                <w:i w:val="0"/>
              </w:rPr>
              <w:t>33,3 %</w:t>
            </w:r>
          </w:p>
        </w:tc>
        <w:tc>
          <w:tcPr>
            <w:tcW w:type="dxa" w:w="1949"/>
          </w:tcPr>
          <w:p>
            <w:r/>
            <w:r>
              <w:rPr>
                <w:b w:val="0"/>
                <w:i w:val="0"/>
              </w:rPr>
              <w:t>Cobertura suficiente</w:t>
            </w:r>
          </w:p>
        </w:tc>
      </w:tr>
      <w:tr>
        <w:tc>
          <w:tcPr>
            <w:tcW w:type="dxa" w:w="1949"/>
          </w:tcPr>
          <w:p>
            <w:r/>
            <w:r>
              <w:rPr>
                <w:b w:val="0"/>
                <w:i w:val="0"/>
              </w:rPr>
              <w:t>Fríos y entrantes</w:t>
            </w:r>
          </w:p>
        </w:tc>
        <w:tc>
          <w:tcPr>
            <w:tcW w:type="dxa" w:w="1949"/>
          </w:tcPr>
          <w:p>
            <w:r/>
            <w:r>
              <w:rPr>
                <w:b w:val="0"/>
                <w:i w:val="0"/>
              </w:rPr>
              <w:t>1</w:t>
            </w:r>
          </w:p>
        </w:tc>
        <w:tc>
          <w:tcPr>
            <w:tcW w:type="dxa" w:w="1949"/>
          </w:tcPr>
          <w:p>
            <w:r/>
            <w:r>
              <w:rPr>
                <w:b w:val="0"/>
                <w:i w:val="0"/>
              </w:rPr>
              <w:t>1</w:t>
            </w:r>
          </w:p>
        </w:tc>
        <w:tc>
          <w:tcPr>
            <w:tcW w:type="dxa" w:w="1949"/>
          </w:tcPr>
          <w:p>
            <w:r/>
            <w:r>
              <w:rPr>
                <w:b w:val="0"/>
                <w:i w:val="0"/>
              </w:rPr>
              <w:t>8,3 %</w:t>
            </w:r>
          </w:p>
        </w:tc>
        <w:tc>
          <w:tcPr>
            <w:tcW w:type="dxa" w:w="1949"/>
          </w:tcPr>
          <w:p>
            <w:r/>
            <w:r>
              <w:rPr>
                <w:b w:val="0"/>
                <w:i w:val="0"/>
              </w:rPr>
              <w:t>RIESGO: punto único de fallo, solo 1 persona puede sostener esta estación</w:t>
            </w:r>
          </w:p>
        </w:tc>
      </w:tr>
      <w:tr>
        <w:tc>
          <w:tcPr>
            <w:tcW w:type="dxa" w:w="1949"/>
          </w:tcPr>
          <w:p>
            <w:r/>
            <w:r>
              <w:rPr>
                <w:b w:val="0"/>
                <w:i w:val="0"/>
              </w:rPr>
              <w:t>Postres y panadería</w:t>
            </w:r>
          </w:p>
        </w:tc>
        <w:tc>
          <w:tcPr>
            <w:tcW w:type="dxa" w:w="1949"/>
          </w:tcPr>
          <w:p>
            <w:r/>
            <w:r>
              <w:rPr>
                <w:b w:val="0"/>
                <w:i w:val="0"/>
              </w:rPr>
              <w:t>3</w:t>
            </w:r>
          </w:p>
        </w:tc>
        <w:tc>
          <w:tcPr>
            <w:tcW w:type="dxa" w:w="1949"/>
          </w:tcPr>
          <w:p>
            <w:r/>
            <w:r>
              <w:rPr>
                <w:b w:val="0"/>
                <w:i w:val="0"/>
              </w:rPr>
              <w:t>1</w:t>
            </w:r>
          </w:p>
        </w:tc>
        <w:tc>
          <w:tcPr>
            <w:tcW w:type="dxa" w:w="1949"/>
          </w:tcPr>
          <w:p>
            <w:r/>
            <w:r>
              <w:rPr>
                <w:b w:val="0"/>
                <w:i w:val="0"/>
              </w:rPr>
              <w:t>25,0 %</w:t>
            </w:r>
          </w:p>
        </w:tc>
        <w:tc>
          <w:tcPr>
            <w:tcW w:type="dxa" w:w="1949"/>
          </w:tcPr>
          <w:p>
            <w:r/>
            <w:r>
              <w:rPr>
                <w:b w:val="0"/>
                <w:i w:val="0"/>
              </w:rPr>
              <w:t>Cobertura suficiente</w:t>
            </w:r>
          </w:p>
        </w:tc>
      </w:tr>
      <w:tr>
        <w:tc>
          <w:tcPr>
            <w:tcW w:type="dxa" w:w="1949"/>
          </w:tcPr>
          <w:p>
            <w:r/>
            <w:r>
              <w:rPr>
                <w:b w:val="0"/>
                <w:i w:val="0"/>
              </w:rPr>
              <w:t>Barra y bebidas</w:t>
            </w:r>
          </w:p>
        </w:tc>
        <w:tc>
          <w:tcPr>
            <w:tcW w:type="dxa" w:w="1949"/>
          </w:tcPr>
          <w:p>
            <w:r/>
            <w:r>
              <w:rPr>
                <w:b w:val="0"/>
                <w:i w:val="0"/>
              </w:rPr>
              <w:t>4</w:t>
            </w:r>
          </w:p>
        </w:tc>
        <w:tc>
          <w:tcPr>
            <w:tcW w:type="dxa" w:w="1949"/>
          </w:tcPr>
          <w:p>
            <w:r/>
            <w:r>
              <w:rPr>
                <w:b w:val="0"/>
                <w:i w:val="0"/>
              </w:rPr>
              <w:t>2</w:t>
            </w:r>
          </w:p>
        </w:tc>
        <w:tc>
          <w:tcPr>
            <w:tcW w:type="dxa" w:w="1949"/>
          </w:tcPr>
          <w:p>
            <w:r/>
            <w:r>
              <w:rPr>
                <w:b w:val="0"/>
                <w:i w:val="0"/>
              </w:rPr>
              <w:t>33,3 %</w:t>
            </w:r>
          </w:p>
        </w:tc>
        <w:tc>
          <w:tcPr>
            <w:tcW w:type="dxa" w:w="1949"/>
          </w:tcPr>
          <w:p>
            <w:r/>
            <w:r>
              <w:rPr>
                <w:b w:val="0"/>
                <w:i w:val="0"/>
              </w:rPr>
              <w:t>Cobertura suficiente</w:t>
            </w:r>
          </w:p>
        </w:tc>
      </w:tr>
      <w:tr>
        <w:tc>
          <w:tcPr>
            <w:tcW w:type="dxa" w:w="1949"/>
          </w:tcPr>
          <w:p>
            <w:r/>
            <w:r>
              <w:rPr>
                <w:b w:val="0"/>
                <w:i w:val="0"/>
              </w:rPr>
              <w:t>Sala y servicio</w:t>
            </w:r>
          </w:p>
        </w:tc>
        <w:tc>
          <w:tcPr>
            <w:tcW w:type="dxa" w:w="1949"/>
          </w:tcPr>
          <w:p>
            <w:r/>
            <w:r>
              <w:rPr>
                <w:b w:val="0"/>
                <w:i w:val="0"/>
              </w:rPr>
              <w:t>5</w:t>
            </w:r>
          </w:p>
        </w:tc>
        <w:tc>
          <w:tcPr>
            <w:tcW w:type="dxa" w:w="1949"/>
          </w:tcPr>
          <w:p>
            <w:r/>
            <w:r>
              <w:rPr>
                <w:b w:val="0"/>
                <w:i w:val="0"/>
              </w:rPr>
              <w:t>4</w:t>
            </w:r>
          </w:p>
        </w:tc>
        <w:tc>
          <w:tcPr>
            <w:tcW w:type="dxa" w:w="1949"/>
          </w:tcPr>
          <w:p>
            <w:r/>
            <w:r>
              <w:rPr>
                <w:b w:val="0"/>
                <w:i w:val="0"/>
              </w:rPr>
              <w:t>41,7 %</w:t>
            </w:r>
          </w:p>
        </w:tc>
        <w:tc>
          <w:tcPr>
            <w:tcW w:type="dxa" w:w="1949"/>
          </w:tcPr>
          <w:p>
            <w:r/>
            <w:r>
              <w:rPr>
                <w:b w:val="0"/>
                <w:i w:val="0"/>
              </w:rPr>
              <w:t>Cobertura suficiente</w:t>
            </w:r>
          </w:p>
        </w:tc>
      </w:tr>
      <w:tr>
        <w:tc>
          <w:tcPr>
            <w:tcW w:type="dxa" w:w="1949"/>
          </w:tcPr>
          <w:p>
            <w:r/>
            <w:r>
              <w:rPr>
                <w:b w:val="0"/>
                <w:i w:val="0"/>
              </w:rPr>
              <w:t>Caja y cierre</w:t>
            </w:r>
          </w:p>
        </w:tc>
        <w:tc>
          <w:tcPr>
            <w:tcW w:type="dxa" w:w="1949"/>
          </w:tcPr>
          <w:p>
            <w:r/>
            <w:r>
              <w:rPr>
                <w:b w:val="0"/>
                <w:i w:val="0"/>
              </w:rPr>
              <w:t>3</w:t>
            </w:r>
          </w:p>
        </w:tc>
        <w:tc>
          <w:tcPr>
            <w:tcW w:type="dxa" w:w="1949"/>
          </w:tcPr>
          <w:p>
            <w:r/>
            <w:r>
              <w:rPr>
                <w:b w:val="0"/>
                <w:i w:val="0"/>
              </w:rPr>
              <w:t>2</w:t>
            </w:r>
          </w:p>
        </w:tc>
        <w:tc>
          <w:tcPr>
            <w:tcW w:type="dxa" w:w="1949"/>
          </w:tcPr>
          <w:p>
            <w:r/>
            <w:r>
              <w:rPr>
                <w:b w:val="0"/>
                <w:i w:val="0"/>
              </w:rPr>
              <w:t>25,0 %</w:t>
            </w:r>
          </w:p>
        </w:tc>
        <w:tc>
          <w:tcPr>
            <w:tcW w:type="dxa" w:w="1949"/>
          </w:tcPr>
          <w:p>
            <w:r/>
            <w:r>
              <w:rPr>
                <w:b w:val="0"/>
                <w:i w:val="0"/>
              </w:rPr>
              <w:t>Cobertura suficiente</w:t>
            </w:r>
          </w:p>
        </w:tc>
      </w:tr>
    </w:tbl>
    <w:p/>
    <w:p>
      <w:r>
        <w:rPr>
          <w:b/>
          <w:i w:val="0"/>
        </w:rPr>
        <w:t>El coste directo de cubrir una baja, concepto a concepto (matriz-formacion-polivalencia.xlsx, hoja «Coste de una Baja»)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Valor</w:t>
            </w:r>
          </w:p>
        </w:tc>
        <w:tc>
          <w:tcPr>
            <w:tcW w:type="dxa" w:w="3249"/>
          </w:tcPr>
          <w:p>
            <w:r/>
            <w:r>
              <w:rPr>
                <w:b/>
                <w:i w:val="0"/>
              </w:rPr>
              <w:t>Nota</w:t>
            </w:r>
          </w:p>
        </w:tc>
      </w:tr>
      <w:tr>
        <w:tc>
          <w:tcPr>
            <w:tcW w:type="dxa" w:w="3249"/>
          </w:tcPr>
          <w:p>
            <w:r/>
            <w:r>
              <w:rPr>
                <w:b w:val="0"/>
                <w:i w:val="0"/>
              </w:rPr>
              <w:t>Horas dedicadas a seleccionar y contratar</w:t>
            </w:r>
          </w:p>
        </w:tc>
        <w:tc>
          <w:tcPr>
            <w:tcW w:type="dxa" w:w="3249"/>
          </w:tcPr>
          <w:p>
            <w:r/>
            <w:r>
              <w:rPr>
                <w:b w:val="0"/>
                <w:i w:val="0"/>
              </w:rPr>
              <w:t>12,00</w:t>
            </w:r>
          </w:p>
        </w:tc>
        <w:tc>
          <w:tcPr>
            <w:tcW w:type="dxa" w:w="3249"/>
          </w:tcPr>
          <w:p>
            <w:r/>
            <w:r>
              <w:rPr>
                <w:b w:val="0"/>
                <w:i w:val="0"/>
              </w:rPr>
              <w:t>Publicar la oferta, cribar, entrevistar y hacer el alta.</w:t>
            </w:r>
          </w:p>
        </w:tc>
      </w:tr>
      <w:tr>
        <w:tc>
          <w:tcPr>
            <w:tcW w:type="dxa" w:w="3249"/>
          </w:tcPr>
          <w:p>
            <w:r/>
            <w:r>
              <w:rPr>
                <w:b w:val="0"/>
                <w:i w:val="0"/>
              </w:rPr>
              <w:t>Coste por hora de quien selecciona</w:t>
            </w:r>
          </w:p>
        </w:tc>
        <w:tc>
          <w:tcPr>
            <w:tcW w:type="dxa" w:w="3249"/>
          </w:tcPr>
          <w:p>
            <w:r/>
            <w:r>
              <w:rPr>
                <w:b w:val="0"/>
                <w:i w:val="0"/>
              </w:rPr>
              <w:t>22,00</w:t>
            </w:r>
          </w:p>
        </w:tc>
        <w:tc>
          <w:tcPr>
            <w:tcW w:type="dxa" w:w="3249"/>
          </w:tcPr>
          <w:p>
            <w:r/>
            <w:r>
              <w:rPr>
                <w:b w:val="0"/>
                <w:i w:val="0"/>
              </w:rPr>
              <w:t>Coste-empresa por hora de quien dedica ese tiempo, no su salario bruto por hora.</w:t>
            </w:r>
          </w:p>
        </w:tc>
      </w:tr>
      <w:tr>
        <w:tc>
          <w:tcPr>
            <w:tcW w:type="dxa" w:w="3249"/>
          </w:tcPr>
          <w:p>
            <w:r/>
            <w:r>
              <w:rPr>
                <w:b w:val="0"/>
                <w:i w:val="0"/>
              </w:rPr>
              <w:t>Coste de la selección</w:t>
            </w:r>
          </w:p>
        </w:tc>
        <w:tc>
          <w:tcPr>
            <w:tcW w:type="dxa" w:w="3249"/>
          </w:tcPr>
          <w:p>
            <w:r/>
            <w:r>
              <w:rPr>
                <w:b w:val="0"/>
                <w:i w:val="0"/>
              </w:rPr>
              <w:t>264,00</w:t>
            </w:r>
          </w:p>
        </w:tc>
        <w:tc>
          <w:tcPr>
            <w:tcW w:type="dxa" w:w="3249"/>
          </w:tcPr>
          <w:p>
            <w:r/>
          </w:p>
        </w:tc>
      </w:tr>
      <w:tr>
        <w:tc>
          <w:tcPr>
            <w:tcW w:type="dxa" w:w="3249"/>
          </w:tcPr>
          <w:p>
            <w:r/>
            <w:r>
              <w:rPr>
                <w:b w:val="0"/>
                <w:i w:val="0"/>
              </w:rPr>
              <w:t>Horas que dedica quien enseña</w:t>
            </w:r>
          </w:p>
        </w:tc>
        <w:tc>
          <w:tcPr>
            <w:tcW w:type="dxa" w:w="3249"/>
          </w:tcPr>
          <w:p>
            <w:r/>
            <w:r>
              <w:rPr>
                <w:b w:val="0"/>
                <w:i w:val="0"/>
              </w:rPr>
              <w:t>25,00</w:t>
            </w:r>
          </w:p>
        </w:tc>
        <w:tc>
          <w:tcPr>
            <w:tcW w:type="dxa" w:w="3249"/>
          </w:tcPr>
          <w:p>
            <w:r/>
            <w:r>
              <w:rPr>
                <w:b w:val="0"/>
                <w:i w:val="0"/>
              </w:rPr>
              <w:t>Horas en las que el formador está enseñando en vez de produciendo.</w:t>
            </w:r>
          </w:p>
        </w:tc>
      </w:tr>
      <w:tr>
        <w:tc>
          <w:tcPr>
            <w:tcW w:type="dxa" w:w="3249"/>
          </w:tcPr>
          <w:p>
            <w:r/>
            <w:r>
              <w:rPr>
                <w:b w:val="0"/>
                <w:i w:val="0"/>
              </w:rPr>
              <w:t>Coste por hora de quien enseña</w:t>
            </w:r>
          </w:p>
        </w:tc>
        <w:tc>
          <w:tcPr>
            <w:tcW w:type="dxa" w:w="3249"/>
          </w:tcPr>
          <w:p>
            <w:r/>
            <w:r>
              <w:rPr>
                <w:b w:val="0"/>
                <w:i w:val="0"/>
              </w:rPr>
              <w:t>18,00</w:t>
            </w:r>
          </w:p>
        </w:tc>
        <w:tc>
          <w:tcPr>
            <w:tcW w:type="dxa" w:w="3249"/>
          </w:tcPr>
          <w:p>
            <w:r/>
          </w:p>
        </w:tc>
      </w:tr>
      <w:tr>
        <w:tc>
          <w:tcPr>
            <w:tcW w:type="dxa" w:w="3249"/>
          </w:tcPr>
          <w:p>
            <w:r/>
            <w:r>
              <w:rPr>
                <w:b w:val="0"/>
                <w:i w:val="0"/>
              </w:rPr>
              <w:t>Coste de las horas de quien enseña</w:t>
            </w:r>
          </w:p>
        </w:tc>
        <w:tc>
          <w:tcPr>
            <w:tcW w:type="dxa" w:w="3249"/>
          </w:tcPr>
          <w:p>
            <w:r/>
            <w:r>
              <w:rPr>
                <w:b w:val="0"/>
                <w:i w:val="0"/>
              </w:rPr>
              <w:t>450,00</w:t>
            </w:r>
          </w:p>
        </w:tc>
        <w:tc>
          <w:tcPr>
            <w:tcW w:type="dxa" w:w="3249"/>
          </w:tcPr>
          <w:p>
            <w:r/>
          </w:p>
        </w:tc>
      </w:tr>
      <w:tr>
        <w:tc>
          <w:tcPr>
            <w:tcW w:type="dxa" w:w="3249"/>
          </w:tcPr>
          <w:p>
            <w:r/>
            <w:r>
              <w:rPr>
                <w:b w:val="0"/>
                <w:i w:val="0"/>
              </w:rPr>
              <w:t>Horas de formación de la persona nueva</w:t>
            </w:r>
          </w:p>
        </w:tc>
        <w:tc>
          <w:tcPr>
            <w:tcW w:type="dxa" w:w="3249"/>
          </w:tcPr>
          <w:p>
            <w:r/>
            <w:r>
              <w:rPr>
                <w:b w:val="0"/>
                <w:i w:val="0"/>
              </w:rPr>
              <w:t>40,00</w:t>
            </w:r>
          </w:p>
        </w:tc>
        <w:tc>
          <w:tcPr>
            <w:tcW w:type="dxa" w:w="3249"/>
          </w:tcPr>
          <w:p>
            <w:r/>
            <w:r>
              <w:rPr>
                <w:b w:val="0"/>
                <w:i w:val="0"/>
              </w:rPr>
              <w:t>Horas pagadas en las que todavía no rinde como el puesto pide.</w:t>
            </w:r>
          </w:p>
        </w:tc>
      </w:tr>
      <w:tr>
        <w:tc>
          <w:tcPr>
            <w:tcW w:type="dxa" w:w="3249"/>
          </w:tcPr>
          <w:p>
            <w:r/>
            <w:r>
              <w:rPr>
                <w:b w:val="0"/>
                <w:i w:val="0"/>
              </w:rPr>
              <w:t>Coste por hora de la persona nueva</w:t>
            </w:r>
          </w:p>
        </w:tc>
        <w:tc>
          <w:tcPr>
            <w:tcW w:type="dxa" w:w="3249"/>
          </w:tcPr>
          <w:p>
            <w:r/>
            <w:r>
              <w:rPr>
                <w:b w:val="0"/>
                <w:i w:val="0"/>
              </w:rPr>
              <w:t>12,00</w:t>
            </w:r>
          </w:p>
        </w:tc>
        <w:tc>
          <w:tcPr>
            <w:tcW w:type="dxa" w:w="3249"/>
          </w:tcPr>
          <w:p>
            <w:r/>
          </w:p>
        </w:tc>
      </w:tr>
      <w:tr>
        <w:tc>
          <w:tcPr>
            <w:tcW w:type="dxa" w:w="3249"/>
          </w:tcPr>
          <w:p>
            <w:r/>
            <w:r>
              <w:rPr>
                <w:b w:val="0"/>
                <w:i w:val="0"/>
              </w:rPr>
              <w:t>Coste de las horas de la persona nueva</w:t>
            </w:r>
          </w:p>
        </w:tc>
        <w:tc>
          <w:tcPr>
            <w:tcW w:type="dxa" w:w="3249"/>
          </w:tcPr>
          <w:p>
            <w:r/>
            <w:r>
              <w:rPr>
                <w:b w:val="0"/>
                <w:i w:val="0"/>
              </w:rPr>
              <w:t>480,00</w:t>
            </w:r>
          </w:p>
        </w:tc>
        <w:tc>
          <w:tcPr>
            <w:tcW w:type="dxa" w:w="3249"/>
          </w:tcPr>
          <w:p>
            <w:r/>
          </w:p>
        </w:tc>
      </w:tr>
      <w:tr>
        <w:tc>
          <w:tcPr>
            <w:tcW w:type="dxa" w:w="3249"/>
          </w:tcPr>
          <w:p>
            <w:r/>
            <w:r>
              <w:rPr>
                <w:b w:val="0"/>
                <w:i w:val="0"/>
              </w:rPr>
              <w:t>TOTAL COSTE DIRECTO (A)</w:t>
            </w:r>
          </w:p>
        </w:tc>
        <w:tc>
          <w:tcPr>
            <w:tcW w:type="dxa" w:w="3249"/>
          </w:tcPr>
          <w:p>
            <w:r/>
            <w:r>
              <w:rPr>
                <w:b w:val="0"/>
                <w:i w:val="0"/>
              </w:rPr>
              <w:t>1.194,00</w:t>
            </w:r>
          </w:p>
        </w:tc>
        <w:tc>
          <w:tcPr>
            <w:tcW w:type="dxa" w:w="3249"/>
          </w:tcPr>
          <w:p>
            <w:r/>
          </w:p>
        </w:tc>
      </w:tr>
    </w:tbl>
    <w:p/>
    <w:p>
      <w:pPr>
        <w:jc w:val="center"/>
      </w:pPr>
      <w:r>
        <w:rPr>
          <w:i/>
          <w:color w:val="444444"/>
        </w:rPr>
        <w:t>Las horas y los costes por hora son casillas editables: pon los tuyos y el total se recalcula. Este bloque es sólo el coste directo; la venta que se deja de hacer se calcula aparte, en la misma hoja.</w:t>
      </w:r>
    </w:p>
    <w:p>
      <w:r>
        <w:br w:type="page"/>
      </w:r>
    </w:p>
    <w:p>
      <w:pPr>
        <w:pStyle w:val="Heading1"/>
      </w:pPr>
      <w:r>
        <w:t>14. Evaluar, Corregir y, si Toca, Despedir</w:t>
      </w:r>
    </w:p>
    <w:p>
      <w:pPr>
        <w:pStyle w:val="Heading2"/>
      </w:pPr>
      <w:r>
        <w:t>Evaluar es comparar contra un estándar escrito</w:t>
      </w:r>
    </w:p>
    <w:p>
      <w:r>
        <w:rPr>
          <w:b w:val="0"/>
          <w:i w:val="0"/>
        </w:rPr>
        <w:t>No se puede corregir lo que no estaba escrito antes de que ocurriera. Evaluar es, en esencia, comparar un hecho concreto contra un estándar que la persona ya conocía al entrar a ese turno: un procedimiento de sala, un tiempo de servicio, una norma de trato con el cliente. Cuando ese estándar no existe en ningún sitio salvo en la cabeza del manager (gerente/encargado), cualquier corrección se vive como un juicio personal y cualquier sanción posterior queda abierta a que la persona la discuta, con razón, porque nadie le dijo antes dónde estaba el límite.</w:t>
      </w:r>
    </w:p>
    <w:p>
      <w:r>
        <w:rPr>
          <w:b w:val="0"/>
          <w:i w:val="0"/>
        </w:rPr>
        <w:t>En «La Encina», ese estándar no es una idea abstracta: vive en documentos que la plantilla conoce de antemano. La hoja «Cobertura por Estación» de matriz-formacion-polivalencia.xlsx recoge, estación por estación, qué tiene que saber hacer cada una de las 12 personas de la plantilla del caso, y ese reparto de funciones es la referencia contra la que se mide un desempeño concreto, no la memoria de quien evalúa. El plan de 90 días añade el segundo tramo del mismo estándar: la hoja «Actas y Acuerdos» de reuniones-acuerdos-plan-90-dias.xlsx recoge 25 acuerdos registrados en el trimestre, cada uno con su responsable y su plazo, y es ese registro por escrito el que convierte una conversación de pasillo en un compromiso exigible más adelante. Sin ese papel, no hay evaluación posible: sólo hay opinión, y la opinión no sostiene una sanción.</w:t>
      </w:r>
    </w:p>
    <w:p>
      <w:r>
        <w:rPr>
          <w:b w:val="0"/>
          <w:i w:val="0"/>
        </w:rPr>
        <w:t>La ficha de evaluación del desempeño de esa misma plantilla está en el Kit de Gestión de Personal, y su función es precisamente registrar el resultado de comparar contra el estándar. Lo que decide este capítulo no es cómo rellenar esa ficha, sino qué hacer con lo que sale de ella: una amonestación, un plan de mejora con fecha de revisión o, si la falta lo exige, el inicio de un expediente disciplinario.</w:t>
      </w:r>
    </w:p>
    <w:p>
      <w:pPr>
        <w:pStyle w:val="Heading2"/>
      </w:pPr>
      <w:r>
        <w:t>Corregir en el momento: la amonestación que sirve de algo</w:t>
      </w:r>
    </w:p>
    <w:p>
      <w:r>
        <w:rPr>
          <w:b w:val="0"/>
          <w:i w:val="0"/>
        </w:rPr>
        <w:t>Una amonestación que corrige de verdad reúne cuatro elementos, y ninguno es opcional:</w:t>
      </w:r>
    </w:p>
    <w:p>
      <w:pPr>
        <w:pStyle w:val="ListBullet"/>
      </w:pPr>
      <w:r>
        <w:rPr>
          <w:b w:val="0"/>
          <w:i w:val="0"/>
        </w:rPr>
        <w:t>El hecho concreto, con fecha y descripción, nunca una etiqueta genérica como "mala actitud".</w:t>
      </w:r>
    </w:p>
    <w:p>
      <w:pPr>
        <w:pStyle w:val="ListBullet"/>
      </w:pPr>
      <w:r>
        <w:rPr>
          <w:b w:val="0"/>
          <w:i w:val="0"/>
        </w:rPr>
        <w:t>El efecto que ese hecho ha tenido, sobre el servicio, sobre un compañero o sobre un cliente.</w:t>
      </w:r>
    </w:p>
    <w:p>
      <w:pPr>
        <w:pStyle w:val="ListBullet"/>
      </w:pPr>
      <w:r>
        <w:rPr>
          <w:b w:val="0"/>
          <w:i w:val="0"/>
        </w:rPr>
        <w:t>La expectativa exacta de lo que se espera a partir de ahora, en términos que se puedan comprobar en el siguiente turno.</w:t>
      </w:r>
    </w:p>
    <w:p>
      <w:pPr>
        <w:pStyle w:val="ListBullet"/>
      </w:pPr>
      <w:r>
        <w:rPr>
          <w:b w:val="0"/>
          <w:i w:val="0"/>
        </w:rPr>
        <w:t>Una fecha de seguimiento, cercana, en la que se revisa si el comportamiento ha cambiado.</w:t>
      </w:r>
    </w:p>
    <w:p>
      <w:r>
        <w:rPr>
          <w:b w:val="0"/>
          <w:i w:val="0"/>
        </w:rPr>
        <w:t>Tiene que decirse en privado y quedar anotada, con esos cuatro elementos, en el expediente de la persona. La amonestación que no sirve de nada es la contraria en todo: se dice en el pase, delante de toda la sala (salón), en términos generales -"tenéis que espabilar", "esto no puede volver a pasar"- y no queda registrada en ningún sitio. Esa versión no corrige nada, porque no señala un hecho verificable, no fija una expectativa comprobable y no deja rastro para el día en que haga falta demostrar que el aviso existió.</w:t>
      </w:r>
    </w:p>
    <w:p>
      <w:pPr>
        <w:pStyle w:val="Heading2"/>
      </w:pPr>
      <w:r>
        <w:t>El régimen disciplinario del ALEH VI, falta por falta</w:t>
      </w:r>
    </w:p>
    <w:p>
      <w:r>
        <w:rPr>
          <w:b w:val="0"/>
          <w:i w:val="0"/>
        </w:rPr>
        <w:t>Sancionar exige tipificar. No basta con decir que alguien ha tenido "mal comportamiento": hay que decir qué falta concreta se ha cometido, de qué nivel es y por qué encaja ahí, porque una sanción sin tipificación es tan discutible como una corrección sin estándar. El cuadro que resume el régimen disciplinario tras la modificación del ALEH VI, publicada por Resolución de la DGT de 25 de agosto de 2026 (BOE-A-2026-18630), verificado el 4 de septiembre de 2026, reúne diez filas con las faltas ordenadas por nivel: 2 tipificadas como leves, 2 como graves y 1 como muy grave. Entre esas diez filas hay tipificaciones que no existían en el texto anterior del convenio, y el primer paso de cualquier sanción es localizar en ese cuadro la fila que corresponde al hecho concreto, no redactar una descripción a medida ni forzar una falta grave para justificar una sanción que, tipificada con rigor, pediría una leve.</w:t>
      </w:r>
    </w:p>
    <w:p>
      <w:r>
        <w:rPr>
          <w:b w:val="0"/>
          <w:i w:val="0"/>
        </w:rPr>
        <w:t>Esa modificación no es indefinida: a fecha de esta edición le quedan 1.578 días de vigencia, y conviene revisar el cuadro cuando ese plazo se acerque a su fin, porque el régimen disciplinario que hoy aplica puede no ser el mismo dentro de unos años. Cuando la falta que se tipifica es de las más graves, la sanción puede llegar hasta el despido disciplinario, y ese camino exige un trámite propio, distinto de la amonestación, que hay que respetar antes de entregar ninguna carta.</w:t>
      </w:r>
    </w:p>
    <w:p>
      <w:pPr>
        <w:pStyle w:val="Heading2"/>
      </w:pPr>
      <w:r>
        <w:t>La audiencia previa: dos días, su excepción y qué pasa si te la saltas</w:t>
      </w:r>
    </w:p>
    <w:p>
      <w:r>
        <w:rPr>
          <w:b w:val="0"/>
          <w:i w:val="0"/>
        </w:rPr>
        <w:t>Ese trámite propio es la audiencia previa, en vigor desde el 4 de septiembre de 2026 y hasta el 31 de diciembre de 2030 por el art. 41.3 del ALEH VI, dentro de la misma modificación que ordena el cuadro del régimen disciplinario: antes de entregar la carta de despido disciplinario, la empresa está obligada a informar a la persona trabajadora de los hechos concretos que se le imputan y de su posible calificación jurídica, y a darle 2 días para contestar. Sin ese trámite, un despido disciplinario nace con un defecto de forma que abre la puerta a la improcedencia, por sólido que sea el fondo del asunto.</w:t>
      </w:r>
    </w:p>
    <w:p>
      <w:r>
        <w:rPr>
          <w:b w:val="0"/>
          <w:i w:val="0"/>
        </w:rPr>
        <w:t>La norma trae su propia excepción, y conviene conocerla para no aplicarla donde no toca: la audiencia previa no es exigible «a menos que no pueda pedirse razonablemente a la empresa que le conceda esta posibilidad», formulación que remite a un juicio de razonabilidad sobre el caso concreto, no a una lista cerrada de supuestos. Trae también una remisión que no hay que confundir con la excepción: cuando la persona afectada está entre los colectivos con garantías propias del art. 55.1 del Estatuto de los Trabajadores -representantes y afiliados-, la audiencia previa no sustituye a esas obligaciones, se suma a ellas, así que hay que cumplir las dos.</w:t>
      </w:r>
    </w:p>
    <w:p>
      <w:r>
        <w:rPr>
          <w:b w:val="0"/>
          <w:i w:val="0"/>
        </w:rPr>
        <w:t>La calificación jurídica que hay que anunciar en esos 2 días no es una fórmula genérica: tiene que identificar la falta concreta del cuadro disciplinario que se le atribuye, con su nivel, porque una audiencia previa que describe un hecho sin decir en qué falta encaja deja a la persona trabajadora sin saber qué se juega realmente ni qué preparar en su respuesta. La audiencia previa y la tipificación son, en la práctica, el mismo ejercicio hecho dos veces: primero para decidir internamente qué falta aplica, después para comunicarla con esa misma precisión.</w:t>
      </w:r>
    </w:p>
    <w:p>
      <w:r>
        <w:rPr>
          <w:b w:val="0"/>
          <w:i w:val="0"/>
        </w:rPr>
        <w:t>Si durante esos 2 días se decide apartar a la persona trabajadora del servicio, ese apartamiento es permiso retribuido, no una suspensión de empleo y sueldo encubierta. El trámite incorpora la STS 1250/2024, de 18 de noviembre, sobre el art. 7 del Convenio 158 de la OIT: nadie puede ser despedido disciplinariamente sin haber tenido antes la ocasión real de responder al hecho concreto que se le atribuye. Saltarse la audiencia previa no es un defecto menor: es la vía más directa a que un despido bien fundado en el fondo acabe declarado improcedente por la forma.</w:t>
      </w:r>
    </w:p>
    <w:p>
      <w:pPr>
        <w:pStyle w:val="Heading2"/>
      </w:pPr>
      <w:r>
        <w:t>Objetivo, improcedente y finiquito: los números del despido</w:t>
      </w:r>
    </w:p>
    <w:p>
      <w:r>
        <w:rPr>
          <w:b w:val="0"/>
          <w:i w:val="0"/>
        </w:rPr>
        <w:t>Un despido objetivo, cuando la causa está bien acreditada, se indemniza con 20 días de salario por año trabajado y un tope de 12 mensualidades (arts. 53.1 y 56.1 del Estatuto de los Trabajadores, verificado el 4 de septiembre de 2026); esa indemnización tiene que ponerse a disposición de la persona trabajadora simultáneamente a la entrega de la carta, con un preaviso de 15 días, nunca después. Cuando ese mismo despido se declara improcedente -por el fondo o, como acabamos de ver, por saltarse la audiencia previa-, la indemnización sube a 33 días de salario por año con un tope de 24 mensualidades. Esa escala no se aplica sólo cuando un juzgado de lo social da la razón a la persona despedida sobre el fondo del asunto: es también la consecuencia económica directa de saltarse la audiencia previa, porque ese defecto de forma convierte el despido en improcedente aunque la falta estuviera bien tipificada y bien probada. Es la diferencia real, en días de indemnización, entre cumplir el trámite de los 2 días y no cumplirlo.</w:t>
      </w:r>
    </w:p>
    <w:p>
      <w:r>
        <w:rPr>
          <w:b w:val="0"/>
          <w:i w:val="0"/>
        </w:rPr>
        <w:t>Los contratos formalizados antes del 12 de febrero de 2012 tienen un régimen transitorio propio, recogido en la DT 11ª del Estatuto de los Trabajadores: el tramo de antigüedad anterior a esa fecha se indemniza a razón de 45 días por año y el tramo posterior a razón de 33 días por año, con un tope conjunto de 720 días. Es el único caso en el que conviven las dos escalas dentro del mismo cálculo, y conviene tenerlo presente antes de dar por buena una cifra que sólo aplique una de las dos.</w:t>
      </w:r>
    </w:p>
    <w:p>
      <w:r>
        <w:rPr>
          <w:b w:val="0"/>
          <w:i w:val="0"/>
        </w:rPr>
        <w:t>Y una distinción que no admite matices: el finiquito no es la indemnización. El finiquito liquida lo que ya se había ganado antes del despido y que todavía no se había pagado -la parte proporcional de las pagas extra, los días de vacaciones generados y no disfrutados, el salario del periodo ya trabajado en el mes en curso-, mientras que la indemnización compensa la pérdida del puesto. Se cobran los dos, por conceptos distintos, y confundirlos en la carta o en la conversación con la persona trabajadora es un error que después toca explicar delante de un juzgado de lo social.</w:t>
      </w:r>
    </w:p>
    <w:p>
      <w:r>
        <w:rPr>
          <w:b/>
          <w:i w:val="0"/>
        </w:rPr>
        <w:t>El régimen disciplinario del ALEH VI tras la modificación del 4 de septiembre de 2026 (calendario-cumplimiento-legal.xlsx, hoja «Régimen Disciplinario ALEH»)</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Falta o figura</w:t>
            </w:r>
          </w:p>
        </w:tc>
        <w:tc>
          <w:tcPr>
            <w:tcW w:type="dxa" w:w="1949"/>
          </w:tcPr>
          <w:p>
            <w:r/>
            <w:r>
              <w:rPr>
                <w:b/>
                <w:i w:val="0"/>
              </w:rPr>
              <w:t>Tipo</w:t>
            </w:r>
          </w:p>
        </w:tc>
        <w:tc>
          <w:tcPr>
            <w:tcW w:type="dxa" w:w="1949"/>
          </w:tcPr>
          <w:p>
            <w:r/>
            <w:r>
              <w:rPr>
                <w:b/>
                <w:i w:val="0"/>
              </w:rPr>
              <w:t>Gravedad</w:t>
            </w:r>
          </w:p>
        </w:tc>
        <w:tc>
          <w:tcPr>
            <w:tcW w:type="dxa" w:w="1949"/>
          </w:tcPr>
          <w:p>
            <w:r/>
            <w:r>
              <w:rPr>
                <w:b/>
                <w:i w:val="0"/>
              </w:rPr>
              <w:t>Umbral o detalle</w:t>
            </w:r>
          </w:p>
        </w:tc>
        <w:tc>
          <w:tcPr>
            <w:tcW w:type="dxa" w:w="1949"/>
          </w:tcPr>
          <w:p>
            <w:r/>
            <w:r>
              <w:rPr>
                <w:b/>
                <w:i w:val="0"/>
              </w:rPr>
              <w:t>Artículo</w:t>
            </w:r>
          </w:p>
        </w:tc>
      </w:tr>
      <w:tr>
        <w:tc>
          <w:tcPr>
            <w:tcW w:type="dxa" w:w="1949"/>
          </w:tcPr>
          <w:p>
            <w:r/>
            <w:r>
              <w:rPr>
                <w:b w:val="0"/>
                <w:i w:val="0"/>
              </w:rPr>
              <w:t>Falta LEVE: no registrar la jornada</w:t>
            </w:r>
          </w:p>
        </w:tc>
        <w:tc>
          <w:tcPr>
            <w:tcW w:type="dxa" w:w="1949"/>
          </w:tcPr>
          <w:p>
            <w:r/>
            <w:r>
              <w:rPr>
                <w:b w:val="0"/>
                <w:i w:val="0"/>
              </w:rPr>
              <w:t>Falta</w:t>
            </w:r>
          </w:p>
        </w:tc>
        <w:tc>
          <w:tcPr>
            <w:tcW w:type="dxa" w:w="1949"/>
          </w:tcPr>
          <w:p>
            <w:r/>
            <w:r>
              <w:rPr>
                <w:b w:val="0"/>
                <w:i w:val="0"/>
              </w:rPr>
              <w:t>Leve</w:t>
            </w:r>
          </w:p>
        </w:tc>
        <w:tc>
          <w:tcPr>
            <w:tcW w:type="dxa" w:w="1949"/>
          </w:tcPr>
          <w:p>
            <w:r/>
            <w:r>
              <w:rPr>
                <w:b w:val="0"/>
                <w:i w:val="0"/>
              </w:rPr>
              <w:t>2 incumplimientos en un mes</w:t>
            </w:r>
          </w:p>
        </w:tc>
        <w:tc>
          <w:tcPr>
            <w:tcW w:type="dxa" w:w="1949"/>
          </w:tcPr>
          <w:p>
            <w:r/>
            <w:r>
              <w:rPr>
                <w:b w:val="0"/>
                <w:i w:val="0"/>
              </w:rPr>
              <w:t>Art. 38.10 ALEH VI (BOE-A-2026-18630)</w:t>
            </w:r>
          </w:p>
        </w:tc>
      </w:tr>
      <w:tr>
        <w:tc>
          <w:tcPr>
            <w:tcW w:type="dxa" w:w="1949"/>
          </w:tcPr>
          <w:p>
            <w:r/>
            <w:r>
              <w:rPr>
                <w:b w:val="0"/>
                <w:i w:val="0"/>
              </w:rPr>
              <w:t>Falta LEVE: uso no autorizado del móvil durante el servicio</w:t>
            </w:r>
          </w:p>
        </w:tc>
        <w:tc>
          <w:tcPr>
            <w:tcW w:type="dxa" w:w="1949"/>
          </w:tcPr>
          <w:p>
            <w:r/>
            <w:r>
              <w:rPr>
                <w:b w:val="0"/>
                <w:i w:val="0"/>
              </w:rPr>
              <w:t>Falta</w:t>
            </w:r>
          </w:p>
        </w:tc>
        <w:tc>
          <w:tcPr>
            <w:tcW w:type="dxa" w:w="1949"/>
          </w:tcPr>
          <w:p>
            <w:r/>
            <w:r>
              <w:rPr>
                <w:b w:val="0"/>
                <w:i w:val="0"/>
              </w:rPr>
              <w:t>Leve</w:t>
            </w:r>
          </w:p>
        </w:tc>
        <w:tc>
          <w:tcPr>
            <w:tcW w:type="dxa" w:w="1949"/>
          </w:tcPr>
          <w:p>
            <w:r/>
          </w:p>
        </w:tc>
        <w:tc>
          <w:tcPr>
            <w:tcW w:type="dxa" w:w="1949"/>
          </w:tcPr>
          <w:p>
            <w:r/>
            <w:r>
              <w:rPr>
                <w:b w:val="0"/>
                <w:i w:val="0"/>
              </w:rPr>
              <w:t>Art. 38.12 ALEH VI</w:t>
            </w:r>
          </w:p>
        </w:tc>
      </w:tr>
      <w:tr>
        <w:tc>
          <w:tcPr>
            <w:tcW w:type="dxa" w:w="1949"/>
          </w:tcPr>
          <w:p>
            <w:r/>
            <w:r>
              <w:rPr>
                <w:b w:val="0"/>
                <w:i w:val="0"/>
              </w:rPr>
              <w:t>Falta GRAVE: no registrar la jornada</w:t>
            </w:r>
          </w:p>
        </w:tc>
        <w:tc>
          <w:tcPr>
            <w:tcW w:type="dxa" w:w="1949"/>
          </w:tcPr>
          <w:p>
            <w:r/>
            <w:r>
              <w:rPr>
                <w:b w:val="0"/>
                <w:i w:val="0"/>
              </w:rPr>
              <w:t>Falta</w:t>
            </w:r>
          </w:p>
        </w:tc>
        <w:tc>
          <w:tcPr>
            <w:tcW w:type="dxa" w:w="1949"/>
          </w:tcPr>
          <w:p>
            <w:r/>
            <w:r>
              <w:rPr>
                <w:b w:val="0"/>
                <w:i w:val="0"/>
              </w:rPr>
              <w:t>Grave</w:t>
            </w:r>
          </w:p>
        </w:tc>
        <w:tc>
          <w:tcPr>
            <w:tcW w:type="dxa" w:w="1949"/>
          </w:tcPr>
          <w:p>
            <w:r/>
            <w:r>
              <w:rPr>
                <w:b w:val="0"/>
                <w:i w:val="0"/>
              </w:rPr>
              <w:t>3 o 4 incumplimientos en un mes</w:t>
            </w:r>
          </w:p>
        </w:tc>
        <w:tc>
          <w:tcPr>
            <w:tcW w:type="dxa" w:w="1949"/>
          </w:tcPr>
          <w:p>
            <w:r/>
            <w:r>
              <w:rPr>
                <w:b w:val="0"/>
                <w:i w:val="0"/>
              </w:rPr>
              <w:t>Art. 39.21 ALEH VI</w:t>
            </w:r>
          </w:p>
        </w:tc>
      </w:tr>
      <w:tr>
        <w:tc>
          <w:tcPr>
            <w:tcW w:type="dxa" w:w="1949"/>
          </w:tcPr>
          <w:p>
            <w:r/>
            <w:r>
              <w:rPr>
                <w:b w:val="0"/>
                <w:i w:val="0"/>
              </w:rPr>
              <w:t>Falta GRAVE: fumar en zonas no permitidas</w:t>
            </w:r>
          </w:p>
        </w:tc>
        <w:tc>
          <w:tcPr>
            <w:tcW w:type="dxa" w:w="1949"/>
          </w:tcPr>
          <w:p>
            <w:r/>
            <w:r>
              <w:rPr>
                <w:b w:val="0"/>
                <w:i w:val="0"/>
              </w:rPr>
              <w:t>Falta</w:t>
            </w:r>
          </w:p>
        </w:tc>
        <w:tc>
          <w:tcPr>
            <w:tcW w:type="dxa" w:w="1949"/>
          </w:tcPr>
          <w:p>
            <w:r/>
            <w:r>
              <w:rPr>
                <w:b w:val="0"/>
                <w:i w:val="0"/>
              </w:rPr>
              <w:t>Grave</w:t>
            </w:r>
          </w:p>
        </w:tc>
        <w:tc>
          <w:tcPr>
            <w:tcW w:type="dxa" w:w="1949"/>
          </w:tcPr>
          <w:p>
            <w:r/>
          </w:p>
        </w:tc>
        <w:tc>
          <w:tcPr>
            <w:tcW w:type="dxa" w:w="1949"/>
          </w:tcPr>
          <w:p>
            <w:r/>
            <w:r>
              <w:rPr>
                <w:b w:val="0"/>
                <w:i w:val="0"/>
              </w:rPr>
              <w:t>Art. 39.20 ALEH VI</w:t>
            </w:r>
          </w:p>
        </w:tc>
      </w:tr>
      <w:tr>
        <w:tc>
          <w:tcPr>
            <w:tcW w:type="dxa" w:w="1949"/>
          </w:tcPr>
          <w:p>
            <w:r/>
            <w:r>
              <w:rPr>
                <w:b w:val="0"/>
                <w:i w:val="0"/>
              </w:rPr>
              <w:t>Falta MUY GRAVE: no registrar la jornada</w:t>
            </w:r>
          </w:p>
        </w:tc>
        <w:tc>
          <w:tcPr>
            <w:tcW w:type="dxa" w:w="1949"/>
          </w:tcPr>
          <w:p>
            <w:r/>
            <w:r>
              <w:rPr>
                <w:b w:val="0"/>
                <w:i w:val="0"/>
              </w:rPr>
              <w:t>Falta</w:t>
            </w:r>
          </w:p>
        </w:tc>
        <w:tc>
          <w:tcPr>
            <w:tcW w:type="dxa" w:w="1949"/>
          </w:tcPr>
          <w:p>
            <w:r/>
            <w:r>
              <w:rPr>
                <w:b w:val="0"/>
                <w:i w:val="0"/>
              </w:rPr>
              <w:t>Muy grave</w:t>
            </w:r>
          </w:p>
        </w:tc>
        <w:tc>
          <w:tcPr>
            <w:tcW w:type="dxa" w:w="1949"/>
          </w:tcPr>
          <w:p>
            <w:r/>
            <w:r>
              <w:rPr>
                <w:b w:val="0"/>
                <w:i w:val="0"/>
              </w:rPr>
              <w:t>5 o más incumplimientos en un mes</w:t>
            </w:r>
          </w:p>
        </w:tc>
        <w:tc>
          <w:tcPr>
            <w:tcW w:type="dxa" w:w="1949"/>
          </w:tcPr>
          <w:p>
            <w:r/>
            <w:r>
              <w:rPr>
                <w:b w:val="0"/>
                <w:i w:val="0"/>
              </w:rPr>
              <w:t>Art. 40.14 ALEH VI</w:t>
            </w:r>
          </w:p>
        </w:tc>
      </w:tr>
      <w:tr>
        <w:tc>
          <w:tcPr>
            <w:tcW w:type="dxa" w:w="1949"/>
          </w:tcPr>
          <w:p>
            <w:r/>
            <w:r>
              <w:rPr>
                <w:b w:val="0"/>
                <w:i w:val="0"/>
              </w:rPr>
              <w:t>Audiencia previa al despido disciplinario</w:t>
            </w:r>
          </w:p>
        </w:tc>
        <w:tc>
          <w:tcPr>
            <w:tcW w:type="dxa" w:w="1949"/>
          </w:tcPr>
          <w:p>
            <w:r/>
            <w:r>
              <w:rPr>
                <w:b w:val="0"/>
                <w:i w:val="0"/>
              </w:rPr>
              <w:t>Procedimiento</w:t>
            </w:r>
          </w:p>
        </w:tc>
        <w:tc>
          <w:tcPr>
            <w:tcW w:type="dxa" w:w="1949"/>
          </w:tcPr>
          <w:p>
            <w:r/>
          </w:p>
        </w:tc>
        <w:tc>
          <w:tcPr>
            <w:tcW w:type="dxa" w:w="1949"/>
          </w:tcPr>
          <w:p>
            <w:r/>
            <w:r>
              <w:rPr>
                <w:b w:val="0"/>
                <w:i w:val="0"/>
              </w:rPr>
              <w:t>2 días para contestar; si se aparta del servicio, con permiso retribuido</w:t>
            </w:r>
          </w:p>
        </w:tc>
        <w:tc>
          <w:tcPr>
            <w:tcW w:type="dxa" w:w="1949"/>
          </w:tcPr>
          <w:p>
            <w:r/>
            <w:r>
              <w:rPr>
                <w:b w:val="0"/>
                <w:i w:val="0"/>
              </w:rPr>
              <w:t>Art. 41.3 ALEH VI, con su excepción, y remisión al art. 55.1 ET</w:t>
            </w:r>
          </w:p>
        </w:tc>
      </w:tr>
      <w:tr>
        <w:tc>
          <w:tcPr>
            <w:tcW w:type="dxa" w:w="1949"/>
          </w:tcPr>
          <w:p>
            <w:r/>
            <w:r>
              <w:rPr>
                <w:b w:val="0"/>
                <w:i w:val="0"/>
              </w:rPr>
              <w:t>Vigencia de la modificación del ALEH VI</w:t>
            </w:r>
          </w:p>
        </w:tc>
        <w:tc>
          <w:tcPr>
            <w:tcW w:type="dxa" w:w="1949"/>
          </w:tcPr>
          <w:p>
            <w:r/>
            <w:r>
              <w:rPr>
                <w:b w:val="0"/>
                <w:i w:val="0"/>
              </w:rPr>
              <w:t>Vigencia</w:t>
            </w:r>
          </w:p>
        </w:tc>
        <w:tc>
          <w:tcPr>
            <w:tcW w:type="dxa" w:w="1949"/>
          </w:tcPr>
          <w:p>
            <w:r/>
          </w:p>
        </w:tc>
        <w:tc>
          <w:tcPr>
            <w:tcW w:type="dxa" w:w="1949"/>
          </w:tcPr>
          <w:p>
            <w:r/>
            <w:r>
              <w:rPr>
                <w:b w:val="0"/>
                <w:i w:val="0"/>
              </w:rPr>
              <w:t>Del 04-09-2026 al 31-12-2030</w:t>
            </w:r>
          </w:p>
        </w:tc>
        <w:tc>
          <w:tcPr>
            <w:tcW w:type="dxa" w:w="1949"/>
          </w:tcPr>
          <w:p>
            <w:r/>
            <w:r>
              <w:rPr>
                <w:b w:val="0"/>
                <w:i w:val="0"/>
              </w:rPr>
              <w:t>BOE-A-2026-18630</w:t>
            </w:r>
          </w:p>
        </w:tc>
      </w:tr>
      <w:tr>
        <w:tc>
          <w:tcPr>
            <w:tcW w:type="dxa" w:w="1949"/>
          </w:tcPr>
          <w:p>
            <w:r/>
            <w:r>
              <w:rPr>
                <w:b w:val="0"/>
                <w:i w:val="0"/>
              </w:rPr>
              <w:t>Indemnización por despido objetivo</w:t>
            </w:r>
          </w:p>
        </w:tc>
        <w:tc>
          <w:tcPr>
            <w:tcW w:type="dxa" w:w="1949"/>
          </w:tcPr>
          <w:p>
            <w:r/>
            <w:r>
              <w:rPr>
                <w:b w:val="0"/>
                <w:i w:val="0"/>
              </w:rPr>
              <w:t>Indemnización</w:t>
            </w:r>
          </w:p>
        </w:tc>
        <w:tc>
          <w:tcPr>
            <w:tcW w:type="dxa" w:w="1949"/>
          </w:tcPr>
          <w:p>
            <w:r/>
          </w:p>
        </w:tc>
        <w:tc>
          <w:tcPr>
            <w:tcW w:type="dxa" w:w="1949"/>
          </w:tcPr>
          <w:p>
            <w:r/>
            <w:r>
              <w:rPr>
                <w:b w:val="0"/>
                <w:i w:val="0"/>
              </w:rPr>
              <w:t>20 días por año, tope de 12 mensualidades, a disposición con la carta</w:t>
            </w:r>
          </w:p>
        </w:tc>
        <w:tc>
          <w:tcPr>
            <w:tcW w:type="dxa" w:w="1949"/>
          </w:tcPr>
          <w:p>
            <w:r/>
            <w:r>
              <w:rPr>
                <w:b w:val="0"/>
                <w:i w:val="0"/>
              </w:rPr>
              <w:t>Art. 53 ET</w:t>
            </w:r>
          </w:p>
        </w:tc>
      </w:tr>
      <w:tr>
        <w:tc>
          <w:tcPr>
            <w:tcW w:type="dxa" w:w="1949"/>
          </w:tcPr>
          <w:p>
            <w:r/>
            <w:r>
              <w:rPr>
                <w:b w:val="0"/>
                <w:i w:val="0"/>
              </w:rPr>
              <w:t>Indemnización por despido improcedente</w:t>
            </w:r>
          </w:p>
        </w:tc>
        <w:tc>
          <w:tcPr>
            <w:tcW w:type="dxa" w:w="1949"/>
          </w:tcPr>
          <w:p>
            <w:r/>
            <w:r>
              <w:rPr>
                <w:b w:val="0"/>
                <w:i w:val="0"/>
              </w:rPr>
              <w:t>Indemnización</w:t>
            </w:r>
          </w:p>
        </w:tc>
        <w:tc>
          <w:tcPr>
            <w:tcW w:type="dxa" w:w="1949"/>
          </w:tcPr>
          <w:p>
            <w:r/>
          </w:p>
        </w:tc>
        <w:tc>
          <w:tcPr>
            <w:tcW w:type="dxa" w:w="1949"/>
          </w:tcPr>
          <w:p>
            <w:r/>
            <w:r>
              <w:rPr>
                <w:b w:val="0"/>
                <w:i w:val="0"/>
              </w:rPr>
              <w:t>33 días por año, tope de 24 mensualidades</w:t>
            </w:r>
          </w:p>
        </w:tc>
        <w:tc>
          <w:tcPr>
            <w:tcW w:type="dxa" w:w="1949"/>
          </w:tcPr>
          <w:p>
            <w:r/>
            <w:r>
              <w:rPr>
                <w:b w:val="0"/>
                <w:i w:val="0"/>
              </w:rPr>
              <w:t>Art. 56 ET</w:t>
            </w:r>
          </w:p>
        </w:tc>
      </w:tr>
      <w:tr>
        <w:tc>
          <w:tcPr>
            <w:tcW w:type="dxa" w:w="1949"/>
          </w:tcPr>
          <w:p>
            <w:r/>
            <w:r>
              <w:rPr>
                <w:b w:val="0"/>
                <w:i w:val="0"/>
              </w:rPr>
              <w:t>Periodo de prueba en hostelería</w:t>
            </w:r>
          </w:p>
        </w:tc>
        <w:tc>
          <w:tcPr>
            <w:tcW w:type="dxa" w:w="1949"/>
          </w:tcPr>
          <w:p>
            <w:r/>
            <w:r>
              <w:rPr>
                <w:b w:val="0"/>
                <w:i w:val="0"/>
              </w:rPr>
              <w:t>Contratación</w:t>
            </w:r>
          </w:p>
        </w:tc>
        <w:tc>
          <w:tcPr>
            <w:tcW w:type="dxa" w:w="1949"/>
          </w:tcPr>
          <w:p>
            <w:r/>
          </w:p>
        </w:tc>
        <w:tc>
          <w:tcPr>
            <w:tcW w:type="dxa" w:w="1949"/>
          </w:tcPr>
          <w:p>
            <w:r/>
            <w:r>
              <w:rPr>
                <w:b w:val="0"/>
                <w:i w:val="0"/>
              </w:rPr>
              <w:t>90 / 60 / 45 días naturales según grupo; el convenio provincial no lo puede modificar</w:t>
            </w:r>
          </w:p>
        </w:tc>
        <w:tc>
          <w:tcPr>
            <w:tcW w:type="dxa" w:w="1949"/>
          </w:tcPr>
          <w:p>
            <w:r/>
            <w:r>
              <w:rPr>
                <w:b w:val="0"/>
                <w:i w:val="0"/>
              </w:rPr>
              <w:t>ALEH VI</w:t>
            </w:r>
          </w:p>
        </w:tc>
      </w:tr>
    </w:tbl>
    <w:p/>
    <w:p>
      <w:pPr>
        <w:jc w:val="center"/>
      </w:pPr>
      <w:r>
        <w:rPr>
          <w:i/>
          <w:color w:val="444444"/>
        </w:rPr>
        <w:t>Verificado el 04-09-2026 · ALEH VI (BOE-A-2023-6344), modificado por la Resolución de la DGT de 25-08-2026 (BOE-A-2026-18630) · https://www.boe.es/diario_boe/txt.php?id=BOE-A-2026-18630</w:t>
      </w:r>
    </w:p>
    <w:p>
      <w:r>
        <w:br w:type="page"/>
      </w:r>
    </w:p>
    <w:p>
      <w:pPr>
        <w:pStyle w:val="Heading1"/>
      </w:pPr>
      <w:r>
        <w:t>15. Lo que Obliga Aunque Seáis Tres: Igualdad, Acoso, Desconexión y PRL</w:t>
      </w:r>
    </w:p>
    <w:p>
      <w:pPr>
        <w:pStyle w:val="Heading2"/>
      </w:pPr>
      <w:r>
        <w:t>Registro retributivo: sin umbral de plantilla</w:t>
      </w:r>
    </w:p>
    <w:p>
      <w:r>
        <w:rPr>
          <w:b w:val="0"/>
          <w:i w:val="0"/>
        </w:rPr>
        <w:t>Dos obligaciones no admiten discusión, ni excusa de tamaño: el registro retributivo y el protocolo frente al acoso. Ninguna de las dos tiene umbral de plantilla. Un local con dos personas contratadas necesita las dos cosas, y ambas están entre lo primero que pide una inspección de trabajo nada más entrar por la puerta.</w:t>
      </w:r>
    </w:p>
    <w:p>
      <w:r>
        <w:rPr>
          <w:b w:val="0"/>
          <w:i w:val="0"/>
        </w:rPr>
        <w:t>El registro retributivo lo exige el art. 5 del RD 902/2020 (verificado el 4 de septiembre de 2026) a toda empresa, sin umbral de plantilla e incluido el personal directivo: el propietario que también gestiona la sala no queda fuera del documento sólo porque firme las nóminas (planillas) él mismo. Lo que tiene que recoger es la media aritmética y la mediana, desglosadas por sexo, del salario base y de cada complemento y cada percepción extrasalarial por separado -partida a partida, no un totalizado- y hay que consultar a la representación legal de la plantilla con diez días de antelación antes de cerrarlo. No tenerlo, o tenerlo mal hecho, cuesta entre 751 € y 7.500 €.</w:t>
      </w:r>
    </w:p>
    <w:p>
      <w:r>
        <w:rPr>
          <w:b w:val="0"/>
          <w:i w:val="0"/>
        </w:rPr>
        <w:t>Al manager (gerente/encargado) no le hace falta memorizar el articulado: lo que necesita saber es qué documento tiene que existir, con qué desglose y quién lo mantiene actualizado cada vez que cambia una tabla salarial o entra una persona nueva en plantilla. En el pack, este registro es uno de los doce documentos obligatorios que recoge el libro legal de calendario-cumplimiento-legal.xlsx, y su revisión entra en los dieciocho puntos de control del calendario de vencimientos -de los cuales siete tienen la periodicidad fijada por una norma estatal y once quedan a criterio de la casa-. Localizarlo ahí, y no en una carpeta suelta del ordenador de la oficina, es lo que marca la diferencia entre enseñarlo sin sobresaltos cuando llega la inspección y tener que reconstruirlo esa misma tarde.</w:t>
      </w:r>
    </w:p>
    <w:p>
      <w:pPr>
        <w:pStyle w:val="Heading2"/>
      </w:pPr>
      <w:r>
        <w:t>Protocolo frente al acoso: sin umbral, y qué tiene que decir</w:t>
      </w:r>
    </w:p>
    <w:p>
      <w:r>
        <w:rPr>
          <w:b w:val="0"/>
          <w:i w:val="0"/>
        </w:rPr>
        <w:t>El protocolo frente al acoso tampoco tiene umbral: lo impone el art. 2.1 del RD 901/2020 (verificado el 4 de septiembre de 2026) a toda empresa, sea cual sea su plantilla, y obliga a arbitrar procedimientos específicos tanto para la prevención del acoso como para dar cauce a las denuncias que puedan producirse. No basta con una frase suelta en el manual de bienvenida: tiene que ser un procedimiento identificable, al que cualquier persona de la plantilla, fija o eventual, sepa cómo acudir sin tener que preguntar antes a quién.</w:t>
      </w:r>
    </w:p>
    <w:p>
      <w:r>
        <w:rPr>
          <w:b w:val="0"/>
          <w:i w:val="0"/>
        </w:rPr>
        <w:t>La ley distingue dos figuras que se sancionan de forma distinta, y ahí está el matiz que un manager tiene que tener claro. El acoso sexual es infracción muy grave aunque la empresa no hubiera tenido conocimiento de que se estaba produciendo: no exculpa alegar que nadie lo comunicó por escrito. El acoso por razón de sexo, en cambio, sólo es infracción si, conocido por la empresa, ésta no adoptó las medidas oportunas para pararlo. La diferencia no es cosmética: en el primer caso, la falta de protocolo ya es la infracción; en el segundo, lo que se sanciona es la pasividad una vez informados. Los arts. 8.13 y 8.13 bis de la LISOS (verificado el 4 de septiembre de 2026) tipifican ambas conductas como muy graves, con sanciones de entre 7.501 € y 225.018 €.</w:t>
      </w:r>
    </w:p>
    <w:p>
      <w:r>
        <w:rPr>
          <w:b w:val="0"/>
          <w:i w:val="0"/>
        </w:rPr>
        <w:t>Que ninguna de las dos obligaciones dependa del tamaño del local es, precisamente, lo que más se ignora en la hostelería pequeña: la creencia de que «esto es para empresas grandes» no encuentra respaldo en ninguna de las dos normas.</w:t>
      </w:r>
    </w:p>
    <w:p>
      <w:pPr>
        <w:pStyle w:val="Heading2"/>
      </w:pPr>
      <w:r>
        <w:t>Plan de igualdad desde 50: cómo se cuenta la plantilla de verdad</w:t>
      </w:r>
    </w:p>
    <w:p>
      <w:r>
        <w:rPr>
          <w:b w:val="0"/>
          <w:i w:val="0"/>
        </w:rPr>
        <w:t>El plan de igualdad sí tiene umbral -cincuenta personas-, pero es el punto del capítulo donde casi todo el mundo hace mal la cuenta. El art. 45.2 de la LO 3/2007 y los arts. 2.2 y 3 del RD 901/2020 (verificado el 4 de septiembre de 2026) fijan un cómputo que no coincide con «cuántas nóminas pago este mes». Entran en la suma las personas fijas-discontinuas, las temporales y el personal cedido por empresas de trabajo temporal. Cada persona contratada a tiempo parcial cuenta como una persona entera, con independencia de las horas que tenga en su contrato: dos personas a media jornada no son media plantilla, son dos personas a efectos del umbral. Y las personas temporales cuyo contrato ya se extinguió en los seis meses previos también suman, a razón de una persona por cada cien días trabajados en ese periodo. La comprobación se hace dos veces al año: el último día de junio y el último día de diciembre.</w:t>
      </w:r>
    </w:p>
    <w:p>
      <w:r>
        <w:rPr>
          <w:b w:val="0"/>
          <w:i w:val="0"/>
        </w:rPr>
        <w:t>Es exactamente el mecanismo por el que un restaurante estacional puede cruzar el umbral sin darse cuenta: la plantilla fija puede estar muy por debajo de cincuenta y aun así el cómputo de junio o de diciembre sumar a los refuerzos de temporada, a quienes ya se marcharon meses atrás y a quienes trabajan pocas horas pero cuentan como persona entera. El caso de La Encina, con doce personas registradas en la matriz de polivalencia del pack, sirve de punto de partida: por debajo de cincuenta con su plantilla estable, pero un negocio de esa naturaleza que tira de refuerzos en verano o en Navidad tiene que rehacer la cuenta con los tres colectivos -fijos-discontinuos, temporales y personal de empresas de trabajo temporal- antes de descartar la obligación. Estar por encima del umbral sin plan tiene la misma horquilla de sanción que el acoso conocido y desatendido: de 7.501 € a 225.018 €.</w:t>
      </w:r>
    </w:p>
    <w:p>
      <w:pPr>
        <w:pStyle w:val="Heading2"/>
      </w:pPr>
      <w:r>
        <w:t>Desconexión digital: el grupo de WhatsApp del servicio</w:t>
      </w:r>
    </w:p>
    <w:p>
      <w:r>
        <w:rPr>
          <w:b w:val="0"/>
          <w:i w:val="0"/>
        </w:rPr>
        <w:t>El art. 88.3 de la LO 3/2018 (verificado el 4 de septiembre de 2026) obliga a elaborar, previa audiencia de la representación de la plantilla, una política interna escrita que defina las modalidades de ejercicio del derecho a la desconexión digital y las acciones de formación necesarias para evitar la fatiga informática. Esa política alcanza también a los puestos directivos: el manager no queda fuera de su propio derecho a desconectar, aunque sea quien más presión sienta para estar siempre disponible.</w:t>
      </w:r>
    </w:p>
    <w:p>
      <w:r>
        <w:rPr>
          <w:b w:val="0"/>
          <w:i w:val="0"/>
        </w:rPr>
        <w:t>En un restaurante, la fatiga informática que persigue la norma tiene nombre y hora concretos: el grupo de mensajería del servicio en el que alguien pregunta a las doce de la noche si puede cambiar el turno de mañana, la persona a la que se envía la foto del pase de comandas pidiendo opinión en su día libre, el mensaje de última hora sobre un proveedor que llega cuando ya nadie está en el local. Nada de eso es excepcional: es el patrón que la política interna tiene que ordenar por escrito, fijando cuándo un mensaje fuera de horario es aceptable -una urgencia real del servicio- y cuándo no lo es, y formando a quien coordina turnos para que no dé por hecho que todo el mundo tiene que contestar de inmediato.</w:t>
      </w:r>
    </w:p>
    <w:p>
      <w:r>
        <w:rPr>
          <w:b w:val="0"/>
          <w:i w:val="0"/>
        </w:rPr>
        <w:t>Que la política sea escrita, y no una norma de sentido común que cada encargado interpreta a su manera, es lo que la convierte en exigible: sin documento y sin la audiencia previa a la representación de la plantilla, la obligación del art. 88.3 no está cumplida por mucho que en la práctica nadie mande mensajes fuera de hora.</w:t>
      </w:r>
    </w:p>
    <w:p>
      <w:pPr>
        <w:pStyle w:val="Heading2"/>
      </w:pPr>
      <w:r>
        <w:t>PRL: plan, evaluación, emergencias y formación en el momento de contratar</w:t>
      </w:r>
    </w:p>
    <w:p>
      <w:r>
        <w:rPr>
          <w:b w:val="0"/>
          <w:i w:val="0"/>
        </w:rPr>
        <w:t>La Ley 31/1995 de Prevención de Riesgos Laborales sostiene cuatro documentos que en un restaurante existen sí o sí, tenga la plantilla que tenga: el plan de prevención, la evaluación de riesgos, la planificación de la actividad preventiva y las medidas de emergencia. No son cuatro papeles independientes: el plan fija el marco, la evaluación identifica los riesgos concretos del local -quemaduras, cortes, caídas en cocina mojada, manipulación de cargas-, la planificación ordena qué se hace con lo que la evaluación encontró, y las medidas de emergencia cubren lo que ocurre si algo falla de verdad, desde un incendio hasta una evacuación.</w:t>
      </w:r>
    </w:p>
    <w:p>
      <w:r>
        <w:rPr>
          <w:b w:val="0"/>
          <w:i w:val="0"/>
        </w:rPr>
        <w:t>A esos cuatro documentos se suma una obligación de formación que tiene un momento fijo: se imparte en el instante de la contratación, no meses después ni cuando haya un hueco en el cuadre de turnos. Va dentro de la jornada laboral, es decir, cuenta como tiempo de trabajo y no como un favor que la persona hace fuera de su horario, y el coste no recae en ningún caso sobre quien se está formando: lo asume la empresa de principio a fin. Cuando entra alguien nuevo en una plantilla como la de doce personas de La Encina, esa formación tiene que estar impartida antes de que esa persona empiece a manejar una freidora o a subir una escalera con una caja, no después.</w:t>
      </w:r>
    </w:p>
    <w:p>
      <w:r>
        <w:rPr>
          <w:b w:val="0"/>
          <w:i w:val="0"/>
        </w:rPr>
        <w:t>La Ley 31/1995 es, junto con las que ya hemos citado en este capítulo, una de las siete normas que seguimos en la hoja de estado normativo de calendario-cumplimiento-legal.xlsx: tenerla localizada ahí, con su fecha de última revisión, evita el error más común, que es dar por hecho que con firmar el plan de prevención al abrir el negocio ya está todo resuelto para siempre.</w:t>
      </w:r>
    </w:p>
    <w:p>
      <w:pPr>
        <w:pStyle w:val="Heading2"/>
      </w:pPr>
      <w:r>
        <w:t>Por qué el reconocimiento médico es voluntario</w:t>
      </w:r>
    </w:p>
    <w:p>
      <w:r>
        <w:rPr>
          <w:b w:val="0"/>
          <w:i w:val="0"/>
        </w:rPr>
        <w:t>Aquí está el error más repetido de todo el bloque, y conviene dejarlo dicho sin matices: los reconocimientos médicos son voluntarios. La empresa los ofrece; no los impone. Lo fijan los arts. 22.1 y 22.4 de la Ley 31/1995 (verificado el 4 de septiembre de 2026), y sólo se puede llevar a cabo un reconocimiento con el consentimiento expreso de la persona trabajadora, salvo tres supuestos tasados, y en los tres hace falta un informe previo de la representación de la plantilla antes de exceptuar la voluntariedad:</w:t>
      </w:r>
    </w:p>
    <w:p>
      <w:pPr>
        <w:pStyle w:val="ListBullet"/>
      </w:pPr>
      <w:r>
        <w:rPr>
          <w:b w:val="0"/>
          <w:i w:val="0"/>
        </w:rPr>
        <w:t>Que el reconocimiento sea imprescindible para evaluar los efectos de las condiciones de trabajo sobre la salud de la persona.</w:t>
      </w:r>
    </w:p>
    <w:p>
      <w:pPr>
        <w:pStyle w:val="ListBullet"/>
      </w:pPr>
      <w:r>
        <w:rPr>
          <w:b w:val="0"/>
          <w:i w:val="0"/>
        </w:rPr>
        <w:t>Que sirva para verificar si su estado de salud puede constituir un peligro para ella misma, para el resto de la plantilla o para otras personas relacionadas con la empresa: este es el supuesto que se invoca en hostelería con los manipuladores de alimentos, y el único de los tres que aparece en el día a día de un restaurante.</w:t>
      </w:r>
    </w:p>
    <w:p>
      <w:pPr>
        <w:pStyle w:val="ListBullet"/>
      </w:pPr>
      <w:r>
        <w:rPr>
          <w:b w:val="0"/>
          <w:i w:val="0"/>
        </w:rPr>
        <w:t>Que así lo establezca una disposición legal en relación con riesgos específicos o actividades de especial peligrosidad.</w:t>
      </w:r>
    </w:p>
    <w:p>
      <w:r>
        <w:rPr>
          <w:b w:val="0"/>
          <w:i w:val="0"/>
        </w:rPr>
        <w:t>Incluso dentro de estos tres supuestos hay un límite adicional: hay que optar por las pruebas que causen menos molestias a la persona y que sean proporcionales al riesgo que se quiere controlar, nunca por la prueba más exhaustiva disponible. Y aun en el caso excepcional, la empresa nunca recibe la información médica en sí: sólo las conclusiones de aptitud o no aptitud para el puesto, tal como fija el art. 22.4. Un manager que exige un reconocimiento médico fuera de estos tres supuestos, o que pretende ver el informe completo en lugar de la conclusión de aptitud, está fuera de la ley por partida doble.</w:t>
      </w:r>
    </w:p>
    <w:p>
      <w:r>
        <w:rPr>
          <w:b/>
          <w:i w:val="0"/>
        </w:rPr>
        <w:t>Qué obliga con qué plantilla, y qué documento lo acredita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Obligación</w:t>
            </w:r>
          </w:p>
        </w:tc>
        <w:tc>
          <w:tcPr>
            <w:tcW w:type="dxa" w:w="2436"/>
          </w:tcPr>
          <w:p>
            <w:r/>
            <w:r>
              <w:rPr>
                <w:b/>
                <w:i w:val="0"/>
              </w:rPr>
              <w:t>Desde cuántas personas</w:t>
            </w:r>
          </w:p>
        </w:tc>
        <w:tc>
          <w:tcPr>
            <w:tcW w:type="dxa" w:w="2436"/>
          </w:tcPr>
          <w:p>
            <w:r/>
            <w:r>
              <w:rPr>
                <w:b/>
                <w:i w:val="0"/>
              </w:rPr>
              <w:t>Qué documento existe</w:t>
            </w:r>
          </w:p>
        </w:tc>
        <w:tc>
          <w:tcPr>
            <w:tcW w:type="dxa" w:w="2436"/>
          </w:tcPr>
          <w:p>
            <w:r/>
            <w:r>
              <w:rPr>
                <w:b/>
                <w:i w:val="0"/>
              </w:rPr>
              <w:t>Norma</w:t>
            </w:r>
          </w:p>
        </w:tc>
      </w:tr>
      <w:tr>
        <w:tc>
          <w:tcPr>
            <w:tcW w:type="dxa" w:w="2436"/>
          </w:tcPr>
          <w:p>
            <w:r/>
            <w:r>
              <w:rPr>
                <w:b w:val="0"/>
                <w:i w:val="0"/>
              </w:rPr>
              <w:t>Registro retributivo</w:t>
            </w:r>
          </w:p>
        </w:tc>
        <w:tc>
          <w:tcPr>
            <w:tcW w:type="dxa" w:w="2436"/>
          </w:tcPr>
          <w:p>
            <w:r/>
            <w:r>
              <w:rPr>
                <w:b w:val="0"/>
                <w:i w:val="0"/>
              </w:rPr>
              <w:t>Sin umbral: desde la primera persona contratada</w:t>
            </w:r>
          </w:p>
        </w:tc>
        <w:tc>
          <w:tcPr>
            <w:tcW w:type="dxa" w:w="2436"/>
          </w:tcPr>
          <w:p>
            <w:r/>
            <w:r>
              <w:rPr>
                <w:b w:val="0"/>
                <w:i w:val="0"/>
              </w:rPr>
              <w:t>Registro con la media aritmética y la mediana de lo realmente devengado, desglosado por sexo y por grupo</w:t>
            </w:r>
          </w:p>
        </w:tc>
        <w:tc>
          <w:tcPr>
            <w:tcW w:type="dxa" w:w="2436"/>
          </w:tcPr>
          <w:p>
            <w:r/>
            <w:r>
              <w:rPr>
                <w:b w:val="0"/>
                <w:i w:val="0"/>
              </w:rPr>
              <w:t>Art. 28.2 ET y RD 902/2020</w:t>
            </w:r>
          </w:p>
        </w:tc>
      </w:tr>
      <w:tr>
        <w:tc>
          <w:tcPr>
            <w:tcW w:type="dxa" w:w="2436"/>
          </w:tcPr>
          <w:p>
            <w:r/>
            <w:r>
              <w:rPr>
                <w:b w:val="0"/>
                <w:i w:val="0"/>
              </w:rPr>
              <w:t>Protocolo frente al acoso sexual y por razón de sexo</w:t>
            </w:r>
          </w:p>
        </w:tc>
        <w:tc>
          <w:tcPr>
            <w:tcW w:type="dxa" w:w="2436"/>
          </w:tcPr>
          <w:p>
            <w:r/>
            <w:r>
              <w:rPr>
                <w:b w:val="0"/>
                <w:i w:val="0"/>
              </w:rPr>
              <w:t>Sin umbral</w:t>
            </w:r>
          </w:p>
        </w:tc>
        <w:tc>
          <w:tcPr>
            <w:tcW w:type="dxa" w:w="2436"/>
          </w:tcPr>
          <w:p>
            <w:r/>
            <w:r>
              <w:rPr>
                <w:b w:val="0"/>
                <w:i w:val="0"/>
              </w:rPr>
              <w:t>Procedimiento escrito de prevención y de cauce de las denuncias, publicado y accesible</w:t>
            </w:r>
          </w:p>
        </w:tc>
        <w:tc>
          <w:tcPr>
            <w:tcW w:type="dxa" w:w="2436"/>
          </w:tcPr>
          <w:p>
            <w:r/>
            <w:r>
              <w:rPr>
                <w:b w:val="0"/>
                <w:i w:val="0"/>
              </w:rPr>
              <w:t>Art. 48 de la Ley Orgánica 3/2007</w:t>
            </w:r>
          </w:p>
        </w:tc>
      </w:tr>
      <w:tr>
        <w:tc>
          <w:tcPr>
            <w:tcW w:type="dxa" w:w="2436"/>
          </w:tcPr>
          <w:p>
            <w:r/>
            <w:r>
              <w:rPr>
                <w:b w:val="0"/>
                <w:i w:val="0"/>
              </w:rPr>
              <w:t>Política escrita de desconexión digital</w:t>
            </w:r>
          </w:p>
        </w:tc>
        <w:tc>
          <w:tcPr>
            <w:tcW w:type="dxa" w:w="2436"/>
          </w:tcPr>
          <w:p>
            <w:r/>
            <w:r>
              <w:rPr>
                <w:b w:val="0"/>
                <w:i w:val="0"/>
              </w:rPr>
              <w:t>Sin umbral</w:t>
            </w:r>
          </w:p>
        </w:tc>
        <w:tc>
          <w:tcPr>
            <w:tcW w:type="dxa" w:w="2436"/>
          </w:tcPr>
          <w:p>
            <w:r/>
            <w:r>
              <w:rPr>
                <w:b w:val="0"/>
                <w:i w:val="0"/>
              </w:rPr>
              <w:t>Política interna elaborada previa audiencia de la representación de la plantilla</w:t>
            </w:r>
          </w:p>
        </w:tc>
        <w:tc>
          <w:tcPr>
            <w:tcW w:type="dxa" w:w="2436"/>
          </w:tcPr>
          <w:p>
            <w:r/>
            <w:r>
              <w:rPr>
                <w:b w:val="0"/>
                <w:i w:val="0"/>
              </w:rPr>
              <w:t>Art. 88 de la Ley Orgánica 3/2018</w:t>
            </w:r>
          </w:p>
        </w:tc>
      </w:tr>
      <w:tr>
        <w:tc>
          <w:tcPr>
            <w:tcW w:type="dxa" w:w="2436"/>
          </w:tcPr>
          <w:p>
            <w:r/>
            <w:r>
              <w:rPr>
                <w:b w:val="0"/>
                <w:i w:val="0"/>
              </w:rPr>
              <w:t>Plan de prevención, evaluación de riesgos y medidas de emergencia</w:t>
            </w:r>
          </w:p>
        </w:tc>
        <w:tc>
          <w:tcPr>
            <w:tcW w:type="dxa" w:w="2436"/>
          </w:tcPr>
          <w:p>
            <w:r/>
            <w:r>
              <w:rPr>
                <w:b w:val="0"/>
                <w:i w:val="0"/>
              </w:rPr>
              <w:t>Sin umbral</w:t>
            </w:r>
          </w:p>
        </w:tc>
        <w:tc>
          <w:tcPr>
            <w:tcW w:type="dxa" w:w="2436"/>
          </w:tcPr>
          <w:p>
            <w:r/>
            <w:r>
              <w:rPr>
                <w:b w:val="0"/>
                <w:i w:val="0"/>
              </w:rPr>
              <w:t>Los cuatro documentos, en el centro de trabajo</w:t>
            </w:r>
          </w:p>
        </w:tc>
        <w:tc>
          <w:tcPr>
            <w:tcW w:type="dxa" w:w="2436"/>
          </w:tcPr>
          <w:p>
            <w:r/>
            <w:r>
              <w:rPr>
                <w:b w:val="0"/>
                <w:i w:val="0"/>
              </w:rPr>
              <w:t>Arts. 16, 20 y 23 de la Ley 31/1995</w:t>
            </w:r>
          </w:p>
        </w:tc>
      </w:tr>
      <w:tr>
        <w:tc>
          <w:tcPr>
            <w:tcW w:type="dxa" w:w="2436"/>
          </w:tcPr>
          <w:p>
            <w:r/>
            <w:r>
              <w:rPr>
                <w:b w:val="0"/>
                <w:i w:val="0"/>
              </w:rPr>
              <w:t>Formación en prevención de riesgos</w:t>
            </w:r>
          </w:p>
        </w:tc>
        <w:tc>
          <w:tcPr>
            <w:tcW w:type="dxa" w:w="2436"/>
          </w:tcPr>
          <w:p>
            <w:r/>
            <w:r>
              <w:rPr>
                <w:b w:val="0"/>
                <w:i w:val="0"/>
              </w:rPr>
              <w:t>Sin umbral</w:t>
            </w:r>
          </w:p>
        </w:tc>
        <w:tc>
          <w:tcPr>
            <w:tcW w:type="dxa" w:w="2436"/>
          </w:tcPr>
          <w:p>
            <w:r/>
            <w:r>
              <w:rPr>
                <w:b w:val="0"/>
                <w:i w:val="0"/>
              </w:rPr>
              <w:t>Justificante de la formación recibida en el momento de la contratación, dentro de jornada</w:t>
            </w:r>
          </w:p>
        </w:tc>
        <w:tc>
          <w:tcPr>
            <w:tcW w:type="dxa" w:w="2436"/>
          </w:tcPr>
          <w:p>
            <w:r/>
            <w:r>
              <w:rPr>
                <w:b w:val="0"/>
                <w:i w:val="0"/>
              </w:rPr>
              <w:t>Art. 19 de la Ley 31/1995</w:t>
            </w:r>
          </w:p>
        </w:tc>
      </w:tr>
      <w:tr>
        <w:tc>
          <w:tcPr>
            <w:tcW w:type="dxa" w:w="2436"/>
          </w:tcPr>
          <w:p>
            <w:r/>
            <w:r>
              <w:rPr>
                <w:b w:val="0"/>
                <w:i w:val="0"/>
              </w:rPr>
              <w:t>Plan de igualdad</w:t>
            </w:r>
          </w:p>
        </w:tc>
        <w:tc>
          <w:tcPr>
            <w:tcW w:type="dxa" w:w="2436"/>
          </w:tcPr>
          <w:p>
            <w:r/>
            <w:r>
              <w:rPr>
                <w:b w:val="0"/>
                <w:i w:val="0"/>
              </w:rPr>
              <w:t>A partir de 50 personas, con el cómputo de la norma</w:t>
            </w:r>
          </w:p>
        </w:tc>
        <w:tc>
          <w:tcPr>
            <w:tcW w:type="dxa" w:w="2436"/>
          </w:tcPr>
          <w:p>
            <w:r/>
            <w:r>
              <w:rPr>
                <w:b w:val="0"/>
                <w:i w:val="0"/>
              </w:rPr>
              <w:t>Plan negociado e inscrito en el registro público</w:t>
            </w:r>
          </w:p>
        </w:tc>
        <w:tc>
          <w:tcPr>
            <w:tcW w:type="dxa" w:w="2436"/>
          </w:tcPr>
          <w:p>
            <w:r/>
            <w:r>
              <w:rPr>
                <w:b w:val="0"/>
                <w:i w:val="0"/>
              </w:rPr>
              <w:t>Art. 45 de la Ley Orgánica 3/2007 y RD 901/2020</w:t>
            </w:r>
          </w:p>
        </w:tc>
      </w:tr>
      <w:tr>
        <w:tc>
          <w:tcPr>
            <w:tcW w:type="dxa" w:w="2436"/>
          </w:tcPr>
          <w:p>
            <w:r/>
            <w:r>
              <w:rPr>
                <w:b w:val="0"/>
                <w:i w:val="0"/>
              </w:rPr>
              <w:t>Conjunto planificado de medidas LGTBI</w:t>
            </w:r>
          </w:p>
        </w:tc>
        <w:tc>
          <w:tcPr>
            <w:tcW w:type="dxa" w:w="2436"/>
          </w:tcPr>
          <w:p>
            <w:r/>
            <w:r>
              <w:rPr>
                <w:b w:val="0"/>
                <w:i w:val="0"/>
              </w:rPr>
              <w:t>A partir de más de 50 personas</w:t>
            </w:r>
          </w:p>
        </w:tc>
        <w:tc>
          <w:tcPr>
            <w:tcW w:type="dxa" w:w="2436"/>
          </w:tcPr>
          <w:p>
            <w:r/>
            <w:r>
              <w:rPr>
                <w:b w:val="0"/>
                <w:i w:val="0"/>
              </w:rPr>
              <w:t>Medidas acordadas mediante negociación colectiva</w:t>
            </w:r>
          </w:p>
        </w:tc>
        <w:tc>
          <w:tcPr>
            <w:tcW w:type="dxa" w:w="2436"/>
          </w:tcPr>
          <w:p>
            <w:r/>
            <w:r>
              <w:rPr>
                <w:b w:val="0"/>
                <w:i w:val="0"/>
              </w:rPr>
              <w:t>Art. 15.1 de la Ley 4/2023 y RD 1026/2024</w:t>
            </w:r>
          </w:p>
        </w:tc>
      </w:tr>
    </w:tbl>
    <w:p/>
    <w:p>
      <w:pPr>
        <w:jc w:val="center"/>
      </w:pPr>
      <w:r>
        <w:rPr>
          <w:i/>
          <w:color w:val="444444"/>
        </w:rPr>
        <w:t>Verificado el 04-09-2026 · Estatuto de los Trabajadores (RDLeg 2/2015), Ley 31/1995, Ley Orgánica 3/2007, Ley Orgánica 3/2018 y Ley 4/2023 · https://www.boe.es/buscar/act.php?id=BOE-A-2015-11430</w:t>
      </w:r>
    </w:p>
    <w:p>
      <w:r>
        <w:br w:type="page"/>
      </w:r>
    </w:p>
    <w:p>
      <w:pPr>
        <w:pStyle w:val="Heading1"/>
      </w:pPr>
      <w:r>
        <w:t>16. El Servicio: Estándares, Briefing y la Conversación Cocina-Sala</w:t>
      </w:r>
    </w:p>
    <w:p>
      <w:pPr>
        <w:pStyle w:val="Heading2"/>
      </w:pPr>
      <w:r>
        <w:t>Briefing, reunión y handover: tres formatos, tres momentos</w:t>
      </w:r>
    </w:p>
    <w:p>
      <w:r>
        <w:rPr>
          <w:b w:val="0"/>
          <w:i w:val="0"/>
        </w:rPr>
        <w:t>Cocina y sala comparten servicio pero rara vez comparten información, y el problema empieza por el nombre: se llama «la reunión» al aviso de pie antes de abrir, a la sesión semanal con acuerdos por escrito y al traspaso que un turno le deja al siguiente. Llamar igual a tres cosas distintas es lo que hace que ninguna se celebre con la regularidad que necesita. El briefing es diario, previo al servicio y de pie -en la sala (salón) o junto al pase-, y dura lo que tarda el equipo en colocarse en su puesto. La reunión es semanal o, como mucho, mensual, se hace sentados, tiene un responsable que la convoca y cierra con un acta que recoge fecha, asistentes y acuerdos con nombre y plazo. El handover, el traspaso entre turnos, no es una charla de pasillo entre dos camareros (meseros): es un documento breve que el saliente redacta y el entrante lee antes de empezar, con lo necesario para no repetir un error ni perder una reserva.</w:t>
      </w:r>
    </w:p>
    <w:p>
      <w:r>
        <w:rPr>
          <w:b w:val="0"/>
          <w:i w:val="0"/>
        </w:rPr>
        <w:t>Confundir los tres formatos tiene un coste concreto. El manager (gerente/encargado) que convoca «una reunión» cada vez que necesita decir algo termina con el briefing alargado, la reunión semanal devaluada por parecerse al aviso diario, y el handover reducido a lo que dos personas recuerdan al cruzarse. Fijar el formato antes que el contenido es la primera decisión: diario y de pie es briefing; semanal y con acta es reunión; escrito y entre turnos es handover.</w:t>
      </w:r>
    </w:p>
    <w:p>
      <w:pPr>
        <w:pStyle w:val="Heading2"/>
      </w:pPr>
      <w:r>
        <w:t>El briefing de siete minutos: qué entra y qué no entra</w:t>
      </w:r>
    </w:p>
    <w:p>
      <w:r>
        <w:rPr>
          <w:b w:val="0"/>
          <w:i w:val="0"/>
        </w:rPr>
        <w:t>El briefing de pie funciona con un guion cerrado donde cada punto ocupa su franja. Cinco cosas entran, siempre en el mismo orden:</w:t>
      </w:r>
    </w:p>
    <w:p>
      <w:pPr>
        <w:pStyle w:val="ListBullet"/>
      </w:pPr>
      <w:r>
        <w:rPr>
          <w:b w:val="0"/>
          <w:i w:val="0"/>
        </w:rPr>
        <w:t>Qué hay hoy: platos del día, sugerencias y producto recién llegado que conviene colocar antes que otro.</w:t>
      </w:r>
    </w:p>
    <w:p>
      <w:pPr>
        <w:pStyle w:val="ListBullet"/>
      </w:pPr>
      <w:r>
        <w:rPr>
          <w:b w:val="0"/>
          <w:i w:val="0"/>
        </w:rPr>
        <w:t>Qué falta: lo agotado o a punto de agotarse, para no ofrecerlo en sala.</w:t>
      </w:r>
    </w:p>
    <w:p>
      <w:pPr>
        <w:pStyle w:val="ListBullet"/>
      </w:pPr>
      <w:r>
        <w:rPr>
          <w:b w:val="0"/>
          <w:i w:val="0"/>
        </w:rPr>
        <w:t>Qué reservas y qué alergias: mesas comprometidas, horarios ajustados y alérgenos que deben llegar a cocina antes de abrir, no a mitad de servicio.</w:t>
      </w:r>
    </w:p>
    <w:p>
      <w:pPr>
        <w:pStyle w:val="ListBullet"/>
      </w:pPr>
      <w:r>
        <w:rPr>
          <w:b w:val="0"/>
          <w:i w:val="0"/>
        </w:rPr>
        <w:t>Quién está en cada estación: el reparto de puestos en cocina y de rangos en sala para ese turno.</w:t>
      </w:r>
    </w:p>
    <w:p>
      <w:pPr>
        <w:pStyle w:val="ListBullet"/>
      </w:pPr>
      <w:r>
        <w:rPr>
          <w:b w:val="0"/>
          <w:i w:val="0"/>
        </w:rPr>
        <w:t>Una sola cosa que se quiere mejorar respecto de ayer: un punto, no una lista, y sobre el sistema, nunca sobre una persona.</w:t>
      </w:r>
    </w:p>
    <w:p>
      <w:r>
        <w:rPr>
          <w:b w:val="0"/>
          <w:i w:val="0"/>
        </w:rPr>
        <w:t>Tan importante como lo que entra es lo que se deja fuera. No caben las broncas, que se corrigen aparte y en corto; no caben los temas de una sola persona; y no cabe nada que requiera discusión, porque ese punto se aparca para la reunión semanal. Meter cualquiera de esas tres cosas en el briefing solo consigue alargarlo hasta que el equipo deje de prestarle atención.</w:t>
      </w:r>
    </w:p>
    <w:p>
      <w:r>
        <w:rPr>
          <w:b w:val="0"/>
          <w:i w:val="0"/>
        </w:rPr>
        <w:t>La reunión semanal exige la misma disciplina de guion, con formato distinto: sin guion se va en quejas y se alarga sin producir nada; con guion cerrado y duración pactada, se cierra a tiempo y termina en acuerdos con nombre y plazo. El guion de la reunión semanal reparte 7 puntos en 30 minutos, y esos mismos 30 minutos son la duración objetivo fijada de antemano. Un punto rotatorio, que trae cada semana un miembro distinto del equipo, es lo que la convierte en algo que se espera y no en un trámite que se sufre. En un trimestre completo se contabilizaron 12 reuniones, con 450 minutos acumulados -7,5 horas- y una duración media de 37,5 minutos por sesión: por encima del objetivo de 30, pero lejos de la deriva de una reunión sin guion.</w:t>
      </w:r>
    </w:p>
    <w:p>
      <w:pPr>
        <w:pStyle w:val="Heading2"/>
      </w:pPr>
      <w:r>
        <w:t>Estándares escritos: sin ellos no se puede corregir</w:t>
      </w:r>
    </w:p>
    <w:p>
      <w:r>
        <w:rPr>
          <w:b w:val="0"/>
          <w:i w:val="0"/>
        </w:rPr>
        <w:t>Nada de lo anterior sirve sin un estándar escrito contra el que medir. El tiempo objetivo entre pases, la manera exacta de cantar una comanda y el protocolo ante un plato devuelto tienen que estar por escrito y ser los mismos para todo el equipo, turno tras turno. Sin ese estándar, corregir es casi imposible: solo queda la opinión del manager frente a la de quien recibe la corrección, y esa discusión no la gana nadie porque no hay vara común de medida. Con el estándar escrito, corregir pasa de ser un juicio de intenciones a una comprobación: el plato ha salido dentro del tiempo objetivo o no, la comanda se ha cantado como marca el protocolo o se ha improvisado.</w:t>
      </w:r>
    </w:p>
    <w:p>
      <w:r>
        <w:rPr>
          <w:b w:val="0"/>
          <w:i w:val="0"/>
        </w:rPr>
        <w:t>Estos criterios son los que recorre la auditoría interna del servicio, con sus 60 puntos de control agrupados por área: es la comprobación periódica de que los estándares escritos se cumplen y no se han quedado en un papel archivado. Un estándar que nadie audita se degrada solo, punto por punto, hasta depender otra vez del criterio de quien esté esa noche al mando; uno auditado con regularidad sostiene que cocina y sala trabajen sobre los mismos hechos.</w:t>
      </w:r>
    </w:p>
    <w:p>
      <w:pPr>
        <w:pStyle w:val="Heading2"/>
      </w:pPr>
      <w:r>
        <w:t>Cocina y sala: un problema de sistema, no de personas</w:t>
      </w:r>
    </w:p>
    <w:p>
      <w:r>
        <w:rPr>
          <w:b w:val="0"/>
          <w:i w:val="0"/>
        </w:rPr>
        <w:t>Un plato que sale tarde, una comanda mal cantada o una alergia que no llega a cocina casi nunca es un problema de carácter entre quien cocina y quien sirve: es un fallo de protocolo de comunicación, y tratarlo como lo primero es la manera más segura de no arreglarlo. Sentar a un camarero y a un cocinero a que «se expliquen» después de un servicio tenso resuelve, como mucho, ese incidente; el mismo fallo vuelve a producirse porque nadie ha tocado lo que realmente falló, que es el sistema por el que la información viaja de la sala a la cocina y de vuelta.</w:t>
      </w:r>
    </w:p>
    <w:p>
      <w:r>
        <w:rPr>
          <w:b w:val="0"/>
          <w:i w:val="0"/>
        </w:rPr>
        <w:t>Arreglar el sistema significa decidir, por escrito y de una vez, tres cosas: quién canta la comanda y con qué fórmula exacta, quién la confirma antes de que empiece a producirse y dónde queda anotada una alergia para que llegue a quien cocina sin depender de que alguien se acuerde de decirla en voz alta. Un plato tarde suele señalar que nadie confirmó la comanda al entrar en cocina; una comanda mal cantada, que la fórmula no está fijada y cada camarero canta a su manera; una alergia que no llega, que se dijo de palabra y no quedó escrita en ningún sitio que cocina mire antes de emplatar. Cambiar quién canta, quién confirma y dónde se anota la alergia corrige los tres fallos a la vez.</w:t>
      </w:r>
    </w:p>
    <w:p>
      <w:r>
        <w:rPr>
          <w:b w:val="0"/>
          <w:i w:val="0"/>
        </w:rPr>
        <w:t>En la práctica, el sistema que funciona concentra la voz en un solo punto por lado: una sola persona canta hacia cocina -normalmente quien lleva el pase, no cualquier camarero que pase por delante-, y esa misma persona recibe la confirmación de vuelta antes de dar la mesa por servida. La alergia no se dice al aire ni se confía a la memoria de quien la escuchó: se anota en la comanda, en el sitio fijo que le corresponda. Con ese punto único de entrada y confirmación, un fallo deja de tener dos versiones -sala y cocina- y pasa a tener una sola causa localizable: quién no cantó, quién no confirmó o quién no anotó.</w:t>
      </w:r>
    </w:p>
    <w:p>
      <w:r>
        <w:rPr>
          <w:b w:val="0"/>
          <w:i w:val="0"/>
        </w:rPr>
        <w:t>«Hablar las cosas» no es la solución cuando el problema es de sistema: por buena voluntad que haya en los dos lados, el mismo protocolo roto produce el mismo fallo en el siguiente servicio de máxima presión. Reunir a cocina y sala a que se expliquen reparte buenas intenciones, pero no dice quién tiene que cantar la próxima comanda ni dónde va a quedar anotada la próxima alergia, y sin esa respuesta concreta el incidente vuelve. Lo que sostiene la relación entre cocina y sala no es que se lleven bien, que ayuda pero no basta, sino que el protocolo haga innecesario adivinar lo que la otra parte necesita saber.</w:t>
      </w:r>
    </w:p>
    <w:p>
      <w:pPr>
        <w:pStyle w:val="Heading2"/>
      </w:pPr>
      <w:r>
        <w:t>Corregir en el momento sin humillar a nadie</w:t>
      </w:r>
    </w:p>
    <w:p>
      <w:r>
        <w:rPr>
          <w:b w:val="0"/>
          <w:i w:val="0"/>
        </w:rPr>
        <w:t>Corregir en caliente tiene una única forma que funciona: se corrige el hecho, en corto y sin público. «La comanda de la mesa cuatro no llevaba la alergia, apúntala antes de mandarla» corrige y no deja marca; una crítica delante del resto del equipo, con adjetivos sobre la persona y no sobre el hecho, humilla y no enseña nada que se pueda repetir la próxima vez. El manager que corrige así gana un instante de autoridad y pierde la disposición del equipo a asumir errores en voz alta, que es lo que hace falta para arreglar un fallo antes de que llegue al cliente.</w:t>
      </w:r>
    </w:p>
    <w:p>
      <w:r>
        <w:rPr>
          <w:b w:val="0"/>
          <w:i w:val="0"/>
        </w:rPr>
        <w:t>El aparte funciona porque describe, no juzga: dice qué ha pasado y qué se espera la próxima vez, no por qué la persona lo ha hecho mal. Preguntar «por qué has hecho esto» en mitad de un pase no busca información, busca que la persona se justifique delante de los demás, y el resultado es el mismo que gritar. La corrección eficaz cabe en una frase, se dice al lado, y sigue con la siguiente comanda sin esperar una disculpa.</w:t>
      </w:r>
    </w:p>
    <w:p>
      <w:r>
        <w:rPr>
          <w:b w:val="0"/>
          <w:i w:val="0"/>
        </w:rPr>
        <w:t>Humillar delante del equipo cuesta más servicio del que salva, y la corrección en caliente lo sabe: se limita al hecho, no toca a la persona, y se hace en un aparte de segundos, no en una conversación. Lo que esa corrección breve no puede cubrir -por qué se repite un fallo, si hace falta cambiar el protocolo, si alguien necesita otra formación- se aparca para después del servicio. Si el mismo hecho se repite una vez corregido en caliente, ya no es un despiste puntual: es señal de que el protocolo tiene un hueco o de que la persona necesita otra conversación, sin la presión del pase. Esa conversación posterior, uno a uno, profundiza donde el aparte en caliente no llega, con sus propias preguntas para ir del hecho puntual a la causa, y son las que recoge el cuadro siguiente.</w:t>
      </w:r>
    </w:p>
    <w:p>
      <w:r>
        <w:rPr>
          <w:b/>
          <w:i w:val="0"/>
        </w:rPr>
        <w:t>El guion de la reunión semanal, punto a punto y minuto a minuto (reuniones-acuerdos-plan-90-dias.xlsx, hoja «Guion de Reunión Semanal»)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Orden</w:t>
            </w:r>
          </w:p>
        </w:tc>
        <w:tc>
          <w:tcPr>
            <w:tcW w:type="dxa" w:w="1949"/>
          </w:tcPr>
          <w:p>
            <w:r/>
            <w:r>
              <w:rPr>
                <w:b/>
                <w:i w:val="0"/>
              </w:rPr>
              <w:t>Punto</w:t>
            </w:r>
          </w:p>
        </w:tc>
        <w:tc>
          <w:tcPr>
            <w:tcW w:type="dxa" w:w="1949"/>
          </w:tcPr>
          <w:p>
            <w:r/>
            <w:r>
              <w:rPr>
                <w:b/>
                <w:i w:val="0"/>
              </w:rPr>
              <w:t>Minutos</w:t>
            </w:r>
          </w:p>
        </w:tc>
        <w:tc>
          <w:tcPr>
            <w:tcW w:type="dxa" w:w="1949"/>
          </w:tcPr>
          <w:p>
            <w:r/>
            <w:r>
              <w:rPr>
                <w:b/>
                <w:i w:val="0"/>
              </w:rPr>
              <w:t>Herramienta de la que salen los datos</w:t>
            </w:r>
          </w:p>
        </w:tc>
        <w:tc>
          <w:tcPr>
            <w:tcW w:type="dxa" w:w="1949"/>
          </w:tcPr>
          <w:p>
            <w:r/>
            <w:r>
              <w:rPr>
                <w:b/>
                <w:i w:val="0"/>
              </w:rPr>
              <w:t>Responsable</w:t>
            </w:r>
          </w:p>
        </w:tc>
      </w:tr>
      <w:tr>
        <w:tc>
          <w:tcPr>
            <w:tcW w:type="dxa" w:w="1949"/>
          </w:tcPr>
          <w:p>
            <w:r/>
            <w:r>
              <w:rPr>
                <w:b w:val="0"/>
                <w:i w:val="0"/>
              </w:rPr>
              <w:t>1</w:t>
            </w:r>
          </w:p>
        </w:tc>
        <w:tc>
          <w:tcPr>
            <w:tcW w:type="dxa" w:w="1949"/>
          </w:tcPr>
          <w:p>
            <w:r/>
            <w:r>
              <w:rPr>
                <w:b w:val="0"/>
                <w:i w:val="0"/>
              </w:rPr>
              <w:t>Los números de la semana que cierra</w:t>
            </w:r>
          </w:p>
        </w:tc>
        <w:tc>
          <w:tcPr>
            <w:tcW w:type="dxa" w:w="1949"/>
          </w:tcPr>
          <w:p>
            <w:r/>
            <w:r>
              <w:rPr>
                <w:b w:val="0"/>
                <w:i w:val="0"/>
              </w:rPr>
              <w:t>5</w:t>
            </w:r>
          </w:p>
        </w:tc>
        <w:tc>
          <w:tcPr>
            <w:tcW w:type="dxa" w:w="1949"/>
          </w:tcPr>
          <w:p>
            <w:r/>
            <w:r>
              <w:rPr>
                <w:b w:val="0"/>
                <w:i w:val="0"/>
              </w:rPr>
              <w:t>Cuadro de mando semanal</w:t>
            </w:r>
          </w:p>
        </w:tc>
        <w:tc>
          <w:tcPr>
            <w:tcW w:type="dxa" w:w="1949"/>
          </w:tcPr>
          <w:p>
            <w:r/>
            <w:r>
              <w:rPr>
                <w:b w:val="0"/>
                <w:i w:val="0"/>
              </w:rPr>
              <w:t>P01 · Marta L.</w:t>
            </w:r>
          </w:p>
        </w:tc>
      </w:tr>
      <w:tr>
        <w:tc>
          <w:tcPr>
            <w:tcW w:type="dxa" w:w="1949"/>
          </w:tcPr>
          <w:p>
            <w:r/>
            <w:r>
              <w:rPr>
                <w:b w:val="0"/>
                <w:i w:val="0"/>
              </w:rPr>
              <w:t>2</w:t>
            </w:r>
          </w:p>
        </w:tc>
        <w:tc>
          <w:tcPr>
            <w:tcW w:type="dxa" w:w="1949"/>
          </w:tcPr>
          <w:p>
            <w:r/>
            <w:r>
              <w:rPr>
                <w:b w:val="0"/>
                <w:i w:val="0"/>
              </w:rPr>
              <w:t>Qué hay detrás de cada semáforo en rojo</w:t>
            </w:r>
          </w:p>
        </w:tc>
        <w:tc>
          <w:tcPr>
            <w:tcW w:type="dxa" w:w="1949"/>
          </w:tcPr>
          <w:p>
            <w:r/>
            <w:r>
              <w:rPr>
                <w:b w:val="0"/>
                <w:i w:val="0"/>
              </w:rPr>
              <w:t>5</w:t>
            </w:r>
          </w:p>
        </w:tc>
        <w:tc>
          <w:tcPr>
            <w:tcW w:type="dxa" w:w="1949"/>
          </w:tcPr>
          <w:p>
            <w:r/>
            <w:r>
              <w:rPr>
                <w:b w:val="0"/>
                <w:i w:val="0"/>
              </w:rPr>
              <w:t>Cuadro de mando semanal</w:t>
            </w:r>
          </w:p>
        </w:tc>
        <w:tc>
          <w:tcPr>
            <w:tcW w:type="dxa" w:w="1949"/>
          </w:tcPr>
          <w:p>
            <w:r/>
            <w:r>
              <w:rPr>
                <w:b w:val="0"/>
                <w:i w:val="0"/>
              </w:rPr>
              <w:t>P01 · Marta L.</w:t>
            </w:r>
          </w:p>
        </w:tc>
      </w:tr>
      <w:tr>
        <w:tc>
          <w:tcPr>
            <w:tcW w:type="dxa" w:w="1949"/>
          </w:tcPr>
          <w:p>
            <w:r/>
            <w:r>
              <w:rPr>
                <w:b w:val="0"/>
                <w:i w:val="0"/>
              </w:rPr>
              <w:t>3</w:t>
            </w:r>
          </w:p>
        </w:tc>
        <w:tc>
          <w:tcPr>
            <w:tcW w:type="dxa" w:w="1949"/>
          </w:tcPr>
          <w:p>
            <w:r/>
            <w:r>
              <w:rPr>
                <w:b w:val="0"/>
                <w:i w:val="0"/>
              </w:rPr>
              <w:t>Quejas y reseñas de la semana: qué se repite</w:t>
            </w:r>
          </w:p>
        </w:tc>
        <w:tc>
          <w:tcPr>
            <w:tcW w:type="dxa" w:w="1949"/>
          </w:tcPr>
          <w:p>
            <w:r/>
            <w:r>
              <w:rPr>
                <w:b w:val="0"/>
                <w:i w:val="0"/>
              </w:rPr>
              <w:t>4</w:t>
            </w:r>
          </w:p>
        </w:tc>
        <w:tc>
          <w:tcPr>
            <w:tcW w:type="dxa" w:w="1949"/>
          </w:tcPr>
          <w:p>
            <w:r/>
            <w:r>
              <w:rPr>
                <w:b w:val="0"/>
                <w:i w:val="0"/>
              </w:rPr>
              <w:t>Quejas, reclamaciones y reseñas</w:t>
            </w:r>
          </w:p>
        </w:tc>
        <w:tc>
          <w:tcPr>
            <w:tcW w:type="dxa" w:w="1949"/>
          </w:tcPr>
          <w:p>
            <w:r/>
            <w:r>
              <w:rPr>
                <w:b w:val="0"/>
                <w:i w:val="0"/>
              </w:rPr>
              <w:t>P03 · Nuria C.</w:t>
            </w:r>
          </w:p>
        </w:tc>
      </w:tr>
      <w:tr>
        <w:tc>
          <w:tcPr>
            <w:tcW w:type="dxa" w:w="1949"/>
          </w:tcPr>
          <w:p>
            <w:r/>
            <w:r>
              <w:rPr>
                <w:b w:val="0"/>
                <w:i w:val="0"/>
              </w:rPr>
              <w:t>4</w:t>
            </w:r>
          </w:p>
        </w:tc>
        <w:tc>
          <w:tcPr>
            <w:tcW w:type="dxa" w:w="1949"/>
          </w:tcPr>
          <w:p>
            <w:r/>
            <w:r>
              <w:rPr>
                <w:b w:val="0"/>
                <w:i w:val="0"/>
              </w:rPr>
              <w:t>Acuerdos de la semana anterior: cerrados y pendientes</w:t>
            </w:r>
          </w:p>
        </w:tc>
        <w:tc>
          <w:tcPr>
            <w:tcW w:type="dxa" w:w="1949"/>
          </w:tcPr>
          <w:p>
            <w:r/>
            <w:r>
              <w:rPr>
                <w:b w:val="0"/>
                <w:i w:val="0"/>
              </w:rPr>
              <w:t>4</w:t>
            </w:r>
          </w:p>
        </w:tc>
        <w:tc>
          <w:tcPr>
            <w:tcW w:type="dxa" w:w="1949"/>
          </w:tcPr>
          <w:p>
            <w:r/>
            <w:r>
              <w:rPr>
                <w:b w:val="0"/>
                <w:i w:val="0"/>
              </w:rPr>
              <w:t>Actas y Acuerdos</w:t>
            </w:r>
          </w:p>
        </w:tc>
        <w:tc>
          <w:tcPr>
            <w:tcW w:type="dxa" w:w="1949"/>
          </w:tcPr>
          <w:p>
            <w:r/>
            <w:r>
              <w:rPr>
                <w:b w:val="0"/>
                <w:i w:val="0"/>
              </w:rPr>
              <w:t>P01 · Marta L.</w:t>
            </w:r>
          </w:p>
        </w:tc>
      </w:tr>
      <w:tr>
        <w:tc>
          <w:tcPr>
            <w:tcW w:type="dxa" w:w="1949"/>
          </w:tcPr>
          <w:p>
            <w:r/>
            <w:r>
              <w:rPr>
                <w:b w:val="0"/>
                <w:i w:val="0"/>
              </w:rPr>
              <w:t>5</w:t>
            </w:r>
          </w:p>
        </w:tc>
        <w:tc>
          <w:tcPr>
            <w:tcW w:type="dxa" w:w="1949"/>
          </w:tcPr>
          <w:p>
            <w:r/>
            <w:r>
              <w:rPr>
                <w:b w:val="0"/>
                <w:i w:val="0"/>
              </w:rPr>
              <w:t>La semana que entra: reservas, eventos y cuadrante</w:t>
            </w:r>
          </w:p>
        </w:tc>
        <w:tc>
          <w:tcPr>
            <w:tcW w:type="dxa" w:w="1949"/>
          </w:tcPr>
          <w:p>
            <w:r/>
            <w:r>
              <w:rPr>
                <w:b w:val="0"/>
                <w:i w:val="0"/>
              </w:rPr>
              <w:t>5</w:t>
            </w:r>
          </w:p>
        </w:tc>
        <w:tc>
          <w:tcPr>
            <w:tcW w:type="dxa" w:w="1949"/>
          </w:tcPr>
          <w:p>
            <w:r/>
            <w:r>
              <w:rPr>
                <w:b w:val="0"/>
                <w:i w:val="0"/>
              </w:rPr>
              <w:t>Cuadrante (Kit de Gestión de Personal)</w:t>
            </w:r>
          </w:p>
        </w:tc>
        <w:tc>
          <w:tcPr>
            <w:tcW w:type="dxa" w:w="1949"/>
          </w:tcPr>
          <w:p>
            <w:r/>
            <w:r>
              <w:rPr>
                <w:b w:val="0"/>
                <w:i w:val="0"/>
              </w:rPr>
              <w:t>P01 · Marta L.</w:t>
            </w:r>
          </w:p>
        </w:tc>
      </w:tr>
      <w:tr>
        <w:tc>
          <w:tcPr>
            <w:tcW w:type="dxa" w:w="1949"/>
          </w:tcPr>
          <w:p>
            <w:r/>
            <w:r>
              <w:rPr>
                <w:b w:val="0"/>
                <w:i w:val="0"/>
              </w:rPr>
              <w:t>6</w:t>
            </w:r>
          </w:p>
        </w:tc>
        <w:tc>
          <w:tcPr>
            <w:tcW w:type="dxa" w:w="1949"/>
          </w:tcPr>
          <w:p>
            <w:r/>
            <w:r>
              <w:rPr>
                <w:b w:val="0"/>
                <w:i w:val="0"/>
              </w:rPr>
              <w:t>Un punto que trae el equipo, por turno rotatorio</w:t>
            </w:r>
          </w:p>
        </w:tc>
        <w:tc>
          <w:tcPr>
            <w:tcW w:type="dxa" w:w="1949"/>
          </w:tcPr>
          <w:p>
            <w:r/>
            <w:r>
              <w:rPr>
                <w:b w:val="0"/>
                <w:i w:val="0"/>
              </w:rPr>
              <w:t>4</w:t>
            </w:r>
          </w:p>
        </w:tc>
        <w:tc>
          <w:tcPr>
            <w:tcW w:type="dxa" w:w="1949"/>
          </w:tcPr>
          <w:p>
            <w:r/>
          </w:p>
        </w:tc>
        <w:tc>
          <w:tcPr>
            <w:tcW w:type="dxa" w:w="1949"/>
          </w:tcPr>
          <w:p>
            <w:r/>
            <w:r>
              <w:rPr>
                <w:b w:val="0"/>
                <w:i w:val="0"/>
              </w:rPr>
              <w:t>Turno rotatorio del equipo</w:t>
            </w:r>
          </w:p>
        </w:tc>
      </w:tr>
      <w:tr>
        <w:tc>
          <w:tcPr>
            <w:tcW w:type="dxa" w:w="1949"/>
          </w:tcPr>
          <w:p>
            <w:r/>
            <w:r>
              <w:rPr>
                <w:b w:val="0"/>
                <w:i w:val="0"/>
              </w:rPr>
              <w:t>7</w:t>
            </w:r>
          </w:p>
        </w:tc>
        <w:tc>
          <w:tcPr>
            <w:tcW w:type="dxa" w:w="1949"/>
          </w:tcPr>
          <w:p>
            <w:r/>
            <w:r>
              <w:rPr>
                <w:b w:val="0"/>
                <w:i w:val="0"/>
              </w:rPr>
              <w:t>Acuerdos nuevos: qué, quién y para cuándo</w:t>
            </w:r>
          </w:p>
        </w:tc>
        <w:tc>
          <w:tcPr>
            <w:tcW w:type="dxa" w:w="1949"/>
          </w:tcPr>
          <w:p>
            <w:r/>
            <w:r>
              <w:rPr>
                <w:b w:val="0"/>
                <w:i w:val="0"/>
              </w:rPr>
              <w:t>3</w:t>
            </w:r>
          </w:p>
        </w:tc>
        <w:tc>
          <w:tcPr>
            <w:tcW w:type="dxa" w:w="1949"/>
          </w:tcPr>
          <w:p>
            <w:r/>
            <w:r>
              <w:rPr>
                <w:b w:val="0"/>
                <w:i w:val="0"/>
              </w:rPr>
              <w:t>Actas y Acuerdos</w:t>
            </w:r>
          </w:p>
        </w:tc>
        <w:tc>
          <w:tcPr>
            <w:tcW w:type="dxa" w:w="1949"/>
          </w:tcPr>
          <w:p>
            <w:r/>
            <w:r>
              <w:rPr>
                <w:b w:val="0"/>
                <w:i w:val="0"/>
              </w:rPr>
              <w:t>P01 · Marta L.</w:t>
            </w:r>
          </w:p>
        </w:tc>
      </w:tr>
    </w:tbl>
    <w:p/>
    <w:p>
      <w:r>
        <w:rPr>
          <w:b/>
          <w:i w:val="0"/>
        </w:rPr>
        <w:t>Las seis preguntas del uno-a-uno, y para qué sirve cada una (reuniones-acuerdos-plan-90-dias.xlsx, hoja «Uno-a-uno»)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t>
            </w:r>
          </w:p>
        </w:tc>
        <w:tc>
          <w:tcPr>
            <w:tcW w:type="dxa" w:w="3249"/>
          </w:tcPr>
          <w:p>
            <w:r/>
            <w:r>
              <w:rPr>
                <w:b/>
                <w:i w:val="0"/>
              </w:rPr>
              <w:t>Pregunta</w:t>
            </w:r>
          </w:p>
        </w:tc>
        <w:tc>
          <w:tcPr>
            <w:tcW w:type="dxa" w:w="3249"/>
          </w:tcPr>
          <w:p>
            <w:r/>
            <w:r>
              <w:rPr>
                <w:b/>
                <w:i w:val="0"/>
              </w:rPr>
              <w:t>Para qué sirve</w:t>
            </w:r>
          </w:p>
        </w:tc>
      </w:tr>
      <w:tr>
        <w:tc>
          <w:tcPr>
            <w:tcW w:type="dxa" w:w="3249"/>
          </w:tcPr>
          <w:p>
            <w:r/>
            <w:r>
              <w:rPr>
                <w:b w:val="0"/>
                <w:i w:val="0"/>
              </w:rPr>
              <w:t>1</w:t>
            </w:r>
          </w:p>
        </w:tc>
        <w:tc>
          <w:tcPr>
            <w:tcW w:type="dxa" w:w="3249"/>
          </w:tcPr>
          <w:p>
            <w:r/>
            <w:r>
              <w:rPr>
                <w:b w:val="0"/>
                <w:i w:val="0"/>
              </w:rPr>
              <w:t>¿Qué te está saliendo bien desde la última vez que hablamos?</w:t>
            </w:r>
          </w:p>
        </w:tc>
        <w:tc>
          <w:tcPr>
            <w:tcW w:type="dxa" w:w="3249"/>
          </w:tcPr>
          <w:p>
            <w:r/>
            <w:r>
              <w:rPr>
                <w:b w:val="0"/>
                <w:i w:val="0"/>
              </w:rPr>
              <w:t>Abre en positivo y saca a la luz lo que está funcionando y no se cuenta nunca.</w:t>
            </w:r>
          </w:p>
        </w:tc>
      </w:tr>
      <w:tr>
        <w:tc>
          <w:tcPr>
            <w:tcW w:type="dxa" w:w="3249"/>
          </w:tcPr>
          <w:p>
            <w:r/>
            <w:r>
              <w:rPr>
                <w:b w:val="0"/>
                <w:i w:val="0"/>
              </w:rPr>
              <w:t>2</w:t>
            </w:r>
          </w:p>
        </w:tc>
        <w:tc>
          <w:tcPr>
            <w:tcW w:type="dxa" w:w="3249"/>
          </w:tcPr>
          <w:p>
            <w:r/>
            <w:r>
              <w:rPr>
                <w:b w:val="0"/>
                <w:i w:val="0"/>
              </w:rPr>
              <w:t>¿Qué te está costando y qué necesitas de mí para desatascarlo?</w:t>
            </w:r>
          </w:p>
        </w:tc>
        <w:tc>
          <w:tcPr>
            <w:tcW w:type="dxa" w:w="3249"/>
          </w:tcPr>
          <w:p>
            <w:r/>
            <w:r>
              <w:rPr>
                <w:b w:val="0"/>
                <w:i w:val="0"/>
              </w:rPr>
              <w:t>La pregunta más útil de las seis: convierte una queja en una petición concreta que tú puedes resolver.</w:t>
            </w:r>
          </w:p>
        </w:tc>
      </w:tr>
      <w:tr>
        <w:tc>
          <w:tcPr>
            <w:tcW w:type="dxa" w:w="3249"/>
          </w:tcPr>
          <w:p>
            <w:r/>
            <w:r>
              <w:rPr>
                <w:b w:val="0"/>
                <w:i w:val="0"/>
              </w:rPr>
              <w:t>3</w:t>
            </w:r>
          </w:p>
        </w:tc>
        <w:tc>
          <w:tcPr>
            <w:tcW w:type="dxa" w:w="3249"/>
          </w:tcPr>
          <w:p>
            <w:r/>
            <w:r>
              <w:rPr>
                <w:b w:val="0"/>
                <w:i w:val="0"/>
              </w:rPr>
              <w:t>¿Hay algo del servicio que tú harías de otra manera?</w:t>
            </w:r>
          </w:p>
        </w:tc>
        <w:tc>
          <w:tcPr>
            <w:tcW w:type="dxa" w:w="3249"/>
          </w:tcPr>
          <w:p>
            <w:r/>
            <w:r>
              <w:rPr>
                <w:b w:val="0"/>
                <w:i w:val="0"/>
              </w:rPr>
              <w:t>El que está en la partida ve cosas que tú no ves desde la oficina. Aquí es donde salen.</w:t>
            </w:r>
          </w:p>
        </w:tc>
      </w:tr>
      <w:tr>
        <w:tc>
          <w:tcPr>
            <w:tcW w:type="dxa" w:w="3249"/>
          </w:tcPr>
          <w:p>
            <w:r/>
            <w:r>
              <w:rPr>
                <w:b w:val="0"/>
                <w:i w:val="0"/>
              </w:rPr>
              <w:t>4</w:t>
            </w:r>
          </w:p>
        </w:tc>
        <w:tc>
          <w:tcPr>
            <w:tcW w:type="dxa" w:w="3249"/>
          </w:tcPr>
          <w:p>
            <w:r/>
            <w:r>
              <w:rPr>
                <w:b w:val="0"/>
                <w:i w:val="0"/>
              </w:rPr>
              <w:t>¿Qué estación te gustaría aprender o dominar mejor?</w:t>
            </w:r>
          </w:p>
        </w:tc>
        <w:tc>
          <w:tcPr>
            <w:tcW w:type="dxa" w:w="3249"/>
          </w:tcPr>
          <w:p>
            <w:r/>
            <w:r>
              <w:rPr>
                <w:b w:val="0"/>
                <w:i w:val="0"/>
              </w:rPr>
              <w:t>Es la que alimenta la matriz de formación y polivalencia: quién quiere aprender qué.</w:t>
            </w:r>
          </w:p>
        </w:tc>
      </w:tr>
      <w:tr>
        <w:tc>
          <w:tcPr>
            <w:tcW w:type="dxa" w:w="3249"/>
          </w:tcPr>
          <w:p>
            <w:r/>
            <w:r>
              <w:rPr>
                <w:b w:val="0"/>
                <w:i w:val="0"/>
              </w:rPr>
              <w:t>5</w:t>
            </w:r>
          </w:p>
        </w:tc>
        <w:tc>
          <w:tcPr>
            <w:tcW w:type="dxa" w:w="3249"/>
          </w:tcPr>
          <w:p>
            <w:r/>
            <w:r>
              <w:rPr>
                <w:b w:val="0"/>
                <w:i w:val="0"/>
              </w:rPr>
              <w:t>¿Hay algo que yo debería saber y que no te he preguntado?</w:t>
            </w:r>
          </w:p>
        </w:tc>
        <w:tc>
          <w:tcPr>
            <w:tcW w:type="dxa" w:w="3249"/>
          </w:tcPr>
          <w:p>
            <w:r/>
            <w:r>
              <w:rPr>
                <w:b w:val="0"/>
                <w:i w:val="0"/>
              </w:rPr>
              <w:t>La pregunta abierta obligatoria. Deja el silencio: la respuesta suele llegar después de unos segundos.</w:t>
            </w:r>
          </w:p>
        </w:tc>
      </w:tr>
      <w:tr>
        <w:tc>
          <w:tcPr>
            <w:tcW w:type="dxa" w:w="3249"/>
          </w:tcPr>
          <w:p>
            <w:r/>
            <w:r>
              <w:rPr>
                <w:b w:val="0"/>
                <w:i w:val="0"/>
              </w:rPr>
              <w:t>6</w:t>
            </w:r>
          </w:p>
        </w:tc>
        <w:tc>
          <w:tcPr>
            <w:tcW w:type="dxa" w:w="3249"/>
          </w:tcPr>
          <w:p>
            <w:r/>
            <w:r>
              <w:rPr>
                <w:b w:val="0"/>
                <w:i w:val="0"/>
              </w:rPr>
              <w:t>¿Qué compromiso concreto nos llevamos cada uno de esta conversación?</w:t>
            </w:r>
          </w:p>
        </w:tc>
        <w:tc>
          <w:tcPr>
            <w:tcW w:type="dxa" w:w="3249"/>
          </w:tcPr>
          <w:p>
            <w:r/>
            <w:r>
              <w:rPr>
                <w:b w:val="0"/>
                <w:i w:val="0"/>
              </w:rPr>
              <w:t>Cierra con un compromiso de cada lado. Lo que salga de aquí va a la hoja «Actas y Acuerdos», no a tu memoria.</w:t>
            </w:r>
          </w:p>
        </w:tc>
      </w:tr>
    </w:tbl>
    <w:p/>
    <w:p>
      <w:pPr>
        <w:jc w:val="center"/>
      </w:pPr>
      <w:r>
        <w:rPr>
          <w:i/>
          <w:color w:val="444444"/>
        </w:rPr>
        <w:t>El uno-a-uno no es una evaluación ni una bronca: es el único sitio donde se entera uno de lo que no se dice en el pase.</w:t>
      </w:r>
    </w:p>
    <w:p>
      <w:r>
        <w:br w:type="page"/>
      </w:r>
    </w:p>
    <w:p>
      <w:pPr>
        <w:pStyle w:val="Heading1"/>
      </w:pPr>
      <w:r>
        <w:t>17. Quejas, Hojas de Reclamaciones y Reseñas: Tres Cosas Distintas</w:t>
      </w:r>
    </w:p>
    <w:p>
      <w:pPr>
        <w:pStyle w:val="Heading2"/>
      </w:pPr>
      <w:r>
        <w:t>La queja en sala: el protocolo de los primeros cinco minutos</w:t>
      </w:r>
    </w:p>
    <w:p>
      <w:r>
        <w:rPr>
          <w:b w:val="0"/>
          <w:i w:val="0"/>
        </w:rPr>
        <w:t>Una queja que llega a la mesa no admite prórroga: se resuelve mientras el cliente sigue sentado o ya no se resuelve, porque en cuanto cruza la puerta el margen de maniobra ha desaparecido. El protocolo tiene cuatro movimientos y el orden importa. Primero, escuchar sin interrumpir: dejar que la persona termine la frase antes de responder, aunque el camarero (mesero) que atendió la mesa esté convencido de su propia versión de los hechos. Segundo, no discutir el hecho en ese momento: la sala (salón) llena no es el sitio para dirimir quién tiene razón, y entrar en esa discusión delante de las mesas vecinas convierte una queja puntual en un espectáculo para todo el comedor. Tercero, ofrecer una solución concreta, algo que el cliente pueda ver u obtener antes de marcharse, nunca una disculpa genérica sin contrapartida. Cuarto, anotarla: quién la puso, a qué hora, sobre qué plato o qué parte del servicio, y qué solución se le ofreció.</w:t>
      </w:r>
    </w:p>
    <w:p>
      <w:r>
        <w:rPr>
          <w:b w:val="0"/>
          <w:i w:val="0"/>
        </w:rPr>
        <w:t>Lo que convierte esos cuatro movimientos en gestión, y no en simple cortesía de sala, es el último paso y no el tercero. Ofrecer una compensación en el momento resuelve al cliente que se tiene delante; anotar la queja es lo único que deja un rastro que después se puede sumar con las demás, clasificar por motivo y convertir en una decisión sobre cómo funciona el servicio. Un manager (gerente/encargado) que resuelve diez quejas de manera impecable pero no registra ninguna no tiene diez soluciones: tiene diez anécdotas que se olvidan a la semana siguiente, y ninguna herramienta, por buena que sea, puede analizar un dato que nadie llegó a escribir.</w:t>
      </w:r>
    </w:p>
    <w:p>
      <w:pPr>
        <w:pStyle w:val="Heading2"/>
      </w:pPr>
      <w:r>
        <w:t>La hoja de reclamaciones: qué es, qué obliga y quién pone los plazos</w:t>
      </w:r>
    </w:p>
    <w:p>
      <w:r>
        <w:rPr>
          <w:b w:val="0"/>
          <w:i w:val="0"/>
        </w:rPr>
        <w:t>La hoja de reclamaciones no es una queja con papel de por medio: es un procedimiento administrativo de competencia autonómica, y ahí está la clave para entender por qué este capítulo no cita un único artículo estatal para ella. Cada comunidad autónoma la regula en su propia normativa de consumo, y es esa normativa la que obliga a tenerla a disposición del cliente, a anunciar con un cartel visible que existe y a entregarla sin condiciones ni preguntas sobre el motivo en cuanto alguien la pide. Negarse a facilitarla no es una descortesía: es una infracción en materia de consumo por sí misma, con independencia de que la reclamación de fondo prospere después o no.</w:t>
      </w:r>
    </w:p>
    <w:p>
      <w:r>
        <w:rPr>
          <w:b w:val="0"/>
          <w:i w:val="0"/>
        </w:rPr>
        <w:t>Las cuantías de esa infracción, dentro del régimen general de infracciones en materia de consumo, están tasadas por gravedad: de 150 € a 10.000 € en las leves, de 10.001 € a 100.000 € en las graves y de 100.001 € a 1.000.000 € en las muy graves, y esos techos pueden además sobrepasarse hasta alcanzar entre dos y ocho veces el beneficio ilícito obtenido, de modo que la multa no tiene un techo nominal real cuando ese beneficio es alto (TRLGDCU, RDLeg 1/2007, arts. 48 a 50, 2026). Como sanciones accesorias caben el comiso, la publicidad de la sanción con nombre y razón social, y el cierre del establecimiento hasta cinco años. Todo eso por negarse a entregar un impreso, antes incluso de entrar a valorar si el cliente tenía razón en lo que reclamaba.</w:t>
      </w:r>
    </w:p>
    <w:p>
      <w:pPr>
        <w:pStyle w:val="Heading2"/>
      </w:pPr>
      <w:r>
        <w:t>Los plazos de tu comunidad y cómo se cuentan</w:t>
      </w:r>
    </w:p>
    <w:p>
      <w:r>
        <w:rPr>
          <w:b w:val="0"/>
          <w:i w:val="0"/>
        </w:rPr>
        <w:t>Una vez entregada la hoja, se abre un plazo para contestar por escrito, y ese plazo -igual que la propia existencia de la hoja- lo fija cada comunidad autónoma con su normativa de consumo. Lo primero que hay que fijar antes de contar ese plazo es la unidad: unas comunidades lo cuentan en días naturales y otras en días hábiles, y confundir una unidad con la otra es la manera más rápida de creer que se ha contestado a tiempo cuando no es así, o de dejar pasar días de margen que en realidad no existían. El cuadro que sigue recoge los plazos que están verificados para esta edición; para el resto de comunidades trae una casilla editable, pensada para que el manager introduzca el plazo exacto de su territorio en cuanto lo compruebe en la normativa que le corresponde, en vez de operar con una cifra que no es la suya.</w:t>
      </w:r>
    </w:p>
    <w:p>
      <w:r>
        <w:rPr>
          <w:b w:val="0"/>
          <w:i w:val="0"/>
        </w:rPr>
        <w:t>Ese cuidado con la unidad de cuenta no es un formalismo de oficina. De las tres reclamaciones formales que «La Encina» registró este trimestre, el 66,7 % se contestaron dentro de plazo, y ese dato sólo tiene sentido si el plazo con el que se compara está contado en la unidad que marca la normativa de la comunidad donde está el local, y no en la que trae por defecto cualquier plantilla genérica. Un plazo bien contado protege al negocio de una sanción evitable; uno mal contado, aunque la respuesta se haya redactado a tiempo, no sirve de nada si se presenta fuera del cómputo real.</w:t>
      </w:r>
    </w:p>
    <w:p>
      <w:pPr>
        <w:pStyle w:val="Heading2"/>
      </w:pPr>
      <w:r>
        <w:t>Reseñas: quién responde, en cuántos días y con qué tono</w:t>
      </w:r>
    </w:p>
    <w:p>
      <w:r>
        <w:rPr>
          <w:b w:val="0"/>
          <w:i w:val="0"/>
        </w:rPr>
        <w:t>De las 40 reseñas que acumula «La Encina», la media se sitúa en 4,08 estrellas, y esa cifra no es un adorno de la ficha del local: es la puerta de entrada para buena parte de quien decide reservar sin haber pisado antes el restaurante. Una estrella más en una plataforma como Yelp está asociada a un aumento de entre el 5 y el 9 % en los ingresos del restaurante, y ese efecto lo mueven sobre todo los locales independientes, porque las cadenas apenas se ven afectadas por su puntuación (Luca, HBS Working Paper 12-016, 2026). Medio punto más de estrellas, además, se asocia a que el local agote antes las mesas de cuatro personas en la franja de las 19:00 horas, un 49 % más a menudo, que equivale a 19 puntos porcentuales más; a las 18:00 el mismo efecto se queda en 11 puntos y a las 20:00 en 15, y los propios autores del estudio advierten de que sólo el resultado de las 19:00 alcanza significación estadística (Anderson y Magruder, The Economic Journal 122, 2026). La reputación pública, en otras palabras, no es un ejercicio de imagen: mueve la caja del turno más cargado.</w:t>
      </w:r>
    </w:p>
    <w:p>
      <w:r>
        <w:rPr>
          <w:b w:val="0"/>
          <w:i w:val="0"/>
        </w:rPr>
        <w:t>Eso hace que la manera de responder importe tanto como la nota en sí. La regla de la casa es sencilla de enunciar y exigente de sostener: se responde a todas las reseñas dentro de un plazo propio, sin dejar ninguna en el limbo; responde siempre la misma persona, para que el tono no cambie según quién esté de turno esa semana; y ese tono es idéntico tanto si la reseña es justa como si no lo es. Lo que no se hace, bajo ningún concepto, es discutir los hechos en un comentario público, insinuar que quien escribe miente o pedirle a la plataforma que retire la reseña: las tres cosas trasladan la discusión de una mesa a un escaparate que no se cierra nunca, y el desgaste de esa discusión pública dura mucho más que el de la reseña que la originó.</w:t>
      </w:r>
    </w:p>
    <w:p>
      <w:r>
        <w:rPr>
          <w:b w:val="0"/>
          <w:i w:val="0"/>
        </w:rPr>
        <w:t>Una reseña negativa que se queda semanas sin respuesta se lee, para cualquiera que la encuentre después, como una admisión tácita de que el problema sigue ahí; la misma reseña contestada dentro del plazo propio de la casa, aunque no cambie lo que ya ocurrió, demuestra que hay alguien al otro lado del negocio prestando atención. Y una reseña positiva sin respuesta también tiene coste de oportunidad: es la ocasión más barata de reforzar en público, con nombre propio, lo que ese cliente ya ha dicho gratis. La media de 4,08 estrellas no se protege escribiendo mejor una reseña que otra, sino sosteniendo la misma disciplina de respuesta con las 40, sin excepciones para las cómodas ni prisas para las incómodas.</w:t>
      </w:r>
    </w:p>
    <w:p>
      <w:pPr>
        <w:pStyle w:val="Heading2"/>
      </w:pPr>
      <w:r>
        <w:t>Qué te dicen tus quejas cuando las cuentas</w:t>
      </w:r>
    </w:p>
    <w:p>
      <w:r>
        <w:rPr>
          <w:b w:val="0"/>
          <w:i w:val="0"/>
        </w:rPr>
        <w:t>Una queja suelta es una anécdota de turno; treinta quejas anotadas y clasificadas por motivo son un plan de trabajo, y ahí está la diferencia real entre servicio y gestión. Ese recuento trimestral no aparece de la nada: existe porque cada una de esas quejas se anotó en el momento, con su motivo y su hora, en vez de quedarse en la memoria de quien la atendió esa noche. El trimestre de «La Encina» cerró con 30 quejas registradas, y el motivo que más se repite es «Espera excesiva», con 10 quejas de ese mismo motivo. Ese recuento no dice todavía qué hacer con el detalle de cada mesa, pero sí dice hacia dónde mirar primero: no hacia la carta en general ni hacia un plato concreto, sino hacia el punto exacto del servicio donde el cliente empieza a mirar el reloj, ya sea el tiempo entre la comanda y la salida del primer plato o el tiempo entre platos sucesivos. Sin el recuento por motivo, esas diez quejas se disuelven entre las otras veinte y compiten por atención con cualquier otra cosa que haya salido mal esa semana; contadas y agrupadas, señalan un único punto de la operación sobre el que decidir, en vez de una lista de incidencias sueltas sin patrón.</w:t>
      </w:r>
    </w:p>
    <w:p>
      <w:r>
        <w:rPr>
          <w:b w:val="0"/>
          <w:i w:val="0"/>
        </w:rPr>
        <w:t>La segunda vuelta de tuerca es medir el propio cierre, no sólo el motivo. Cada gravedad de queja tiene, en el acuerdo de nivel de servicio de la casa, su plazo de cierre en días, y lo que se mide no es cuántas quejas hubo, sino si cada una se cerró dentro del plazo que la propia casa se puso. En «La Encina», el tiempo medio hasta el cierre de una queja es de 1,1 días, con 28 quejas cerradas dentro de ese plazo propio y un cumplimiento del 93,3 %. Ese porcentaje es el verdadero indicador de gestión de este capítulo: no cuenta si hubo pocas o muchas quejas, cuenta si el compromiso que la casa fijó consigo misma se sostuvo servicio tras servicio. Un manager que revisa ese cumplimiento cada trimestre, motivo por motivo y plazo por plazo, deja de reaccionar a la queja de hoy y empieza a dirigir el servicio de mañana.</w:t>
      </w:r>
    </w:p>
    <w:p>
      <w:r>
        <w:rPr>
          <w:b/>
          <w:i w:val="0"/>
        </w:rPr>
        <w:t>El plazo para contestar una reclamación formal depende de tu comunidad (quejas-reclamaciones-resenas.xlsx, hoja «Parámetros»)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Comunidad</w:t>
            </w:r>
          </w:p>
        </w:tc>
        <w:tc>
          <w:tcPr>
            <w:tcW w:type="dxa" w:w="2436"/>
          </w:tcPr>
          <w:p>
            <w:r/>
            <w:r>
              <w:rPr>
                <w:b/>
                <w:i w:val="0"/>
              </w:rPr>
              <w:t>Plazo legal</w:t>
            </w:r>
          </w:p>
        </w:tc>
        <w:tc>
          <w:tcPr>
            <w:tcW w:type="dxa" w:w="2436"/>
          </w:tcPr>
          <w:p>
            <w:r/>
            <w:r>
              <w:rPr>
                <w:b/>
                <w:i w:val="0"/>
              </w:rPr>
              <w:t>Días para el aviso</w:t>
            </w:r>
          </w:p>
        </w:tc>
        <w:tc>
          <w:tcPr>
            <w:tcW w:type="dxa" w:w="2436"/>
          </w:tcPr>
          <w:p>
            <w:r/>
            <w:r>
              <w:rPr>
                <w:b/>
                <w:i w:val="0"/>
              </w:rPr>
              <w:t>Se cuentan</w:t>
            </w:r>
          </w:p>
        </w:tc>
      </w:tr>
      <w:tr>
        <w:tc>
          <w:tcPr>
            <w:tcW w:type="dxa" w:w="2436"/>
          </w:tcPr>
          <w:p>
            <w:r/>
            <w:r>
              <w:rPr>
                <w:b w:val="0"/>
                <w:i w:val="0"/>
              </w:rPr>
              <w:t>Cataluña</w:t>
            </w:r>
          </w:p>
        </w:tc>
        <w:tc>
          <w:tcPr>
            <w:tcW w:type="dxa" w:w="2436"/>
          </w:tcPr>
          <w:p>
            <w:r/>
            <w:r>
              <w:rPr>
                <w:b w:val="0"/>
                <w:i w:val="0"/>
              </w:rPr>
              <w:t>1 mes</w:t>
            </w:r>
          </w:p>
        </w:tc>
        <w:tc>
          <w:tcPr>
            <w:tcW w:type="dxa" w:w="2436"/>
          </w:tcPr>
          <w:p>
            <w:r/>
            <w:r>
              <w:rPr>
                <w:b w:val="0"/>
                <w:i w:val="0"/>
              </w:rPr>
              <w:t>28</w:t>
            </w:r>
          </w:p>
        </w:tc>
        <w:tc>
          <w:tcPr>
            <w:tcW w:type="dxa" w:w="2436"/>
          </w:tcPr>
          <w:p>
            <w:r/>
            <w:r>
              <w:rPr>
                <w:b w:val="0"/>
                <w:i w:val="0"/>
              </w:rPr>
              <w:t>Naturales</w:t>
            </w:r>
          </w:p>
        </w:tc>
      </w:tr>
      <w:tr>
        <w:tc>
          <w:tcPr>
            <w:tcW w:type="dxa" w:w="2436"/>
          </w:tcPr>
          <w:p>
            <w:r/>
            <w:r>
              <w:rPr>
                <w:b w:val="0"/>
                <w:i w:val="0"/>
              </w:rPr>
              <w:t>Andalucía</w:t>
            </w:r>
          </w:p>
        </w:tc>
        <w:tc>
          <w:tcPr>
            <w:tcW w:type="dxa" w:w="2436"/>
          </w:tcPr>
          <w:p>
            <w:r/>
            <w:r>
              <w:rPr>
                <w:b w:val="0"/>
                <w:i w:val="0"/>
              </w:rPr>
              <w:t>10 días hábiles</w:t>
            </w:r>
          </w:p>
        </w:tc>
        <w:tc>
          <w:tcPr>
            <w:tcW w:type="dxa" w:w="2436"/>
          </w:tcPr>
          <w:p>
            <w:r/>
            <w:r>
              <w:rPr>
                <w:b w:val="0"/>
                <w:i w:val="0"/>
              </w:rPr>
              <w:t>10</w:t>
            </w:r>
          </w:p>
        </w:tc>
        <w:tc>
          <w:tcPr>
            <w:tcW w:type="dxa" w:w="2436"/>
          </w:tcPr>
          <w:p>
            <w:r/>
            <w:r>
              <w:rPr>
                <w:b w:val="0"/>
                <w:i w:val="0"/>
              </w:rPr>
              <w:t>Hábiles</w:t>
            </w:r>
          </w:p>
        </w:tc>
      </w:tr>
      <w:tr>
        <w:tc>
          <w:tcPr>
            <w:tcW w:type="dxa" w:w="2436"/>
          </w:tcPr>
          <w:p>
            <w:r/>
            <w:r>
              <w:rPr>
                <w:b w:val="0"/>
                <w:i w:val="0"/>
              </w:rPr>
              <w:t>Otras comunidades</w:t>
            </w:r>
          </w:p>
        </w:tc>
        <w:tc>
          <w:tcPr>
            <w:tcW w:type="dxa" w:w="2436"/>
          </w:tcPr>
          <w:p>
            <w:r/>
          </w:p>
        </w:tc>
        <w:tc>
          <w:tcPr>
            <w:tcW w:type="dxa" w:w="2436"/>
          </w:tcPr>
          <w:p>
            <w:r/>
          </w:p>
        </w:tc>
        <w:tc>
          <w:tcPr>
            <w:tcW w:type="dxa" w:w="2436"/>
          </w:tcPr>
          <w:p>
            <w:r/>
          </w:p>
        </w:tc>
      </w:tr>
    </w:tbl>
    <w:p/>
    <w:p>
      <w:pPr>
        <w:jc w:val="center"/>
      </w:pPr>
      <w:r>
        <w:rPr>
          <w:i/>
          <w:color w:val="444444"/>
        </w:rPr>
        <w:t>Verificado el 04-09-2026 · Cataluña: Decret 121/2013 y art. 126-9 de la Llei 22/2010; Andalucía: Decreto 82/2022, arts. 4, 7 y 12 · https://www.boe.es/buscar/act.php?id=BOE-A-2015-11430 - la tercera fila es una casilla editable: consulta la norma de tu comunidad y escribe ahí tu plazo.</w:t>
      </w:r>
    </w:p>
    <w:p>
      <w:r>
        <w:rPr>
          <w:b/>
          <w:i w:val="0"/>
        </w:rPr>
        <w:t>Las quejas del trimestre, contadas por motivo (quejas-reclamaciones-resenas.xlsx, hoja «Resumen»)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Motivo</w:t>
            </w:r>
          </w:p>
        </w:tc>
        <w:tc>
          <w:tcPr>
            <w:tcW w:type="dxa" w:w="1949"/>
          </w:tcPr>
          <w:p>
            <w:r/>
            <w:r>
              <w:rPr>
                <w:b/>
                <w:i w:val="0"/>
              </w:rPr>
              <w:t>Quejas</w:t>
            </w:r>
          </w:p>
        </w:tc>
        <w:tc>
          <w:tcPr>
            <w:tcW w:type="dxa" w:w="1949"/>
          </w:tcPr>
          <w:p>
            <w:r/>
            <w:r>
              <w:rPr>
                <w:b/>
                <w:i w:val="0"/>
              </w:rPr>
              <w:t>Porcentaje del total</w:t>
            </w:r>
          </w:p>
        </w:tc>
        <w:tc>
          <w:tcPr>
            <w:tcW w:type="dxa" w:w="1949"/>
          </w:tcPr>
          <w:p>
            <w:r/>
            <w:r>
              <w:rPr>
                <w:b/>
                <w:i w:val="0"/>
              </w:rPr>
              <w:t>Días medios hasta el cierre</w:t>
            </w:r>
          </w:p>
        </w:tc>
        <w:tc>
          <w:tcPr>
            <w:tcW w:type="dxa" w:w="1949"/>
          </w:tcPr>
          <w:p>
            <w:r/>
            <w:r>
              <w:rPr>
                <w:b/>
                <w:i w:val="0"/>
              </w:rPr>
              <w:t>Fuera del plazo de la casa</w:t>
            </w:r>
          </w:p>
        </w:tc>
      </w:tr>
      <w:tr>
        <w:tc>
          <w:tcPr>
            <w:tcW w:type="dxa" w:w="1949"/>
          </w:tcPr>
          <w:p>
            <w:r/>
            <w:r>
              <w:rPr>
                <w:b w:val="0"/>
                <w:i w:val="0"/>
              </w:rPr>
              <w:t>Espera excesiva</w:t>
            </w:r>
          </w:p>
        </w:tc>
        <w:tc>
          <w:tcPr>
            <w:tcW w:type="dxa" w:w="1949"/>
          </w:tcPr>
          <w:p>
            <w:r/>
            <w:r>
              <w:rPr>
                <w:b w:val="0"/>
                <w:i w:val="0"/>
              </w:rPr>
              <w:t>10</w:t>
            </w:r>
          </w:p>
        </w:tc>
        <w:tc>
          <w:tcPr>
            <w:tcW w:type="dxa" w:w="1949"/>
          </w:tcPr>
          <w:p>
            <w:r/>
            <w:r>
              <w:rPr>
                <w:b w:val="0"/>
                <w:i w:val="0"/>
              </w:rPr>
              <w:t>33,3 %</w:t>
            </w:r>
          </w:p>
        </w:tc>
        <w:tc>
          <w:tcPr>
            <w:tcW w:type="dxa" w:w="1949"/>
          </w:tcPr>
          <w:p>
            <w:r/>
            <w:r>
              <w:rPr>
                <w:b w:val="0"/>
                <w:i w:val="0"/>
              </w:rPr>
              <w:t>1,1</w:t>
            </w:r>
          </w:p>
        </w:tc>
        <w:tc>
          <w:tcPr>
            <w:tcW w:type="dxa" w:w="1949"/>
          </w:tcPr>
          <w:p>
            <w:r/>
            <w:r>
              <w:rPr>
                <w:b w:val="0"/>
                <w:i w:val="0"/>
              </w:rPr>
              <w:t>0</w:t>
            </w:r>
          </w:p>
        </w:tc>
      </w:tr>
      <w:tr>
        <w:tc>
          <w:tcPr>
            <w:tcW w:type="dxa" w:w="1949"/>
          </w:tcPr>
          <w:p>
            <w:r/>
            <w:r>
              <w:rPr>
                <w:b w:val="0"/>
                <w:i w:val="0"/>
              </w:rPr>
              <w:t>Plato frío o mal temperado</w:t>
            </w:r>
          </w:p>
        </w:tc>
        <w:tc>
          <w:tcPr>
            <w:tcW w:type="dxa" w:w="1949"/>
          </w:tcPr>
          <w:p>
            <w:r/>
            <w:r>
              <w:rPr>
                <w:b w:val="0"/>
                <w:i w:val="0"/>
              </w:rPr>
              <w:t>2</w:t>
            </w:r>
          </w:p>
        </w:tc>
        <w:tc>
          <w:tcPr>
            <w:tcW w:type="dxa" w:w="1949"/>
          </w:tcPr>
          <w:p>
            <w:r/>
            <w:r>
              <w:rPr>
                <w:b w:val="0"/>
                <w:i w:val="0"/>
              </w:rPr>
              <w:t>6,7 %</w:t>
            </w:r>
          </w:p>
        </w:tc>
        <w:tc>
          <w:tcPr>
            <w:tcW w:type="dxa" w:w="1949"/>
          </w:tcPr>
          <w:p>
            <w:r/>
            <w:r>
              <w:rPr>
                <w:b w:val="0"/>
                <w:i w:val="0"/>
              </w:rPr>
              <w:t>0,5</w:t>
            </w:r>
          </w:p>
        </w:tc>
        <w:tc>
          <w:tcPr>
            <w:tcW w:type="dxa" w:w="1949"/>
          </w:tcPr>
          <w:p>
            <w:r/>
            <w:r>
              <w:rPr>
                <w:b w:val="0"/>
                <w:i w:val="0"/>
              </w:rPr>
              <w:t>0</w:t>
            </w:r>
          </w:p>
        </w:tc>
      </w:tr>
      <w:tr>
        <w:tc>
          <w:tcPr>
            <w:tcW w:type="dxa" w:w="1949"/>
          </w:tcPr>
          <w:p>
            <w:r/>
            <w:r>
              <w:rPr>
                <w:b w:val="0"/>
                <w:i w:val="0"/>
              </w:rPr>
              <w:t>Error en la comanda</w:t>
            </w:r>
          </w:p>
        </w:tc>
        <w:tc>
          <w:tcPr>
            <w:tcW w:type="dxa" w:w="1949"/>
          </w:tcPr>
          <w:p>
            <w:r/>
            <w:r>
              <w:rPr>
                <w:b w:val="0"/>
                <w:i w:val="0"/>
              </w:rPr>
              <w:t>4</w:t>
            </w:r>
          </w:p>
        </w:tc>
        <w:tc>
          <w:tcPr>
            <w:tcW w:type="dxa" w:w="1949"/>
          </w:tcPr>
          <w:p>
            <w:r/>
            <w:r>
              <w:rPr>
                <w:b w:val="0"/>
                <w:i w:val="0"/>
              </w:rPr>
              <w:t>13,3 %</w:t>
            </w:r>
          </w:p>
        </w:tc>
        <w:tc>
          <w:tcPr>
            <w:tcW w:type="dxa" w:w="1949"/>
          </w:tcPr>
          <w:p>
            <w:r/>
            <w:r>
              <w:rPr>
                <w:b w:val="0"/>
                <w:i w:val="0"/>
              </w:rPr>
              <w:t>0,0</w:t>
            </w:r>
          </w:p>
        </w:tc>
        <w:tc>
          <w:tcPr>
            <w:tcW w:type="dxa" w:w="1949"/>
          </w:tcPr>
          <w:p>
            <w:r/>
            <w:r>
              <w:rPr>
                <w:b w:val="0"/>
                <w:i w:val="0"/>
              </w:rPr>
              <w:t>0</w:t>
            </w:r>
          </w:p>
        </w:tc>
      </w:tr>
      <w:tr>
        <w:tc>
          <w:tcPr>
            <w:tcW w:type="dxa" w:w="1949"/>
          </w:tcPr>
          <w:p>
            <w:r/>
            <w:r>
              <w:rPr>
                <w:b w:val="0"/>
                <w:i w:val="0"/>
              </w:rPr>
              <w:t>Trato del personal</w:t>
            </w:r>
          </w:p>
        </w:tc>
        <w:tc>
          <w:tcPr>
            <w:tcW w:type="dxa" w:w="1949"/>
          </w:tcPr>
          <w:p>
            <w:r/>
            <w:r>
              <w:rPr>
                <w:b w:val="0"/>
                <w:i w:val="0"/>
              </w:rPr>
              <w:t>4</w:t>
            </w:r>
          </w:p>
        </w:tc>
        <w:tc>
          <w:tcPr>
            <w:tcW w:type="dxa" w:w="1949"/>
          </w:tcPr>
          <w:p>
            <w:r/>
            <w:r>
              <w:rPr>
                <w:b w:val="0"/>
                <w:i w:val="0"/>
              </w:rPr>
              <w:t>13,3 %</w:t>
            </w:r>
          </w:p>
        </w:tc>
        <w:tc>
          <w:tcPr>
            <w:tcW w:type="dxa" w:w="1949"/>
          </w:tcPr>
          <w:p>
            <w:r/>
            <w:r>
              <w:rPr>
                <w:b w:val="0"/>
                <w:i w:val="0"/>
              </w:rPr>
              <w:t>2,0</w:t>
            </w:r>
          </w:p>
        </w:tc>
        <w:tc>
          <w:tcPr>
            <w:tcW w:type="dxa" w:w="1949"/>
          </w:tcPr>
          <w:p>
            <w:r/>
            <w:r>
              <w:rPr>
                <w:b w:val="0"/>
                <w:i w:val="0"/>
              </w:rPr>
              <w:t>1</w:t>
            </w:r>
          </w:p>
        </w:tc>
      </w:tr>
      <w:tr>
        <w:tc>
          <w:tcPr>
            <w:tcW w:type="dxa" w:w="1949"/>
          </w:tcPr>
          <w:p>
            <w:r/>
            <w:r>
              <w:rPr>
                <w:b w:val="0"/>
                <w:i w:val="0"/>
              </w:rPr>
              <w:t>Cobro incorrecto</w:t>
            </w:r>
          </w:p>
        </w:tc>
        <w:tc>
          <w:tcPr>
            <w:tcW w:type="dxa" w:w="1949"/>
          </w:tcPr>
          <w:p>
            <w:r/>
            <w:r>
              <w:rPr>
                <w:b w:val="0"/>
                <w:i w:val="0"/>
              </w:rPr>
              <w:t>2</w:t>
            </w:r>
          </w:p>
        </w:tc>
        <w:tc>
          <w:tcPr>
            <w:tcW w:type="dxa" w:w="1949"/>
          </w:tcPr>
          <w:p>
            <w:r/>
            <w:r>
              <w:rPr>
                <w:b w:val="0"/>
                <w:i w:val="0"/>
              </w:rPr>
              <w:t>6,7 %</w:t>
            </w:r>
          </w:p>
        </w:tc>
        <w:tc>
          <w:tcPr>
            <w:tcW w:type="dxa" w:w="1949"/>
          </w:tcPr>
          <w:p>
            <w:r/>
            <w:r>
              <w:rPr>
                <w:b w:val="0"/>
                <w:i w:val="0"/>
              </w:rPr>
              <w:t>0,0</w:t>
            </w:r>
          </w:p>
        </w:tc>
        <w:tc>
          <w:tcPr>
            <w:tcW w:type="dxa" w:w="1949"/>
          </w:tcPr>
          <w:p>
            <w:r/>
            <w:r>
              <w:rPr>
                <w:b w:val="0"/>
                <w:i w:val="0"/>
              </w:rPr>
              <w:t>0</w:t>
            </w:r>
          </w:p>
        </w:tc>
      </w:tr>
      <w:tr>
        <w:tc>
          <w:tcPr>
            <w:tcW w:type="dxa" w:w="1949"/>
          </w:tcPr>
          <w:p>
            <w:r/>
            <w:r>
              <w:rPr>
                <w:b w:val="0"/>
                <w:i w:val="0"/>
              </w:rPr>
              <w:t>Limpieza</w:t>
            </w:r>
          </w:p>
        </w:tc>
        <w:tc>
          <w:tcPr>
            <w:tcW w:type="dxa" w:w="1949"/>
          </w:tcPr>
          <w:p>
            <w:r/>
            <w:r>
              <w:rPr>
                <w:b w:val="0"/>
                <w:i w:val="0"/>
              </w:rPr>
              <w:t>2</w:t>
            </w:r>
          </w:p>
        </w:tc>
        <w:tc>
          <w:tcPr>
            <w:tcW w:type="dxa" w:w="1949"/>
          </w:tcPr>
          <w:p>
            <w:r/>
            <w:r>
              <w:rPr>
                <w:b w:val="0"/>
                <w:i w:val="0"/>
              </w:rPr>
              <w:t>6,7 %</w:t>
            </w:r>
          </w:p>
        </w:tc>
        <w:tc>
          <w:tcPr>
            <w:tcW w:type="dxa" w:w="1949"/>
          </w:tcPr>
          <w:p>
            <w:r/>
            <w:r>
              <w:rPr>
                <w:b w:val="0"/>
                <w:i w:val="0"/>
              </w:rPr>
              <w:t>2,5</w:t>
            </w:r>
          </w:p>
        </w:tc>
        <w:tc>
          <w:tcPr>
            <w:tcW w:type="dxa" w:w="1949"/>
          </w:tcPr>
          <w:p>
            <w:r/>
            <w:r>
              <w:rPr>
                <w:b w:val="0"/>
                <w:i w:val="0"/>
              </w:rPr>
              <w:t>0</w:t>
            </w:r>
          </w:p>
        </w:tc>
      </w:tr>
      <w:tr>
        <w:tc>
          <w:tcPr>
            <w:tcW w:type="dxa" w:w="1949"/>
          </w:tcPr>
          <w:p>
            <w:r/>
            <w:r>
              <w:rPr>
                <w:b w:val="0"/>
                <w:i w:val="0"/>
              </w:rPr>
              <w:t>Reserva no encontrada</w:t>
            </w:r>
          </w:p>
        </w:tc>
        <w:tc>
          <w:tcPr>
            <w:tcW w:type="dxa" w:w="1949"/>
          </w:tcPr>
          <w:p>
            <w:r/>
            <w:r>
              <w:rPr>
                <w:b w:val="0"/>
                <w:i w:val="0"/>
              </w:rPr>
              <w:t>2</w:t>
            </w:r>
          </w:p>
        </w:tc>
        <w:tc>
          <w:tcPr>
            <w:tcW w:type="dxa" w:w="1949"/>
          </w:tcPr>
          <w:p>
            <w:r/>
            <w:r>
              <w:rPr>
                <w:b w:val="0"/>
                <w:i w:val="0"/>
              </w:rPr>
              <w:t>6,7 %</w:t>
            </w:r>
          </w:p>
        </w:tc>
        <w:tc>
          <w:tcPr>
            <w:tcW w:type="dxa" w:w="1949"/>
          </w:tcPr>
          <w:p>
            <w:r/>
            <w:r>
              <w:rPr>
                <w:b w:val="0"/>
                <w:i w:val="0"/>
              </w:rPr>
              <w:t>1,0</w:t>
            </w:r>
          </w:p>
        </w:tc>
        <w:tc>
          <w:tcPr>
            <w:tcW w:type="dxa" w:w="1949"/>
          </w:tcPr>
          <w:p>
            <w:r/>
            <w:r>
              <w:rPr>
                <w:b w:val="0"/>
                <w:i w:val="0"/>
              </w:rPr>
              <w:t>0</w:t>
            </w:r>
          </w:p>
        </w:tc>
      </w:tr>
      <w:tr>
        <w:tc>
          <w:tcPr>
            <w:tcW w:type="dxa" w:w="1949"/>
          </w:tcPr>
          <w:p>
            <w:r/>
            <w:r>
              <w:rPr>
                <w:b w:val="0"/>
                <w:i w:val="0"/>
              </w:rPr>
              <w:t>Ruido</w:t>
            </w:r>
          </w:p>
        </w:tc>
        <w:tc>
          <w:tcPr>
            <w:tcW w:type="dxa" w:w="1949"/>
          </w:tcPr>
          <w:p>
            <w:r/>
            <w:r>
              <w:rPr>
                <w:b w:val="0"/>
                <w:i w:val="0"/>
              </w:rPr>
              <w:t>2</w:t>
            </w:r>
          </w:p>
        </w:tc>
        <w:tc>
          <w:tcPr>
            <w:tcW w:type="dxa" w:w="1949"/>
          </w:tcPr>
          <w:p>
            <w:r/>
            <w:r>
              <w:rPr>
                <w:b w:val="0"/>
                <w:i w:val="0"/>
              </w:rPr>
              <w:t>6,7 %</w:t>
            </w:r>
          </w:p>
        </w:tc>
        <w:tc>
          <w:tcPr>
            <w:tcW w:type="dxa" w:w="1949"/>
          </w:tcPr>
          <w:p>
            <w:r/>
            <w:r>
              <w:rPr>
                <w:b w:val="0"/>
                <w:i w:val="0"/>
              </w:rPr>
              <w:t>2,0</w:t>
            </w:r>
          </w:p>
        </w:tc>
        <w:tc>
          <w:tcPr>
            <w:tcW w:type="dxa" w:w="1949"/>
          </w:tcPr>
          <w:p>
            <w:r/>
            <w:r>
              <w:rPr>
                <w:b w:val="0"/>
                <w:i w:val="0"/>
              </w:rPr>
              <w:t>0</w:t>
            </w:r>
          </w:p>
        </w:tc>
      </w:tr>
      <w:tr>
        <w:tc>
          <w:tcPr>
            <w:tcW w:type="dxa" w:w="1949"/>
          </w:tcPr>
          <w:p>
            <w:r/>
            <w:r>
              <w:rPr>
                <w:b w:val="0"/>
                <w:i w:val="0"/>
              </w:rPr>
              <w:t>Información de alérgenos</w:t>
            </w:r>
          </w:p>
        </w:tc>
        <w:tc>
          <w:tcPr>
            <w:tcW w:type="dxa" w:w="1949"/>
          </w:tcPr>
          <w:p>
            <w:r/>
            <w:r>
              <w:rPr>
                <w:b w:val="0"/>
                <w:i w:val="0"/>
              </w:rPr>
              <w:t>1</w:t>
            </w:r>
          </w:p>
        </w:tc>
        <w:tc>
          <w:tcPr>
            <w:tcW w:type="dxa" w:w="1949"/>
          </w:tcPr>
          <w:p>
            <w:r/>
            <w:r>
              <w:rPr>
                <w:b w:val="0"/>
                <w:i w:val="0"/>
              </w:rPr>
              <w:t>3,3 %</w:t>
            </w:r>
          </w:p>
        </w:tc>
        <w:tc>
          <w:tcPr>
            <w:tcW w:type="dxa" w:w="1949"/>
          </w:tcPr>
          <w:p>
            <w:r/>
            <w:r>
              <w:rPr>
                <w:b w:val="0"/>
                <w:i w:val="0"/>
              </w:rPr>
              <w:t>1,0</w:t>
            </w:r>
          </w:p>
        </w:tc>
        <w:tc>
          <w:tcPr>
            <w:tcW w:type="dxa" w:w="1949"/>
          </w:tcPr>
          <w:p>
            <w:r/>
            <w:r>
              <w:rPr>
                <w:b w:val="0"/>
                <w:i w:val="0"/>
              </w:rPr>
              <w:t>0</w:t>
            </w:r>
          </w:p>
        </w:tc>
      </w:tr>
      <w:tr>
        <w:tc>
          <w:tcPr>
            <w:tcW w:type="dxa" w:w="1949"/>
          </w:tcPr>
          <w:p>
            <w:r/>
            <w:r>
              <w:rPr>
                <w:b w:val="0"/>
                <w:i w:val="0"/>
              </w:rPr>
              <w:t>Producto en mal estado</w:t>
            </w:r>
          </w:p>
        </w:tc>
        <w:tc>
          <w:tcPr>
            <w:tcW w:type="dxa" w:w="1949"/>
          </w:tcPr>
          <w:p>
            <w:r/>
            <w:r>
              <w:rPr>
                <w:b w:val="0"/>
                <w:i w:val="0"/>
              </w:rPr>
              <w:t>1</w:t>
            </w:r>
          </w:p>
        </w:tc>
        <w:tc>
          <w:tcPr>
            <w:tcW w:type="dxa" w:w="1949"/>
          </w:tcPr>
          <w:p>
            <w:r/>
            <w:r>
              <w:rPr>
                <w:b w:val="0"/>
                <w:i w:val="0"/>
              </w:rPr>
              <w:t>3,3 %</w:t>
            </w:r>
          </w:p>
        </w:tc>
        <w:tc>
          <w:tcPr>
            <w:tcW w:type="dxa" w:w="1949"/>
          </w:tcPr>
          <w:p>
            <w:r/>
            <w:r>
              <w:rPr>
                <w:b w:val="0"/>
                <w:i w:val="0"/>
              </w:rPr>
              <w:t>2,0</w:t>
            </w:r>
          </w:p>
        </w:tc>
        <w:tc>
          <w:tcPr>
            <w:tcW w:type="dxa" w:w="1949"/>
          </w:tcPr>
          <w:p>
            <w:r/>
            <w:r>
              <w:rPr>
                <w:b w:val="0"/>
                <w:i w:val="0"/>
              </w:rPr>
              <w:t>1</w:t>
            </w:r>
          </w:p>
        </w:tc>
      </w:tr>
    </w:tbl>
    <w:p/>
    <w:p>
      <w:r>
        <w:br w:type="page"/>
      </w:r>
    </w:p>
    <w:p>
      <w:pPr>
        <w:pStyle w:val="Heading1"/>
      </w:pPr>
      <w:r>
        <w:t>18. Reservas, No-shows y Datos del Cliente</w:t>
      </w:r>
    </w:p>
    <w:p>
      <w:pPr>
        <w:pStyle w:val="Heading2"/>
      </w:pPr>
      <w:r>
        <w:t>La reserva es un contrato: qué se puede pedir y qué no</w:t>
      </w:r>
    </w:p>
    <w:p>
      <w:r>
        <w:rPr>
          <w:b w:val="0"/>
          <w:i w:val="0"/>
        </w:rPr>
        <w:t>Cuando un cliente reserva una mesa cierra un compromiso recíproco: el restaurante se compromete a tenerla lista a la hora pactada y el cliente a presentarse. Esa reciprocidad legitima pedir garantía -reconfirmación, tarjeta o prepago- cuando el riesgo lo justifica, y obliga igual al restaurante: si la mesa no está lista, el incumplimiento es del local. Pedir garantía sin ofrecer puntualidad no se sostiene frente a un cliente que reclama.</w:t>
      </w:r>
    </w:p>
    <w:p>
      <w:r>
        <w:rPr>
          <w:b w:val="0"/>
          <w:i w:val="0"/>
        </w:rPr>
        <w:t>El coste de no tratar la reserva como un compromiso en firme aparece en el registro de quejas: las quejas por reserva no encontrada pesan un 6,7 % sobre el total del año, con 2 casos. Es un volumen bajo, pero cada caso es un cliente que llegó con la certeza de tener mesa y no la encontró: el error simétrico del no-show, y el primero que hay que cerrar antes de exigir nada al cliente.</w:t>
      </w:r>
    </w:p>
    <w:p>
      <w:r>
        <w:rPr>
          <w:b w:val="0"/>
          <w:i w:val="0"/>
        </w:rPr>
        <w:t>Lo que se puede pedir, según el riesgo:</w:t>
      </w:r>
    </w:p>
    <w:p>
      <w:pPr>
        <w:pStyle w:val="ListBullet"/>
      </w:pPr>
      <w:r>
        <w:rPr>
          <w:b w:val="0"/>
          <w:i w:val="0"/>
        </w:rPr>
        <w:t>Confirmar nombre, teléfono y número de comensales siempre: sin esos datos no hay forma de avisar de un cambio ni de reclamar el compromiso.</w:t>
      </w:r>
    </w:p>
    <w:p>
      <w:pPr>
        <w:pStyle w:val="ListBullet"/>
      </w:pPr>
      <w:r>
        <w:rPr>
          <w:b w:val="0"/>
          <w:i w:val="0"/>
        </w:rPr>
        <w:t>Reconfirmación el mismo día para las franjas de mayor riesgo.</w:t>
      </w:r>
    </w:p>
    <w:p>
      <w:pPr>
        <w:pStyle w:val="ListBullet"/>
      </w:pPr>
      <w:r>
        <w:rPr>
          <w:b w:val="0"/>
          <w:i w:val="0"/>
        </w:rPr>
        <w:t>Tarjeta en garantía, sin cargar nada mientras la reserva se cumpla, para grupos grandes o para la franja de máxima demanda.</w:t>
      </w:r>
    </w:p>
    <w:p>
      <w:pPr>
        <w:pStyle w:val="ListBullet"/>
      </w:pPr>
      <w:r>
        <w:rPr>
          <w:b w:val="0"/>
          <w:i w:val="0"/>
        </w:rPr>
        <w:t>Prepago cuando la reserva lleva un menú cerrado, porque el restaurante ya ha comprometido género y personal antes de que el cliente llegue.</w:t>
      </w:r>
    </w:p>
    <w:p>
      <w:r>
        <w:rPr>
          <w:b w:val="0"/>
          <w:i w:val="0"/>
        </w:rPr>
        <w:t>Lo que no se puede hacer es aplicar el prepago a cualquier reserva sin distinguir el riesgo, ni comunicar la condición después de reservar: la garantía se acepta al reservar, nunca se impone al llegar.</w:t>
      </w:r>
    </w:p>
    <w:p>
      <w:pPr>
        <w:pStyle w:val="Heading2"/>
      </w:pPr>
      <w:r>
        <w:t>No-show: cómo se mide y qué lo baja de verdad</w:t>
      </w:r>
    </w:p>
    <w:p>
      <w:r>
        <w:rPr>
          <w:b w:val="0"/>
          <w:i w:val="0"/>
        </w:rPr>
        <w:t>El no-show no se combate sin medirlo: hay que dividir las reservas no presentadas entre las confirmadas, por franja horaria y día de la semana. Un restaurante con 46.737 cubiertos, 22.263 tickets y 21,5 cubiertos por hora de apertura al año no tiene el mismo no-show en la comida de un martes que en la cena de un sábado: sin ese desglose, la política corrige lo que no existe en la mayoría de los servicios y deja intacto lo que importa.</w:t>
      </w:r>
    </w:p>
    <w:p>
      <w:r>
        <w:rPr>
          <w:b w:val="0"/>
          <w:i w:val="0"/>
        </w:rPr>
        <w:t>Para juzgar la cifra propia sirve el dato del sector: la tasa media de no-show en la restauración española fue del 3,3 % en 2025, en descenso desde el 3,6 % de 2024, según TheFork sobre el conjunto de sus reservas del año (TheFork y CoverManager, vía Restauración News e Infobae, 2026). Es una media anual sobre un volumen muy grande de reservas: referencia general, no objetivo para un local con otro perfil de clientela.</w:t>
      </w:r>
    </w:p>
    <w:p>
      <w:r>
        <w:rPr>
          <w:b w:val="0"/>
          <w:i w:val="0"/>
        </w:rPr>
        <w:t>Lo que baja el no-show de verdad, medido, es la garantía con tarjeta: con la reserva garantizada, la tasa de TheFork cae al 0,66 %. Es la palanca que hay que activar primero en la franja donde el desglose señale el problema, no una medida a repartir por igual en todo el libro de reservas.</w:t>
      </w:r>
    </w:p>
    <w:p>
      <w:pPr>
        <w:pStyle w:val="Heading2"/>
      </w:pPr>
      <w:r>
        <w:t>La política de garantía y cómo se comunica sin espantar</w:t>
      </w:r>
    </w:p>
    <w:p>
      <w:r>
        <w:rPr>
          <w:b w:val="0"/>
          <w:i w:val="0"/>
        </w:rPr>
        <w:t>La política de garantía tiene tres niveles, de menos a más fricción, cada uno para un supuesto distinto. El primero es la reconfirmación: un aviso el mismo día que pide respuesta, para las franjas de mayor demanda donde una caída de última hora sí duele. Su efecto está documentado, con una acotación que hay que respetar: una nota de CoverManager registró que la reconfirmación por SMS bajó el no-show del 1,92 % al 1,52 % en el colectivo sin protección previa, medido en un único día -el Día del Padre de 2025- y la propia fuente advierte de que no es extrapolable al resto del año. No es cifra encadenable con la media anual de TheFork: dos fuentes, dos universos y dos periodos distintos.</w:t>
      </w:r>
    </w:p>
    <w:p>
      <w:r>
        <w:rPr>
          <w:b w:val="0"/>
          <w:i w:val="0"/>
        </w:rPr>
        <w:t>El segundo nivel es la tarjeta en garantía: se retiene el dato sin cargar nada, y solo se ejecuta el cargo si la reserva no se presenta ni se avisa con margen. Encaja en la franja de máxima demanda y en los grupos grandes, donde una mesa vacía no se recupera. El tercero, el prepago, se reserva para el menú cerrado: el restaurante compró género y planificó personal contando con esa mesa, y el compromiso económico se adelanta al momento de la reserva.</w:t>
      </w:r>
    </w:p>
    <w:p>
      <w:r>
        <w:rPr>
          <w:b w:val="0"/>
          <w:i w:val="0"/>
        </w:rPr>
        <w:t>Los tres niveles se comunican en el mismo paso en que el cliente reserva, nunca después: en la confirmación por escrito, en la plataforma de reservas o en el mensaje que cierra la llamada. Un cliente al que se le retiene la tarjeta o se le cobra el prepago sin saberlo antes no vive la garantía como parte del contrato, sino como una sorpresa que genera la queja contraria. El cuadro siguiente resume, nivel por nivel, cuándo tiene sentido cada uno.</w:t>
      </w:r>
    </w:p>
    <w:p>
      <w:pPr>
        <w:pStyle w:val="Heading2"/>
      </w:pPr>
      <w:r>
        <w:t>La espera: qué cuesta y qué se puede hacer con ella</w:t>
      </w:r>
    </w:p>
    <w:p>
      <w:r>
        <w:rPr>
          <w:b w:val="0"/>
          <w:i w:val="0"/>
        </w:rPr>
        <w:t>La espera no es un margen de cortesía que dependa del ánimo de la sala (salón): es una parte del servicio que se gestiona como cualquier otra fase de la comanda. La regla es sencilla: se comunica un tiempo, se cumple ese tiempo o, si algo lo retrasa, se corrige avisando de la nueva estimación en cuanto se sabe, y se anota lo ocurrido. La mesa que espera sin que nadie le diga cuánto -y sin que se actualice el tiempo cuando cambia- es la que acaba en la columna de espera excesiva del registro de quejas.</w:t>
      </w:r>
    </w:p>
    <w:p>
      <w:r>
        <w:rPr>
          <w:b w:val="0"/>
          <w:i w:val="0"/>
        </w:rPr>
        <w:t>El coste de no hacerlo así se ve en las propias cifras del local: las quejas por espera excesiva suman 10 en el año, frente a las 2 quejas por reserva no encontrada, y de media se tarda 1,1 días en cerrar cada una. Ese plazo no es gratuito: mientras la queja sigue abierta, el cliente puede seguir agravándola en otro canal, y lo que hay en juego en cada mesa así es el gasto medio del cubierto en el año, 26,25 €.</w:t>
      </w:r>
    </w:p>
    <w:p>
      <w:r>
        <w:rPr>
          <w:b w:val="0"/>
          <w:i w:val="0"/>
        </w:rPr>
        <w:t>La responsabilidad de comunicar y actualizar el tiempo tiene que recaer en una persona concreta del turno, no en quien esté libre en ese momento: si dos personas dan estimaciones distintas a la misma mesa, la sensación de descontrol pesa más que la propia espera. Conviene distinguir además el origen del retraso: no es lo mismo la demora achacable a la cocina o a la propia gestión del turno que la de un cliente sin reserva que llega en la hora de mayor ocupación; solo la primera compromete al restaurante con el mismo estándar que se le exige al cliente cuando reserva.</w:t>
      </w:r>
    </w:p>
    <w:p>
      <w:r>
        <w:rPr>
          <w:b w:val="0"/>
          <w:i w:val="0"/>
        </w:rPr>
        <w:t>Qué se puede hacer con la espera, en concreto:</w:t>
      </w:r>
    </w:p>
    <w:p>
      <w:pPr>
        <w:pStyle w:val="ListBullet"/>
      </w:pPr>
      <w:r>
        <w:rPr>
          <w:b w:val="0"/>
          <w:i w:val="0"/>
        </w:rPr>
        <w:t>Dar siempre una cifra, no una vaguedad: un tiempo estimado, nunca «enseguida» ni «un momento».</w:t>
      </w:r>
    </w:p>
    <w:p>
      <w:pPr>
        <w:pStyle w:val="ListBullet"/>
      </w:pPr>
      <w:r>
        <w:rPr>
          <w:b w:val="0"/>
          <w:i w:val="0"/>
        </w:rPr>
        <w:t>Actualizar esa cifra en cuanto cambie, antes de que el cliente tenga que preguntar.</w:t>
      </w:r>
    </w:p>
    <w:p>
      <w:pPr>
        <w:pStyle w:val="ListBullet"/>
      </w:pPr>
      <w:r>
        <w:rPr>
          <w:b w:val="0"/>
          <w:i w:val="0"/>
        </w:rPr>
        <w:t>Ofrecer algo mientras se espera -la carta, la zona de barra, una bebida- cuando el retraso supera lo comunicado.</w:t>
      </w:r>
    </w:p>
    <w:p>
      <w:pPr>
        <w:pStyle w:val="ListBullet"/>
      </w:pPr>
      <w:r>
        <w:rPr>
          <w:b w:val="0"/>
          <w:i w:val="0"/>
        </w:rPr>
        <w:t>Registrar el incidente aunque el cliente no llegue a quejarse en el momento: el patrón se ve en el acumulado, no en un caso suelto.</w:t>
      </w:r>
    </w:p>
    <w:p>
      <w:r>
        <w:rPr>
          <w:b w:val="0"/>
          <w:i w:val="0"/>
        </w:rPr>
        <w:t>Es el mismo criterio que sostiene la política de garantía del lado del cliente: un compromiso de tiempo se cumple o se corrige, y las dos partes de la reserva responden ante el mismo estándar.</w:t>
      </w:r>
    </w:p>
    <w:p>
      <w:pPr>
        <w:pStyle w:val="Heading2"/>
      </w:pPr>
      <w:r>
        <w:t>RGPD en la reserva: base legal, registro de tratamiento y marketing aparte</w:t>
      </w:r>
    </w:p>
    <w:p>
      <w:r>
        <w:rPr>
          <w:b w:val="0"/>
          <w:i w:val="0"/>
        </w:rPr>
        <w:t>Los datos que se piden al reservar -nombre, teléfono, número de comensales, y la tarjeta cuando el nivel de garantía lo exige- se tratan bajo una base legal concreta: la ejecución de un contrato, letra b del artículo 6, apartado 1, del RGPD (Reglamento (UE) 2016/679). Eso significa que gestionar la reserva, enviar la reconfirmación, cobrar el prepago si no se presenta o guardar el historial de un cliente habitual no exige pedir su consentimiento: el propio acto de reservar ya ampara ese tratamiento, porque es necesario para prestar el servicio solicitado.</w:t>
      </w:r>
    </w:p>
    <w:p>
      <w:r>
        <w:rPr>
          <w:b w:val="0"/>
          <w:i w:val="0"/>
        </w:rPr>
        <w:t>Eso no exime de otras obligaciones. El tratamiento de los datos de reserva -quién los recibe, para qué se usan, cuánto tiempo se conservan- tiene que constar en el registro de actividades de tratamiento, artículo 30 del RGPD, que todo restaurante debe llevar con independencia de su tamaño. No hace falta un aviso legal distinto ni una capa de burocracia añadida: basta con documentar, para el proceso de reservas, la finalidad, los datos recogidos y quién tiene acceso a ellos.</w:t>
      </w:r>
    </w:p>
    <w:p>
      <w:r>
        <w:rPr>
          <w:b w:val="0"/>
          <w:i w:val="0"/>
        </w:rPr>
        <w:t>Lo que sí exige un paso adicional es cualquier uso de esos datos que se salga de gestionar la reserva: enviar una newsletter, avisar de una promoción o incluir al cliente en una campaña de fidelización necesita un consentimiento separado y expreso, con su propia casilla, sin marcarla por defecto y sin condicionarla a que el cliente pueda reservar. Mezclar las dos bases -tratar el consentimiento de marketing como si viniera incluido en la ejecución del contrato de la reserva- es el error más común y el más fácil de evitar: una casilla, claramente separada del formulario de reserva, que el cliente marca porque quiere, no porque reservar se lo exija.</w:t>
      </w:r>
    </w:p>
    <w:p>
      <w:r>
        <w:rPr>
          <w:b w:val="0"/>
          <w:i w:val="0"/>
        </w:rPr>
        <w:t>La conservación de esos datos tampoco es indefinida: se mantienen mientras dure la relación con el cliente y el tiempo que exijan las obligaciones fiscales y mercantiles, no más allá de esa finalidad. Y el cliente conserva, en todo momento, los derechos que recoge el capítulo III del RGPD, dedicado a los derechos del interesado: puede pedir qué datos suyos guarda el restaurante, corregirlos si están mal, pedir su supresión cuando ya no hagan falta, y oponerse en cualquier momento al tratamiento de marketing sin que eso afecte a una reserva ya confirmada.</w:t>
      </w:r>
    </w:p>
    <w:p>
      <w:r>
        <w:rPr>
          <w:b/>
          <w:i w:val="0"/>
        </w:rPr>
        <w:t>Los tres niveles de garantía de una reserva, y cuándo tiene sentido cada uno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Nivel</w:t>
            </w:r>
          </w:p>
        </w:tc>
        <w:tc>
          <w:tcPr>
            <w:tcW w:type="dxa" w:w="2436"/>
          </w:tcPr>
          <w:p>
            <w:r/>
            <w:r>
              <w:rPr>
                <w:b/>
                <w:i w:val="0"/>
              </w:rPr>
              <w:t>Qué se le pide al cliente</w:t>
            </w:r>
          </w:p>
        </w:tc>
        <w:tc>
          <w:tcPr>
            <w:tcW w:type="dxa" w:w="2436"/>
          </w:tcPr>
          <w:p>
            <w:r/>
            <w:r>
              <w:rPr>
                <w:b/>
                <w:i w:val="0"/>
              </w:rPr>
              <w:t>Cuándo tiene sentido</w:t>
            </w:r>
          </w:p>
        </w:tc>
        <w:tc>
          <w:tcPr>
            <w:tcW w:type="dxa" w:w="2436"/>
          </w:tcPr>
          <w:p>
            <w:r/>
            <w:r>
              <w:rPr>
                <w:b/>
                <w:i w:val="0"/>
              </w:rPr>
              <w:t>Qué hay que decirle antes de reservar</w:t>
            </w:r>
          </w:p>
        </w:tc>
      </w:tr>
      <w:tr>
        <w:tc>
          <w:tcPr>
            <w:tcW w:type="dxa" w:w="2436"/>
          </w:tcPr>
          <w:p>
            <w:r/>
            <w:r>
              <w:rPr>
                <w:b w:val="0"/>
                <w:i w:val="0"/>
              </w:rPr>
              <w:t>Reconfirmación</w:t>
            </w:r>
          </w:p>
        </w:tc>
        <w:tc>
          <w:tcPr>
            <w:tcW w:type="dxa" w:w="2436"/>
          </w:tcPr>
          <w:p>
            <w:r/>
            <w:r>
              <w:rPr>
                <w:b w:val="0"/>
                <w:i w:val="0"/>
              </w:rPr>
              <w:t>Confirmar por mensaje o por teléfono el mismo día</w:t>
            </w:r>
          </w:p>
        </w:tc>
        <w:tc>
          <w:tcPr>
            <w:tcW w:type="dxa" w:w="2436"/>
          </w:tcPr>
          <w:p>
            <w:r/>
            <w:r>
              <w:rPr>
                <w:b w:val="0"/>
                <w:i w:val="0"/>
              </w:rPr>
              <w:t>Reservas normales de dos a cuatro personas</w:t>
            </w:r>
          </w:p>
        </w:tc>
        <w:tc>
          <w:tcPr>
            <w:tcW w:type="dxa" w:w="2436"/>
          </w:tcPr>
          <w:p>
            <w:r/>
            <w:r>
              <w:rPr>
                <w:b w:val="0"/>
                <w:i w:val="0"/>
              </w:rPr>
              <w:t>Que se le escribirá y que sin respuesta la mesa se libera a una hora concreta</w:t>
            </w:r>
          </w:p>
        </w:tc>
      </w:tr>
      <w:tr>
        <w:tc>
          <w:tcPr>
            <w:tcW w:type="dxa" w:w="2436"/>
          </w:tcPr>
          <w:p>
            <w:r/>
            <w:r>
              <w:rPr>
                <w:b w:val="0"/>
                <w:i w:val="0"/>
              </w:rPr>
              <w:t>Tarjeta en garantía</w:t>
            </w:r>
          </w:p>
        </w:tc>
        <w:tc>
          <w:tcPr>
            <w:tcW w:type="dxa" w:w="2436"/>
          </w:tcPr>
          <w:p>
            <w:r/>
            <w:r>
              <w:rPr>
                <w:b w:val="0"/>
                <w:i w:val="0"/>
              </w:rPr>
              <w:t>Los datos de una tarjeta, sin cargo</w:t>
            </w:r>
          </w:p>
        </w:tc>
        <w:tc>
          <w:tcPr>
            <w:tcW w:type="dxa" w:w="2436"/>
          </w:tcPr>
          <w:p>
            <w:r/>
            <w:r>
              <w:rPr>
                <w:b w:val="0"/>
                <w:i w:val="0"/>
              </w:rPr>
              <w:t>Grupos grandes, franjas de máxima demanda y fechas señaladas</w:t>
            </w:r>
          </w:p>
        </w:tc>
        <w:tc>
          <w:tcPr>
            <w:tcW w:type="dxa" w:w="2436"/>
          </w:tcPr>
          <w:p>
            <w:r/>
            <w:r>
              <w:rPr>
                <w:b w:val="0"/>
                <w:i w:val="0"/>
              </w:rPr>
              <w:t>El importe que se cargaría por persona si no acude y con cuánta antelación puede anular sin coste</w:t>
            </w:r>
          </w:p>
        </w:tc>
      </w:tr>
      <w:tr>
        <w:tc>
          <w:tcPr>
            <w:tcW w:type="dxa" w:w="2436"/>
          </w:tcPr>
          <w:p>
            <w:r/>
            <w:r>
              <w:rPr>
                <w:b w:val="0"/>
                <w:i w:val="0"/>
              </w:rPr>
              <w:t>Prepago</w:t>
            </w:r>
          </w:p>
        </w:tc>
        <w:tc>
          <w:tcPr>
            <w:tcW w:type="dxa" w:w="2436"/>
          </w:tcPr>
          <w:p>
            <w:r/>
            <w:r>
              <w:rPr>
                <w:b w:val="0"/>
                <w:i w:val="0"/>
              </w:rPr>
              <w:t>El pago por adelantado del menú</w:t>
            </w:r>
          </w:p>
        </w:tc>
        <w:tc>
          <w:tcPr>
            <w:tcW w:type="dxa" w:w="2436"/>
          </w:tcPr>
          <w:p>
            <w:r/>
            <w:r>
              <w:rPr>
                <w:b w:val="0"/>
                <w:i w:val="0"/>
              </w:rPr>
              <w:t>Menús cerrados, eventos y servicios con producto encargado a medida</w:t>
            </w:r>
          </w:p>
        </w:tc>
        <w:tc>
          <w:tcPr>
            <w:tcW w:type="dxa" w:w="2436"/>
          </w:tcPr>
          <w:p>
            <w:r/>
            <w:r>
              <w:rPr>
                <w:b w:val="0"/>
                <w:i w:val="0"/>
              </w:rPr>
              <w:t>Qué incluye, qué pasa si anula y en qué plazo se devuelve</w:t>
            </w:r>
          </w:p>
        </w:tc>
      </w:tr>
    </w:tbl>
    <w:p/>
    <w:p>
      <w:pPr>
        <w:jc w:val="center"/>
      </w:pPr>
      <w:r>
        <w:rPr>
          <w:i/>
          <w:color w:val="444444"/>
        </w:rPr>
        <w:t>La regla que sostiene los tres niveles: la condición se comunica ANTES de que el cliente confirme la reserva, por escrito y con el importe exacto. Una garantía comunicada después no es una garantía, es una discusión.</w:t>
      </w:r>
    </w:p>
    <w:p>
      <w:r>
        <w:br w:type="page"/>
      </w:r>
    </w:p>
    <w:p>
      <w:pPr>
        <w:pStyle w:val="Heading1"/>
      </w:pPr>
      <w:r>
        <w:t>19. Seguridad Alimentaria y el Local: de lo que Responde el Manager</w:t>
      </w:r>
    </w:p>
    <w:p>
      <w:pPr>
        <w:pStyle w:val="Heading2"/>
      </w:pPr>
      <w:r>
        <w:t>La cultura de seguridad alimentaria es obligación de la dirección</w:t>
      </w:r>
    </w:p>
    <w:p>
      <w:r>
        <w:rPr>
          <w:b w:val="0"/>
          <w:i w:val="0"/>
        </w:rPr>
        <w:t>Cuando alguien de la inspección entra con una carpeta, no busca a la persona de cocina que lleva menos tiempo en el puesto: busca a quien dirige el establecimiento. La cultura de seguridad alimentaria es una obligación de la dirección, no de quien acaba de incorporarse al equipo, y eso convierte al manager (gerente/encargado) en el responsable de que esa cultura exista, se comunique y se pueda demostrar delante de quien la pida. Desde 2021 la normativa exige que la dirección de la empresa alimentaria acredite ese compromiso, no sólo que lo declare de palabra: el Reglamento (CE) 852/2004, artículo 5 y anexo II, capítulo XI bis, junto con el artículo 20 del RD 1021/2022 (verificado el 4 de septiembre de 2026), obliga a demostrar una cultura de seguridad alimentaria construida sobre los 7 principios del sistema de análisis de peligros y puntos de control crítico.</w:t>
      </w:r>
    </w:p>
    <w:p>
      <w:r>
        <w:rPr>
          <w:b w:val="0"/>
          <w:i w:val="0"/>
        </w:rPr>
        <w:t>Demostrarla no es un ejercicio de imagen: significa que existe un procedimiento escrito, que se ha comunicado a quien manipula alimentos y que hay un registro capaz de probar las dos cosas. El manager que delega la seguridad alimentaria entera en la persona de cocina de mayor confianza, sin dejar constancia de que la dirección lo impulsa, lo comunica y lo revisa con regularidad, deja sin cubrir precisamente la parte que la norma pone a su cargo. La responsabilidad no se reparte con el equipo: se ejerce sobre el equipo, y quien firma al final, ante un acta de inspección, es quien dirige el negocio, esté o no presente ese día en el turno.</w:t>
      </w:r>
    </w:p>
    <w:p>
      <w:pPr>
        <w:pStyle w:val="Heading2"/>
      </w:pPr>
      <w:r>
        <w:t>Autocontrol: principios, responsable designado y qué se registra</w:t>
      </w:r>
    </w:p>
    <w:p>
      <w:r>
        <w:rPr>
          <w:b w:val="0"/>
          <w:i w:val="0"/>
        </w:rPr>
        <w:t>El sistema de autocontrol es el nombre técnico de lo que el manager tiene que sostener día a día: un procedimiento permanente basado en los 7 principios del sistema, aplicable de forma simplificada en un establecimiento de este tipo, pero que exige designar por escrito a una persona responsable dentro del propio local. Ese procedimiento no se redacta una vez y se archiva: se revisa cada vez que cambia un producto de la carta, un proceso de cocina o un proveedor, porque cualquiera de esos tres cambios puede introducir un peligro que el análisis anterior no contemplaba. Los registros concretos -controles de temperatura, limpieza, trazabilidad- tienen su sitio en el Pack APPCC y no se repiten en este capítulo: aquí se fija el criterio de cuándo revisar y quién firma, no la plantilla del día a día.</w:t>
      </w:r>
    </w:p>
    <w:p>
      <w:r>
        <w:rPr>
          <w:b w:val="0"/>
          <w:i w:val="0"/>
        </w:rPr>
        <w:t>Ese criterio necesita un mapa de lo que hay que vigilar y con qué frecuencia, y es justo lo que resuelve el calendario de cumplimiento legal que acompaña este manual: reúne 18 puntos de control, de los cuales 7 tienen la periodicidad fijada por una norma estatal y los 11 restantes quedan a criterio de la casa, porque ninguna norma estatal fija cada cuánto se limpia una campana extractora, se calibra un termómetro o se mide el aceite de fritura: la ley exige el resultado, no el calendario, y confundir una cosa con la otra es uno de los errores más repetidos del oficio. En la fecha de corte de ese calendario, 1 de esos 18 puntos figura vencido y el 75 % está en verde; la lectura correcta no es «todo en orden» ni «hay una emergencia», sino la fotografía exacta de qué queda por cerrar antes de que alguien con una carpeta lo pregunte.</w:t>
      </w:r>
    </w:p>
    <w:p>
      <w:r>
        <w:rPr>
          <w:b w:val="0"/>
          <w:i w:val="0"/>
        </w:rPr>
        <w:t>A esos puntos de control se suma la hoja «Documentación Obligatoria» del mismo calendario, con 12 documentos registrados que son, en la práctica, lo primero que se pide en cualquier inspección. Sin responsable designado, sin fecha de revisión anotada y sin ese documento localizable en el momento en que se solicita, el procedimiento más completo no sirve de nada delante de quien lo audita. Designar al responsable no es un trámite simbólico: es la persona a la que la inspección va a preguntar por qué se revisó -o por qué no- el análisis cuando entró un proveedor nuevo, y su nombre tiene que constar por escrito, no vivir sólo en la memoria de quien dirige el turno.</w:t>
      </w:r>
    </w:p>
    <w:p>
      <w:pPr>
        <w:pStyle w:val="Heading2"/>
      </w:pPr>
      <w:r>
        <w:t>Alérgenos: por qué el cartel no basta</w:t>
      </w:r>
    </w:p>
    <w:p>
      <w:r>
        <w:rPr>
          <w:b w:val="0"/>
          <w:i w:val="0"/>
        </w:rPr>
        <w:t>La información sobre alérgenos es obligatoria en cualquier plato, esté envasado o no, y el rótulo de «consulte al personal» que cuelga en tantas cartas no basta por sí solo. El Reglamento (UE) 1169/2011, anexo II y artículo 44.1, junto con el artículo 6.5 del RD 126/2015 (verificado el 4 de septiembre de 2026), exige que la información oral esté además registrada por escrito o de forma electrónica en el establecimiento, y que sea accesible al personal, a la autoridad de control y al cliente que la pida. Son 14 los alérgenos de declaración obligatoria, y un camarero (mesero) que responde de memoria, sin una ficha que respalde lo dicho, deja al establecimiento expuesto aunque la respuesta sea correcta: la norma exige que exista el soporte que la sostiene, no sólo que alguien sepa la respuesta.</w:t>
      </w:r>
    </w:p>
    <w:p>
      <w:r>
        <w:rPr>
          <w:b w:val="0"/>
          <w:i w:val="0"/>
        </w:rPr>
        <w:t>Esa ficha no se escribe una vez y se olvida: hay que actualizarla cada vez que cambia de proveedor o cambia la composición de un producto elaborado fuera de casa, porque un cambio de marca en una salsa o en un caldo concentrado puede introducir un alérgeno que el plato no llevaba la semana anterior. El manager decide quién revisa la ficha -la persona responsable del autocontrol es la candidata natural- y con qué frecuencia se coteja contra el albarán del proveedor: sin ese paso, la ficha envejece en silencio y deja de decir la verdad sobre lo que se sirve en la mesa.</w:t>
      </w:r>
    </w:p>
    <w:p>
      <w:pPr>
        <w:pStyle w:val="Heading2"/>
      </w:pPr>
      <w:r>
        <w:t>Temperaturas, anisakis y trazabilidad: las cifras vigentes</w:t>
      </w:r>
    </w:p>
    <w:p>
      <w:r>
        <w:rPr>
          <w:b w:val="0"/>
          <w:i w:val="0"/>
        </w:rPr>
        <w:t>El real decreto de comidas preparadas que casi todo el sector sigue citando, el RD 3484/2000, está derogado desde el 22 de diciembre de 2022, y seguir citándolo es hoy un error que cualquier inspector detecta a la primera línea. Lo vigente lo fija el artículo 30 del RD 1086/2020, en la redacción que le dio el RD 1021/2022 (verificado el 4 de septiembre de 2026): el plato caliente se mantiene a 63 °C o más, el refrigerado a 4 °C si dura más de 24 horas y a 8 °C si dura menos, el congelado a -18 °C, el enfriado tiene que bajar de 60 °C a 10 °C en menos de 2 horas, y el recalentado debe alcanzar 74 °C durante 15 segundos en el centro de la pieza. Ninguna de estas cifras depende del criterio de la casa: son el umbral legal, y el registro que las demuestra vive en el Pack APPCC.</w:t>
      </w:r>
    </w:p>
    <w:p>
      <w:r>
        <w:rPr>
          <w:b w:val="0"/>
          <w:i w:val="0"/>
        </w:rPr>
        <w:t>La congelación preventiva también cambió de norma: el RD 1420/2006 está derogado desde la misma fecha, y hoy manda el RD 1021/2022, artículos 8.1 y 8.2. El pescado marino y los cefalópodos que se sirven crudos, escabechados o en salazón tienen que congelarse a -20 °C durante 24 horas o a -35 °C durante 15 horas, en la totalidad de la pieza, e informar de ello al cliente por cartel o en la propia carta-menú. Ese congelado puede haberlo hecho el proveedor en vez del restaurante, siempre que quede justificado documentalmente.</w:t>
      </w:r>
    </w:p>
    <w:p>
      <w:r>
        <w:rPr>
          <w:b w:val="0"/>
          <w:i w:val="0"/>
        </w:rPr>
        <w:t>La trazabilidad de un paso atrás obliga a saber de quién viene cada producto y a poder demostrarlo con un documento, no de memoria. El restaurante que sirve al consumidor final no necesita el Registro General Sanitario de Empresas Alimentarias: le basta la comunicación o la declaración responsable ante el registro autonómico, que no es habilitante, según el artículo 2.2 del RD 191/2011 y el artículo 3 del RD 1021/2022 (verificado el 4 de septiembre de 2026). Ese registro deja de bastar cuando el negocio suministra a otros establecimientos por encima del 25 % de su volumen anual o de 500 kilos semanales: cruzado ese umbral, hay que dar el salto al RGSEAA. La Ley 17/2011 de seguridad alimentaria y nutrición, artículos 51 y 52, clasifica como graves -de 5.001 a 20.000 €- la ausencia de sistemas de autocontrol, la falta de registros de trazabilidad y no poder identificar al proveedor; las leves llegan hasta 5.000 € y las muy graves van de 20.001 a 600.000 €, con cierre temporal del establecimiento de hasta 5 años en los casos más serios.</w:t>
      </w:r>
    </w:p>
    <w:p>
      <w:pPr>
        <w:pStyle w:val="Heading2"/>
      </w:pPr>
      <w:r>
        <w:t>El local: ruido, música, horarios y las dos paredes de la terraza</w:t>
      </w:r>
    </w:p>
    <w:p>
      <w:r>
        <w:rPr>
          <w:b w:val="0"/>
          <w:i w:val="0"/>
        </w:rPr>
        <w:t>Poner altavoces para música ambiental reclasifica la actividad a tipo 3.2 y obliga a instalar un limitador-registrador precintado, con al menos 15 días de almacenaje de los niveles. Con sólo televisión o hilo musical, la actividad es tipo 3.1, con un máximo de 80 dBA. La competencia es municipal; en Madrid, la Ordenanza de Protección contra la Contaminación Acústica y Térmica, artículos 25 y 28 (verificado el 4 de septiembre de 2026), sanciona el tipo 3.2 mal declarado como infracción grave, de 601 a 12.000 €, o muy grave, de 12.001 a 300.000 €. Reproducir esa música exige además dos pagos: los derechos de autor, que gestiona la SGAE, y los derechos conexos, que gestionan AGEDI y AIE; sin tarifa única publicada, conviene presupuestarlos por separado.</w:t>
      </w:r>
    </w:p>
    <w:p>
      <w:r>
        <w:rPr>
          <w:b w:val="0"/>
          <w:i w:val="0"/>
        </w:rPr>
        <w:t>Los horarios tampoco los fija el Estado, sino cada comunidad autónoma. En Madrid, la Orden de 21 de abril de 2022, artículos 3.3 y 4.1, letra a (verificado el 4 de septiembre de 2026), permite a restaurantes y autoservicios abrir hasta las 2:00 h y a cafeterías, bares y cafés-bares desde las 6:00 h hasta esa misma hora, con 30 minutos más los viernes, sábados y vísperas de festivo, hasta las 2:30 h. Copiar el horario de otra provincia sin comprobarlo puede dejar el local cerrando antes de lo permitido.</w:t>
      </w:r>
    </w:p>
    <w:p>
      <w:r>
        <w:rPr>
          <w:b w:val="0"/>
          <w:i w:val="0"/>
        </w:rPr>
        <w:t>La terraza tiene su propia regla, y casi ningún manual la recoge: es legal fumar en ella si no está cubierta, o si estándolo, no supera las dos paredes; a partir de ahí, la normativa antitabaco la trata como espacio cerrado. Contar mal esa cifra -tres paredes en vez de dos- es el error más repetido al reformar una terraza.</w:t>
      </w:r>
    </w:p>
    <w:p>
      <w:pPr>
        <w:pStyle w:val="Heading2"/>
      </w:pPr>
      <w:r>
        <w:t>Agua, envases, comida sobrante y perros de asistencia</w:t>
      </w:r>
    </w:p>
    <w:p>
      <w:r>
        <w:rPr>
          <w:b w:val="0"/>
          <w:i w:val="0"/>
        </w:rPr>
        <w:t>El agua no envasada se ofrece, no se espera a que la pidan: la Ley 7/2022, artículo 18.3 (verificado el 4 de septiembre de 2026), obliga a ofrecerla siempre de forma gratuita y complementaria a lo que se vende, y ese mismo artículo obliga a aceptar el recipiente reutilizable que traiga el cliente para llevarse comida, pudiendo rechazarlo sólo si está manifiestamente sucio o no es adecuado. El impuesto especial sobre envases de plástico no reutilizables, de 0,45 €/kg, no lo paga el restaurante: el contribuyente es quien fabrica, importa o adquiere el envase en la Unión Europea, y ese coste se repercute en el precio de compra; el restaurante sólo es sujeto pasivo si importa o compra el envase directamente en otro Estado miembro (Ley 7/2022, artículos 67 a 83, verificado el 4 de septiembre de 2026).</w:t>
      </w:r>
    </w:p>
    <w:p>
      <w:r>
        <w:rPr>
          <w:b w:val="0"/>
          <w:i w:val="0"/>
        </w:rPr>
        <w:t>Permitir que el cliente se lleve lo que no ha consumido, sin coste adicional, es obligación desde el 22 de diciembre de 2022, por el artículo 18.5 del RD 1021/2022, no desde la Ley 1/2025 como suele repetirse; la única excepción es el bufé libre y los formatos donde la comida no está limitada. La Ley 1/2025 añade que hay que informarlo de forma clara y visible, preferentemente en la carta o el menú (artículos 6, 8 y 21, verificado el 4 de septiembre de 2026). Cuidado con la exención de los 1.300 metros cuadrados del artículo 6, apartado 4, letra c: sólo libera del plan de prevención y de los convenios de donación. Un restaurante que no sea microempresa sigue obligado por los apartados 6.1, 6.2, 6.3 -nulidad de la cláusula que impida donar- y 6.5 -no dejar alimentos en condiciones no aptas-; sólo la microempresa queda fuera, por el apartado 6.6. El incumplimiento llega a sancionarse hasta 500.000 €.</w:t>
      </w:r>
    </w:p>
    <w:p>
      <w:r>
        <w:rPr>
          <w:b w:val="0"/>
          <w:i w:val="0"/>
        </w:rPr>
        <w:t>El acceso de los perros de asistencia cambió de norma el 17 de junio de 2025: el RD 3250/1983 quedó derogado y hoy rige el RD 409/2025, artículo 7 (verificado el 4 de septiembre de 2026), que garantiza el acceso sin cobrar nada adicional y sólo permite limitarlo ante signos evidentes de falta de higiene o riesgo grave, dejando constancia escrita de la causa si se pide. El perro nunca entra en la zona de manipulación; negarle el acceso sin motivo es infracción muy grave en Madrid, de 2.000,01 a 10.000 €.</w:t>
      </w:r>
    </w:p>
    <w:p>
      <w:r>
        <w:rPr>
          <w:b/>
          <w:i w:val="0"/>
        </w:rPr>
        <w:t>Las temperaturas y los tiempos que rigen hoy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Situación</w:t>
            </w:r>
          </w:p>
        </w:tc>
        <w:tc>
          <w:tcPr>
            <w:tcW w:type="dxa" w:w="3249"/>
          </w:tcPr>
          <w:p>
            <w:r/>
            <w:r>
              <w:rPr>
                <w:b/>
                <w:i w:val="0"/>
              </w:rPr>
              <w:t>Valor vigente</w:t>
            </w:r>
          </w:p>
        </w:tc>
        <w:tc>
          <w:tcPr>
            <w:tcW w:type="dxa" w:w="3249"/>
          </w:tcPr>
          <w:p>
            <w:r/>
            <w:r>
              <w:rPr>
                <w:b/>
                <w:i w:val="0"/>
              </w:rPr>
              <w:t>Norma</w:t>
            </w:r>
          </w:p>
        </w:tc>
      </w:tr>
      <w:tr>
        <w:tc>
          <w:tcPr>
            <w:tcW w:type="dxa" w:w="3249"/>
          </w:tcPr>
          <w:p>
            <w:r/>
            <w:r>
              <w:rPr>
                <w:b w:val="0"/>
                <w:i w:val="0"/>
              </w:rPr>
              <w:t>Conservación en caliente</w:t>
            </w:r>
          </w:p>
        </w:tc>
        <w:tc>
          <w:tcPr>
            <w:tcW w:type="dxa" w:w="3249"/>
          </w:tcPr>
          <w:p>
            <w:r/>
            <w:r>
              <w:rPr>
                <w:b w:val="0"/>
                <w:i w:val="0"/>
              </w:rPr>
              <w:t>63 °C o más</w:t>
            </w:r>
          </w:p>
        </w:tc>
        <w:tc>
          <w:tcPr>
            <w:tcW w:type="dxa" w:w="3249"/>
          </w:tcPr>
          <w:p>
            <w:r/>
            <w:r>
              <w:rPr>
                <w:b w:val="0"/>
                <w:i w:val="0"/>
              </w:rPr>
              <w:t>Art. 30 del RD 1086/2020</w:t>
            </w:r>
          </w:p>
        </w:tc>
      </w:tr>
      <w:tr>
        <w:tc>
          <w:tcPr>
            <w:tcW w:type="dxa" w:w="3249"/>
          </w:tcPr>
          <w:p>
            <w:r/>
            <w:r>
              <w:rPr>
                <w:b w:val="0"/>
                <w:i w:val="0"/>
              </w:rPr>
              <w:t>Refrigeración de comidas que se consumen en menos de 24 horas</w:t>
            </w:r>
          </w:p>
        </w:tc>
        <w:tc>
          <w:tcPr>
            <w:tcW w:type="dxa" w:w="3249"/>
          </w:tcPr>
          <w:p>
            <w:r/>
            <w:r>
              <w:rPr>
                <w:b w:val="0"/>
                <w:i w:val="0"/>
              </w:rPr>
              <w:t>8 °C o menos</w:t>
            </w:r>
          </w:p>
        </w:tc>
        <w:tc>
          <w:tcPr>
            <w:tcW w:type="dxa" w:w="3249"/>
          </w:tcPr>
          <w:p>
            <w:r/>
            <w:r>
              <w:rPr>
                <w:b w:val="0"/>
                <w:i w:val="0"/>
              </w:rPr>
              <w:t>Art. 30 del RD 1086/2020</w:t>
            </w:r>
          </w:p>
        </w:tc>
      </w:tr>
      <w:tr>
        <w:tc>
          <w:tcPr>
            <w:tcW w:type="dxa" w:w="3249"/>
          </w:tcPr>
          <w:p>
            <w:r/>
            <w:r>
              <w:rPr>
                <w:b w:val="0"/>
                <w:i w:val="0"/>
              </w:rPr>
              <w:t>Refrigeración de comidas que se consumen en más de 24 horas</w:t>
            </w:r>
          </w:p>
        </w:tc>
        <w:tc>
          <w:tcPr>
            <w:tcW w:type="dxa" w:w="3249"/>
          </w:tcPr>
          <w:p>
            <w:r/>
            <w:r>
              <w:rPr>
                <w:b w:val="0"/>
                <w:i w:val="0"/>
              </w:rPr>
              <w:t>4 °C o menos</w:t>
            </w:r>
          </w:p>
        </w:tc>
        <w:tc>
          <w:tcPr>
            <w:tcW w:type="dxa" w:w="3249"/>
          </w:tcPr>
          <w:p>
            <w:r/>
            <w:r>
              <w:rPr>
                <w:b w:val="0"/>
                <w:i w:val="0"/>
              </w:rPr>
              <w:t>Art. 30 del RD 1086/2020</w:t>
            </w:r>
          </w:p>
        </w:tc>
      </w:tr>
      <w:tr>
        <w:tc>
          <w:tcPr>
            <w:tcW w:type="dxa" w:w="3249"/>
          </w:tcPr>
          <w:p>
            <w:r/>
            <w:r>
              <w:rPr>
                <w:b w:val="0"/>
                <w:i w:val="0"/>
              </w:rPr>
              <w:t>Congelación</w:t>
            </w:r>
          </w:p>
        </w:tc>
        <w:tc>
          <w:tcPr>
            <w:tcW w:type="dxa" w:w="3249"/>
          </w:tcPr>
          <w:p>
            <w:r/>
            <w:r>
              <w:rPr>
                <w:b w:val="0"/>
                <w:i w:val="0"/>
              </w:rPr>
              <w:t>-18 °C o menos</w:t>
            </w:r>
          </w:p>
        </w:tc>
        <w:tc>
          <w:tcPr>
            <w:tcW w:type="dxa" w:w="3249"/>
          </w:tcPr>
          <w:p>
            <w:r/>
            <w:r>
              <w:rPr>
                <w:b w:val="0"/>
                <w:i w:val="0"/>
              </w:rPr>
              <w:t>Art. 30 del RD 1086/2020</w:t>
            </w:r>
          </w:p>
        </w:tc>
      </w:tr>
      <w:tr>
        <w:tc>
          <w:tcPr>
            <w:tcW w:type="dxa" w:w="3249"/>
          </w:tcPr>
          <w:p>
            <w:r/>
            <w:r>
              <w:rPr>
                <w:b w:val="0"/>
                <w:i w:val="0"/>
              </w:rPr>
              <w:t>Enfriamiento rápido tras la cocción</w:t>
            </w:r>
          </w:p>
        </w:tc>
        <w:tc>
          <w:tcPr>
            <w:tcW w:type="dxa" w:w="3249"/>
          </w:tcPr>
          <w:p>
            <w:r/>
            <w:r>
              <w:rPr>
                <w:b w:val="0"/>
                <w:i w:val="0"/>
              </w:rPr>
              <w:t>De 60 °C a 10 °C en menos de 2 horas</w:t>
            </w:r>
          </w:p>
        </w:tc>
        <w:tc>
          <w:tcPr>
            <w:tcW w:type="dxa" w:w="3249"/>
          </w:tcPr>
          <w:p>
            <w:r/>
            <w:r>
              <w:rPr>
                <w:b w:val="0"/>
                <w:i w:val="0"/>
              </w:rPr>
              <w:t>Art. 30 del RD 1086/2020</w:t>
            </w:r>
          </w:p>
        </w:tc>
      </w:tr>
      <w:tr>
        <w:tc>
          <w:tcPr>
            <w:tcW w:type="dxa" w:w="3249"/>
          </w:tcPr>
          <w:p>
            <w:r/>
            <w:r>
              <w:rPr>
                <w:b w:val="0"/>
                <w:i w:val="0"/>
              </w:rPr>
              <w:t>Recalentado</w:t>
            </w:r>
          </w:p>
        </w:tc>
        <w:tc>
          <w:tcPr>
            <w:tcW w:type="dxa" w:w="3249"/>
          </w:tcPr>
          <w:p>
            <w:r/>
            <w:r>
              <w:rPr>
                <w:b w:val="0"/>
                <w:i w:val="0"/>
              </w:rPr>
              <w:t>74 °C durante 15 segundos en el centro del producto</w:t>
            </w:r>
          </w:p>
        </w:tc>
        <w:tc>
          <w:tcPr>
            <w:tcW w:type="dxa" w:w="3249"/>
          </w:tcPr>
          <w:p>
            <w:r/>
            <w:r>
              <w:rPr>
                <w:b w:val="0"/>
                <w:i w:val="0"/>
              </w:rPr>
              <w:t>Art. 30 del RD 1086/2020</w:t>
            </w:r>
          </w:p>
        </w:tc>
      </w:tr>
      <w:tr>
        <w:tc>
          <w:tcPr>
            <w:tcW w:type="dxa" w:w="3249"/>
          </w:tcPr>
          <w:p>
            <w:r/>
            <w:r>
              <w:rPr>
                <w:b w:val="0"/>
                <w:i w:val="0"/>
              </w:rPr>
              <w:t>Congelación preventiva del anisakis</w:t>
            </w:r>
          </w:p>
        </w:tc>
        <w:tc>
          <w:tcPr>
            <w:tcW w:type="dxa" w:w="3249"/>
          </w:tcPr>
          <w:p>
            <w:r/>
            <w:r>
              <w:rPr>
                <w:b w:val="0"/>
                <w:i w:val="0"/>
              </w:rPr>
              <w:t>-20 °C durante 24 horas, o -35 °C durante 15 horas, en la totalidad del producto</w:t>
            </w:r>
          </w:p>
        </w:tc>
        <w:tc>
          <w:tcPr>
            <w:tcW w:type="dxa" w:w="3249"/>
          </w:tcPr>
          <w:p>
            <w:r/>
            <w:r>
              <w:rPr>
                <w:b w:val="0"/>
                <w:i w:val="0"/>
              </w:rPr>
              <w:t>Art. 8.1 del RD 1021/2022</w:t>
            </w:r>
          </w:p>
        </w:tc>
      </w:tr>
    </w:tbl>
    <w:p/>
    <w:p>
      <w:pPr>
        <w:jc w:val="center"/>
      </w:pPr>
      <w:r>
        <w:rPr>
          <w:i/>
          <w:color w:val="444444"/>
        </w:rPr>
        <w:t>Verificado el 04-09-2026 · Art. 30 del RD 1086/2020 en la redacción del RD 1021/2022, y art. 8.1 del RD 1021/2022 · https://www.boe.es/buscar/act.php?id=BOE-A-2020-15872 - el RD 3484/2000 y el RD 1420/2006 están derogados desde el 22 de diciembre de 2022: si tu documentación los cita, está caducada.</w:t>
      </w:r>
    </w:p>
    <w:p>
      <w:r>
        <w:rPr>
          <w:b/>
          <w:i w:val="0"/>
        </w:rPr>
        <w:t>Qué documentación te van a pedir, dónde tiene que estar y quién la pide (calendario-cumplimiento-legal.xlsx, hoja «Documentación Obligatoria»)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Documento</w:t>
            </w:r>
          </w:p>
        </w:tc>
        <w:tc>
          <w:tcPr>
            <w:tcW w:type="dxa" w:w="2436"/>
          </w:tcPr>
          <w:p>
            <w:r/>
            <w:r>
              <w:rPr>
                <w:b/>
                <w:i w:val="0"/>
              </w:rPr>
              <w:t>Dónde debe estar</w:t>
            </w:r>
          </w:p>
        </w:tc>
        <w:tc>
          <w:tcPr>
            <w:tcW w:type="dxa" w:w="2436"/>
          </w:tcPr>
          <w:p>
            <w:r/>
            <w:r>
              <w:rPr>
                <w:b/>
                <w:i w:val="0"/>
              </w:rPr>
              <w:t>Quién lo pide</w:t>
            </w:r>
          </w:p>
        </w:tc>
      </w:tr>
      <w:tr>
        <w:tc>
          <w:tcPr>
            <w:tcW w:type="dxa" w:w="2436"/>
          </w:tcPr>
          <w:p>
            <w:r/>
            <w:r>
              <w:rPr>
                <w:b w:val="0"/>
                <w:i w:val="0"/>
              </w:rPr>
              <w:t>1</w:t>
            </w:r>
          </w:p>
        </w:tc>
        <w:tc>
          <w:tcPr>
            <w:tcW w:type="dxa" w:w="2436"/>
          </w:tcPr>
          <w:p>
            <w:r/>
            <w:r>
              <w:rPr>
                <w:b w:val="0"/>
                <w:i w:val="0"/>
              </w:rPr>
              <w:t>Hojas de reclamaciones y cartel anunciador</w:t>
            </w:r>
          </w:p>
        </w:tc>
        <w:tc>
          <w:tcPr>
            <w:tcW w:type="dxa" w:w="2436"/>
          </w:tcPr>
          <w:p>
            <w:r/>
            <w:r>
              <w:rPr>
                <w:b w:val="0"/>
                <w:i w:val="0"/>
              </w:rPr>
              <w:t>En el local, a la vista y a disposición del cliente</w:t>
            </w:r>
          </w:p>
        </w:tc>
        <w:tc>
          <w:tcPr>
            <w:tcW w:type="dxa" w:w="2436"/>
          </w:tcPr>
          <w:p>
            <w:r/>
            <w:r>
              <w:rPr>
                <w:b w:val="0"/>
                <w:i w:val="0"/>
              </w:rPr>
              <w:t>Inspección de consumo (autonómica)</w:t>
            </w:r>
          </w:p>
        </w:tc>
      </w:tr>
      <w:tr>
        <w:tc>
          <w:tcPr>
            <w:tcW w:type="dxa" w:w="2436"/>
          </w:tcPr>
          <w:p>
            <w:r/>
            <w:r>
              <w:rPr>
                <w:b w:val="0"/>
                <w:i w:val="0"/>
              </w:rPr>
              <w:t>2</w:t>
            </w:r>
          </w:p>
        </w:tc>
        <w:tc>
          <w:tcPr>
            <w:tcW w:type="dxa" w:w="2436"/>
          </w:tcPr>
          <w:p>
            <w:r/>
            <w:r>
              <w:rPr>
                <w:b w:val="0"/>
                <w:i w:val="0"/>
              </w:rPr>
              <w:t>Registro de jornada de los últimos 4 años</w:t>
            </w:r>
          </w:p>
        </w:tc>
        <w:tc>
          <w:tcPr>
            <w:tcW w:type="dxa" w:w="2436"/>
          </w:tcPr>
          <w:p>
            <w:r/>
            <w:r>
              <w:rPr>
                <w:b w:val="0"/>
                <w:i w:val="0"/>
              </w:rPr>
              <w:t>En el centro de trabajo, accesible de forma inmediata</w:t>
            </w:r>
          </w:p>
        </w:tc>
        <w:tc>
          <w:tcPr>
            <w:tcW w:type="dxa" w:w="2436"/>
          </w:tcPr>
          <w:p>
            <w:r/>
            <w:r>
              <w:rPr>
                <w:b w:val="0"/>
                <w:i w:val="0"/>
              </w:rPr>
              <w:t>Inspección de Trabajo</w:t>
            </w:r>
          </w:p>
        </w:tc>
      </w:tr>
      <w:tr>
        <w:tc>
          <w:tcPr>
            <w:tcW w:type="dxa" w:w="2436"/>
          </w:tcPr>
          <w:p>
            <w:r/>
            <w:r>
              <w:rPr>
                <w:b w:val="0"/>
                <w:i w:val="0"/>
              </w:rPr>
              <w:t>3</w:t>
            </w:r>
          </w:p>
        </w:tc>
        <w:tc>
          <w:tcPr>
            <w:tcW w:type="dxa" w:w="2436"/>
          </w:tcPr>
          <w:p>
            <w:r/>
            <w:r>
              <w:rPr>
                <w:b w:val="0"/>
                <w:i w:val="0"/>
              </w:rPr>
              <w:t>Contratos, altas en la Seguridad Social y nóminas</w:t>
            </w:r>
          </w:p>
        </w:tc>
        <w:tc>
          <w:tcPr>
            <w:tcW w:type="dxa" w:w="2436"/>
          </w:tcPr>
          <w:p>
            <w:r/>
            <w:r>
              <w:rPr>
                <w:b w:val="0"/>
                <w:i w:val="0"/>
              </w:rPr>
              <w:t>En el centro de trabajo o accesibles en remoto</w:t>
            </w:r>
          </w:p>
        </w:tc>
        <w:tc>
          <w:tcPr>
            <w:tcW w:type="dxa" w:w="2436"/>
          </w:tcPr>
          <w:p>
            <w:r/>
            <w:r>
              <w:rPr>
                <w:b w:val="0"/>
                <w:i w:val="0"/>
              </w:rPr>
              <w:t>Inspección de Trabajo</w:t>
            </w:r>
          </w:p>
        </w:tc>
      </w:tr>
      <w:tr>
        <w:tc>
          <w:tcPr>
            <w:tcW w:type="dxa" w:w="2436"/>
          </w:tcPr>
          <w:p>
            <w:r/>
            <w:r>
              <w:rPr>
                <w:b w:val="0"/>
                <w:i w:val="0"/>
              </w:rPr>
              <w:t>4</w:t>
            </w:r>
          </w:p>
        </w:tc>
        <w:tc>
          <w:tcPr>
            <w:tcW w:type="dxa" w:w="2436"/>
          </w:tcPr>
          <w:p>
            <w:r/>
            <w:r>
              <w:rPr>
                <w:b w:val="0"/>
                <w:i w:val="0"/>
              </w:rPr>
              <w:t>Plan de prevención, evaluación de riesgos y planificación preventiva</w:t>
            </w:r>
          </w:p>
        </w:tc>
        <w:tc>
          <w:tcPr>
            <w:tcW w:type="dxa" w:w="2436"/>
          </w:tcPr>
          <w:p>
            <w:r/>
            <w:r>
              <w:rPr>
                <w:b w:val="0"/>
                <w:i w:val="0"/>
              </w:rPr>
              <w:t>En el centro de trabajo</w:t>
            </w:r>
          </w:p>
        </w:tc>
        <w:tc>
          <w:tcPr>
            <w:tcW w:type="dxa" w:w="2436"/>
          </w:tcPr>
          <w:p>
            <w:r/>
            <w:r>
              <w:rPr>
                <w:b w:val="0"/>
                <w:i w:val="0"/>
              </w:rPr>
              <w:t>Inspección de Trabajo</w:t>
            </w:r>
          </w:p>
        </w:tc>
      </w:tr>
      <w:tr>
        <w:tc>
          <w:tcPr>
            <w:tcW w:type="dxa" w:w="2436"/>
          </w:tcPr>
          <w:p>
            <w:r/>
            <w:r>
              <w:rPr>
                <w:b w:val="0"/>
                <w:i w:val="0"/>
              </w:rPr>
              <w:t>5</w:t>
            </w:r>
          </w:p>
        </w:tc>
        <w:tc>
          <w:tcPr>
            <w:tcW w:type="dxa" w:w="2436"/>
          </w:tcPr>
          <w:p>
            <w:r/>
            <w:r>
              <w:rPr>
                <w:b w:val="0"/>
                <w:i w:val="0"/>
              </w:rPr>
              <w:t>Protocolo frente al acoso sexual y por razón de sexo</w:t>
            </w:r>
          </w:p>
        </w:tc>
        <w:tc>
          <w:tcPr>
            <w:tcW w:type="dxa" w:w="2436"/>
          </w:tcPr>
          <w:p>
            <w:r/>
            <w:r>
              <w:rPr>
                <w:b w:val="0"/>
                <w:i w:val="0"/>
              </w:rPr>
              <w:t>Publicado y accesible a toda la plantilla</w:t>
            </w:r>
          </w:p>
        </w:tc>
        <w:tc>
          <w:tcPr>
            <w:tcW w:type="dxa" w:w="2436"/>
          </w:tcPr>
          <w:p>
            <w:r/>
            <w:r>
              <w:rPr>
                <w:b w:val="0"/>
                <w:i w:val="0"/>
              </w:rPr>
              <w:t>Inspección de Trabajo</w:t>
            </w:r>
          </w:p>
        </w:tc>
      </w:tr>
      <w:tr>
        <w:tc>
          <w:tcPr>
            <w:tcW w:type="dxa" w:w="2436"/>
          </w:tcPr>
          <w:p>
            <w:r/>
            <w:r>
              <w:rPr>
                <w:b w:val="0"/>
                <w:i w:val="0"/>
              </w:rPr>
              <w:t>6</w:t>
            </w:r>
          </w:p>
        </w:tc>
        <w:tc>
          <w:tcPr>
            <w:tcW w:type="dxa" w:w="2436"/>
          </w:tcPr>
          <w:p>
            <w:r/>
            <w:r>
              <w:rPr>
                <w:b w:val="0"/>
                <w:i w:val="0"/>
              </w:rPr>
              <w:t>Registro retributivo</w:t>
            </w:r>
          </w:p>
        </w:tc>
        <w:tc>
          <w:tcPr>
            <w:tcW w:type="dxa" w:w="2436"/>
          </w:tcPr>
          <w:p>
            <w:r/>
            <w:r>
              <w:rPr>
                <w:b w:val="0"/>
                <w:i w:val="0"/>
              </w:rPr>
              <w:t>En el centro de trabajo y a disposición de la representación legal</w:t>
            </w:r>
          </w:p>
        </w:tc>
        <w:tc>
          <w:tcPr>
            <w:tcW w:type="dxa" w:w="2436"/>
          </w:tcPr>
          <w:p>
            <w:r/>
            <w:r>
              <w:rPr>
                <w:b w:val="0"/>
                <w:i w:val="0"/>
              </w:rPr>
              <w:t>Inspección de Trabajo</w:t>
            </w:r>
          </w:p>
        </w:tc>
      </w:tr>
      <w:tr>
        <w:tc>
          <w:tcPr>
            <w:tcW w:type="dxa" w:w="2436"/>
          </w:tcPr>
          <w:p>
            <w:r/>
            <w:r>
              <w:rPr>
                <w:b w:val="0"/>
                <w:i w:val="0"/>
              </w:rPr>
              <w:t>7</w:t>
            </w:r>
          </w:p>
        </w:tc>
        <w:tc>
          <w:tcPr>
            <w:tcW w:type="dxa" w:w="2436"/>
          </w:tcPr>
          <w:p>
            <w:r/>
            <w:r>
              <w:rPr>
                <w:b w:val="0"/>
                <w:i w:val="0"/>
              </w:rPr>
              <w:t>Política escrita de desconexión digital</w:t>
            </w:r>
          </w:p>
        </w:tc>
        <w:tc>
          <w:tcPr>
            <w:tcW w:type="dxa" w:w="2436"/>
          </w:tcPr>
          <w:p>
            <w:r/>
            <w:r>
              <w:rPr>
                <w:b w:val="0"/>
                <w:i w:val="0"/>
              </w:rPr>
              <w:t>Accesible a toda la plantilla</w:t>
            </w:r>
          </w:p>
        </w:tc>
        <w:tc>
          <w:tcPr>
            <w:tcW w:type="dxa" w:w="2436"/>
          </w:tcPr>
          <w:p>
            <w:r/>
            <w:r>
              <w:rPr>
                <w:b w:val="0"/>
                <w:i w:val="0"/>
              </w:rPr>
              <w:t>Inspección de Trabajo</w:t>
            </w:r>
          </w:p>
        </w:tc>
      </w:tr>
      <w:tr>
        <w:tc>
          <w:tcPr>
            <w:tcW w:type="dxa" w:w="2436"/>
          </w:tcPr>
          <w:p>
            <w:r/>
            <w:r>
              <w:rPr>
                <w:b w:val="0"/>
                <w:i w:val="0"/>
              </w:rPr>
              <w:t>8</w:t>
            </w:r>
          </w:p>
        </w:tc>
        <w:tc>
          <w:tcPr>
            <w:tcW w:type="dxa" w:w="2436"/>
          </w:tcPr>
          <w:p>
            <w:r/>
            <w:r>
              <w:rPr>
                <w:b w:val="0"/>
                <w:i w:val="0"/>
              </w:rPr>
              <w:t>Plan APPCC y sus registros</w:t>
            </w:r>
          </w:p>
        </w:tc>
        <w:tc>
          <w:tcPr>
            <w:tcW w:type="dxa" w:w="2436"/>
          </w:tcPr>
          <w:p>
            <w:r/>
            <w:r>
              <w:rPr>
                <w:b w:val="0"/>
                <w:i w:val="0"/>
              </w:rPr>
              <w:t>En el local, a disposición del inspector</w:t>
            </w:r>
          </w:p>
        </w:tc>
        <w:tc>
          <w:tcPr>
            <w:tcW w:type="dxa" w:w="2436"/>
          </w:tcPr>
          <w:p>
            <w:r/>
            <w:r>
              <w:rPr>
                <w:b w:val="0"/>
                <w:i w:val="0"/>
              </w:rPr>
              <w:t>Sanidad (autonómica)</w:t>
            </w:r>
          </w:p>
        </w:tc>
      </w:tr>
      <w:tr>
        <w:tc>
          <w:tcPr>
            <w:tcW w:type="dxa" w:w="2436"/>
          </w:tcPr>
          <w:p>
            <w:r/>
            <w:r>
              <w:rPr>
                <w:b w:val="0"/>
                <w:i w:val="0"/>
              </w:rPr>
              <w:t>9</w:t>
            </w:r>
          </w:p>
        </w:tc>
        <w:tc>
          <w:tcPr>
            <w:tcW w:type="dxa" w:w="2436"/>
          </w:tcPr>
          <w:p>
            <w:r/>
            <w:r>
              <w:rPr>
                <w:b w:val="0"/>
                <w:i w:val="0"/>
              </w:rPr>
              <w:t>Acreditación de la formación en manipulación de alimentos</w:t>
            </w:r>
          </w:p>
        </w:tc>
        <w:tc>
          <w:tcPr>
            <w:tcW w:type="dxa" w:w="2436"/>
          </w:tcPr>
          <w:p>
            <w:r/>
            <w:r>
              <w:rPr>
                <w:b w:val="0"/>
                <w:i w:val="0"/>
              </w:rPr>
              <w:t>En el local, por cada persona</w:t>
            </w:r>
          </w:p>
        </w:tc>
        <w:tc>
          <w:tcPr>
            <w:tcW w:type="dxa" w:w="2436"/>
          </w:tcPr>
          <w:p>
            <w:r/>
            <w:r>
              <w:rPr>
                <w:b w:val="0"/>
                <w:i w:val="0"/>
              </w:rPr>
              <w:t>Sanidad (autonómica)</w:t>
            </w:r>
          </w:p>
        </w:tc>
      </w:tr>
      <w:tr>
        <w:tc>
          <w:tcPr>
            <w:tcW w:type="dxa" w:w="2436"/>
          </w:tcPr>
          <w:p>
            <w:r/>
            <w:r>
              <w:rPr>
                <w:b w:val="0"/>
                <w:i w:val="0"/>
              </w:rPr>
              <w:t>10</w:t>
            </w:r>
          </w:p>
        </w:tc>
        <w:tc>
          <w:tcPr>
            <w:tcW w:type="dxa" w:w="2436"/>
          </w:tcPr>
          <w:p>
            <w:r/>
            <w:r>
              <w:rPr>
                <w:b w:val="0"/>
                <w:i w:val="0"/>
              </w:rPr>
              <w:t>Información escrita de alérgenos de todos los platos</w:t>
            </w:r>
          </w:p>
        </w:tc>
        <w:tc>
          <w:tcPr>
            <w:tcW w:type="dxa" w:w="2436"/>
          </w:tcPr>
          <w:p>
            <w:r/>
            <w:r>
              <w:rPr>
                <w:b w:val="0"/>
                <w:i w:val="0"/>
              </w:rPr>
              <w:t>En el local, disponible para el cliente y para el personal de sala</w:t>
            </w:r>
          </w:p>
        </w:tc>
        <w:tc>
          <w:tcPr>
            <w:tcW w:type="dxa" w:w="2436"/>
          </w:tcPr>
          <w:p>
            <w:r/>
            <w:r>
              <w:rPr>
                <w:b w:val="0"/>
                <w:i w:val="0"/>
              </w:rPr>
              <w:t>Sanidad y consumo</w:t>
            </w:r>
          </w:p>
        </w:tc>
      </w:tr>
      <w:tr>
        <w:tc>
          <w:tcPr>
            <w:tcW w:type="dxa" w:w="2436"/>
          </w:tcPr>
          <w:p>
            <w:r/>
            <w:r>
              <w:rPr>
                <w:b w:val="0"/>
                <w:i w:val="0"/>
              </w:rPr>
              <w:t>11</w:t>
            </w:r>
          </w:p>
        </w:tc>
        <w:tc>
          <w:tcPr>
            <w:tcW w:type="dxa" w:w="2436"/>
          </w:tcPr>
          <w:p>
            <w:r/>
            <w:r>
              <w:rPr>
                <w:b w:val="0"/>
                <w:i w:val="0"/>
              </w:rPr>
              <w:t>Albaranes de trazabilidad y justificante de congelación del pescado para consumo en crudo</w:t>
            </w:r>
          </w:p>
        </w:tc>
        <w:tc>
          <w:tcPr>
            <w:tcW w:type="dxa" w:w="2436"/>
          </w:tcPr>
          <w:p>
            <w:r/>
            <w:r>
              <w:rPr>
                <w:b w:val="0"/>
                <w:i w:val="0"/>
              </w:rPr>
              <w:t>En el local, un paso atrás</w:t>
            </w:r>
          </w:p>
        </w:tc>
        <w:tc>
          <w:tcPr>
            <w:tcW w:type="dxa" w:w="2436"/>
          </w:tcPr>
          <w:p>
            <w:r/>
            <w:r>
              <w:rPr>
                <w:b w:val="0"/>
                <w:i w:val="0"/>
              </w:rPr>
              <w:t>Sanidad (autonómica)</w:t>
            </w:r>
          </w:p>
        </w:tc>
      </w:tr>
      <w:tr>
        <w:tc>
          <w:tcPr>
            <w:tcW w:type="dxa" w:w="2436"/>
          </w:tcPr>
          <w:p>
            <w:r/>
            <w:r>
              <w:rPr>
                <w:b w:val="0"/>
                <w:i w:val="0"/>
              </w:rPr>
              <w:t>12</w:t>
            </w:r>
          </w:p>
        </w:tc>
        <w:tc>
          <w:tcPr>
            <w:tcW w:type="dxa" w:w="2436"/>
          </w:tcPr>
          <w:p>
            <w:r/>
            <w:r>
              <w:rPr>
                <w:b w:val="0"/>
                <w:i w:val="0"/>
              </w:rPr>
              <w:t>Comunicación o declaración responsable de inicio de actividad y licencia</w:t>
            </w:r>
          </w:p>
        </w:tc>
        <w:tc>
          <w:tcPr>
            <w:tcW w:type="dxa" w:w="2436"/>
          </w:tcPr>
          <w:p>
            <w:r/>
            <w:r>
              <w:rPr>
                <w:b w:val="0"/>
                <w:i w:val="0"/>
              </w:rPr>
              <w:t>En el local</w:t>
            </w:r>
          </w:p>
        </w:tc>
        <w:tc>
          <w:tcPr>
            <w:tcW w:type="dxa" w:w="2436"/>
          </w:tcPr>
          <w:p>
            <w:r/>
            <w:r>
              <w:rPr>
                <w:b w:val="0"/>
                <w:i w:val="0"/>
              </w:rPr>
              <w:t>Ayuntamiento y Sanidad</w:t>
            </w:r>
          </w:p>
        </w:tc>
      </w:tr>
    </w:tbl>
    <w:p/>
    <w:p>
      <w:pPr>
        <w:jc w:val="center"/>
      </w:pPr>
      <w:r>
        <w:rPr>
          <w:i/>
          <w:color w:val="444444"/>
        </w:rPr>
        <w:t>Las columnas de «¿Disponible en el local?» y «Última comprobación» son casillas editables: la hoja calcula sola el porcentaje de documentación completada.</w:t>
      </w:r>
    </w:p>
    <w:p>
      <w:r>
        <w:br w:type="page"/>
      </w:r>
    </w:p>
    <w:p>
      <w:pPr>
        <w:pStyle w:val="Heading1"/>
      </w:pPr>
      <w:r>
        <w:t>20. El Calendario del Manager, la Auditoría Interna y los 90 Días Siguientes</w:t>
      </w:r>
    </w:p>
    <w:p>
      <w:pPr>
        <w:pStyle w:val="Heading2"/>
      </w:pPr>
      <w:r>
        <w:t>Qué tiene fecha fijada por una norma y qué se vende como si la tuviera</w:t>
      </w:r>
    </w:p>
    <w:p>
      <w:r>
        <w:rPr>
          <w:b w:val="0"/>
          <w:i w:val="0"/>
        </w:rPr>
        <w:t>De los 18 puntos de control que reúne este calendario, sólo 7 tienen la periodicidad fijada por una norma estatal; los otros 11 son criterio de la casa. Decirlo así no relaja el control: es saber dónde está la obligación y dónde la buena práctica. La limpieza de campana y conductos, la calibración de los termómetros, el control de plagas, la medición del aceite de fritura y la frecuencia de la formación se venden con calendario cerrado -trimestral, semestral, anual-, pero ninguna tiene periodicidad fijada por una norma estatal: lo que exige la ley es el resultado (una campana limpia, un termómetro que marque bien, ausencia de plagas, un aceite dentro de parámetros), no un calendario concreto. Saberlo permite al manager (gerente/encargado) fijar la periodicidad con criterio propio y dejar anotado el motivo, en vez de comprarla ya cerrada porque así se la vendieron.</w:t>
      </w:r>
    </w:p>
    <w:p>
      <w:r>
        <w:rPr>
          <w:b w:val="0"/>
          <w:i w:val="0"/>
        </w:rPr>
        <w:t>El ejemplo más citado estos meses es el del registro horario digital: el real decreto que lo obligaría sigue en tramitación, sin publicar en el BOE, con dictamen desfavorable del Consejo de Estado de 23 de marzo de 2026. Lo exigible hoy es el registro diario con hora de inicio y fin, conservado 4 años de conservación, y admite papel o una hoja de cálculo (art. 34.9 del Estatuto de los Trabajadores, redacción del RDL 8/2019; verificado el 4 de septiembre de 2026). Quien presenta el registro digital homologado como obligación ya vigente vende una fecha que todavía no existe.</w:t>
      </w:r>
    </w:p>
    <w:p>
      <w:r>
        <w:rPr>
          <w:b w:val="0"/>
          <w:i w:val="0"/>
        </w:rPr>
        <w:t>Donde sí hay una fecha que no se negocia, la sanción marca la diferencia (verificado el 4 de septiembre de 2026): en PRL las infracciones llegan hasta 983.736 €, y en relaciones laborales hasta 225.018 € (art. 40.1 y 40.2 LISOS, RDLeg 5/2000; cuantías de la Ley 10/2021, no del RDL 5/2023 como suele repetirse). En seguridad alimentaria, la ausencia de autocontrol, la falta de trazabilidad o no identificar al proveedor son graves, con infracciones de 5.000 € a 600.000 € y cierre de hasta 5 años (Ley 17/2011 de seguridad alimentaria y nutrición, arts. 51 y 52). En consumo van de 150 € a 1.000.000 € (hasta 8 veces el beneficio ilícito), con comiso, publicidad y cierre como accesorias (TRLGDCU, RDLeg 1/2007, arts. 48 a 50). Ese es el peso de los 7 puntos con fecha de norma estatal.</w:t>
      </w:r>
    </w:p>
    <w:p>
      <w:pPr>
        <w:pStyle w:val="Heading2"/>
      </w:pPr>
      <w:r>
        <w:t>El calendario de vencimientos: cómo se monta y cómo se lee</w:t>
      </w:r>
    </w:p>
    <w:p>
      <w:r>
        <w:rPr>
          <w:b w:val="0"/>
          <w:i w:val="0"/>
        </w:rPr>
        <w:t>La herramienta resuelve la distinción con una sola columna: «¿lo fija una norma estatal?». Si la respuesta es sí, la fecha no se negocia; si es no, la periodicidad la decide la dirección y queda anotado el motivo. Sobre los 18 puntos registrados, el calendario deja 7 con periodicidad de norma estatal y 11 de criterio de la casa, y en la fecha de corte de este ejemplo hay 1 punto vencido y un 75 % en verde.</w:t>
      </w:r>
    </w:p>
    <w:p>
      <w:r>
        <w:rPr>
          <w:b w:val="0"/>
          <w:i w:val="0"/>
        </w:rPr>
        <w:t>Leer el calendario no es mirar el color de una fila: es saber qué columna importa.</w:t>
      </w:r>
    </w:p>
    <w:p>
      <w:pPr>
        <w:pStyle w:val="ListBullet"/>
      </w:pPr>
      <w:r>
        <w:rPr>
          <w:b w:val="0"/>
          <w:i w:val="0"/>
        </w:rPr>
        <w:t>En los de norma estatal, lo único que importa es si está vencido: no hay margen sobre la fecha, y ese vencido pesa más que varios juntos en criterio de la casa.</w:t>
      </w:r>
    </w:p>
    <w:p>
      <w:pPr>
        <w:pStyle w:val="ListBullet"/>
      </w:pPr>
      <w:r>
        <w:rPr>
          <w:b w:val="0"/>
          <w:i w:val="0"/>
        </w:rPr>
        <w:t>En los de criterio de la casa, lo que importa es si la periodicidad sigue teniendo sentido con el volumen actual, no sólo si se cumplió la última vez.</w:t>
      </w:r>
    </w:p>
    <w:p>
      <w:pPr>
        <w:pStyle w:val="ListBullet"/>
      </w:pPr>
      <w:r>
        <w:rPr>
          <w:b w:val="0"/>
          <w:i w:val="0"/>
        </w:rPr>
        <w:t>El punto vencido se resuelve antes de abrir la siguiente auditoría: empezarla con un vencimiento abierto la contamina.</w:t>
      </w:r>
    </w:p>
    <w:p>
      <w:r>
        <w:rPr>
          <w:b w:val="0"/>
          <w:i w:val="0"/>
        </w:rPr>
        <w:t>La tabla de abajo recoge los 18 puntos con su columna de norma, su periodicidad y su estado en la fecha de corte.</w:t>
      </w:r>
    </w:p>
    <w:p>
      <w:pPr>
        <w:pStyle w:val="Heading2"/>
      </w:pPr>
      <w:r>
        <w:t>La auditoría interna: puntuar el servicio con la misma vara tres veces</w:t>
      </w:r>
    </w:p>
    <w:p>
      <w:r>
        <w:rPr>
          <w:b w:val="0"/>
          <w:i w:val="0"/>
        </w:rPr>
        <w:t>La auditoría interna no es un examen que se aprueba o se suspende una vez: es un instrumento de dirección que sólo sirve si se repite con los mismos puntos, el mismo peso por área y la misma escala en cada visita. Cambiar el criterio de una visita a otra -un punto nuevo, más peso en la sala (salón) porque esa semana fue mala- convierte la auditoría en una fotografía sin referencia. Lo que interesa no es la nota aislada, sino la variación entre visitas: qué área sube, cuál baja y, sobre todo, cuál empeora dos veces seguidas, porque esa necesita una decisión, no otra visita de comprobación.</w:t>
      </w:r>
    </w:p>
    <w:p>
      <w:r>
        <w:rPr>
          <w:b w:val="0"/>
          <w:i w:val="0"/>
        </w:rPr>
        <w:t>En este caso, la puntuación ponderada pasó de 3,33 en la primera visita a 3,96 en la tercera, con un cumplimiento del 79,2 % en esa visita. La cifra aislada importa menos que la trayectoria: una puntuación que sube confirma que las decisiones tras la primera auditoría se sostuvieron; una que baja, aunque sea en una sola área, señala que ese punto entra en la próxima reunión con nombre, responsable y semana.</w:t>
      </w:r>
    </w:p>
    <w:p>
      <w:pPr>
        <w:pStyle w:val="Heading2"/>
      </w:pPr>
      <w:r>
        <w:t>De la auditoría al plan: veinte decisiones con responsable y semana</w:t>
      </w:r>
    </w:p>
    <w:p>
      <w:r>
        <w:rPr>
          <w:b w:val="0"/>
          <w:i w:val="0"/>
        </w:rPr>
        <w:t>El diagnóstico no vale nada si no cruza el puente hacia la ejecución, y ese puente es donde mueren casi todos los planes que se quedan en una carpeta. Una decisión no es una frase bienintencionada apuntada en una reunión: sólo lo es cuando salen de ella cinco cosas a la vez. Primero, la herramienta concreta de la que procede -el calendario de vencimientos, la auditoría de servicio, el escandallo, el arqueo (corte de caja), el cuadrante (horario del personal)- porque una decisión sin origen no se puede revisar cuando llegue el momento de comprobarla. Segundo, el área a la que afecta: cocina, sala, barra, personal o administración, para que el peso de cada área en la siguiente auditoría se pueda leer junto al número de decisiones abiertas sobre ella. Tercero, un responsable con nombre y apellido, nunca «el equipo» ni «dirección»: a una persona se le puede preguntar por qué algo sigue sin hacerse, a un departamento no. Cuarto, una semana concreta del uno al trece dentro del plan, no un «pronto» ni un «este trimestre», porque sin semana la decisión flota sin fecha de exigencia. Y quinto, un impacto estimado, aunque sea cualitativo, que sirva para priorizar cuando dos decisiones compiten por el mismo responsable la misma semana. Sin las cinco cosas no es una decisión: es una intención, y las intenciones son las que llenan las carpetas de auditorías que nadie vuelve a abrir.</w:t>
      </w:r>
    </w:p>
    <w:p>
      <w:r>
        <w:rPr>
          <w:b w:val="0"/>
          <w:i w:val="0"/>
        </w:rPr>
        <w:t>El plan de este ejemplo agrupa 20 decisiones repartidas por área a lo largo de 13 semanas, el tiempo que separa una auditoría de la siguiente con el mismo criterio. Repartirlas en trece semanas, y no amontonarlas al principio, es en sí mismo una decisión de gestión: un plan que concentra la mayoría de las decisiones en la primera semana y deja el resto sueltas hasta el final no es un plan, es una lista de deseos con fecha de nacimiento. La tabla de abajo recoge las veinte, cada una con su área, su responsable y su semana.</w:t>
      </w:r>
    </w:p>
    <w:p>
      <w:pPr>
        <w:pStyle w:val="Heading2"/>
      </w:pPr>
      <w:r>
        <w:t>Qué se mide el primer día y qué se mide a los noventa</w:t>
      </w:r>
    </w:p>
    <w:p>
      <w:r>
        <w:rPr>
          <w:b w:val="0"/>
          <w:i w:val="0"/>
        </w:rPr>
        <w:t>Todo plan necesita una fotografía de salida, tomada el mismo día en que se cierra la auditoría y se reparten las decisiones, para que a los noventa días la comparación tenga con qué compararse. No hace falta medirlo todo: tres cifras bastan para arrancar, y las tres se leen sin necesidad de esperar al cierre del trimestre.</w:t>
      </w:r>
    </w:p>
    <w:p>
      <w:pPr>
        <w:pStyle w:val="ListBullet"/>
      </w:pPr>
      <w:r>
        <w:rPr>
          <w:b w:val="0"/>
          <w:i w:val="0"/>
        </w:rPr>
        <w:t>El prime cost de la semana, porque es el indicador que primero delata si una decisión de personal o de compras está funcionando, sin esperar al cierre mensual completo.</w:t>
      </w:r>
    </w:p>
    <w:p>
      <w:pPr>
        <w:pStyle w:val="ListBullet"/>
      </w:pPr>
      <w:r>
        <w:rPr>
          <w:b w:val="0"/>
          <w:i w:val="0"/>
        </w:rPr>
        <w:t>El cumplimiento del plazo de respuesta a las quejas, porque mide si el servicio reacciona a tiempo, no sólo si puntúa bien en la auditoría trimestral.</w:t>
      </w:r>
    </w:p>
    <w:p>
      <w:pPr>
        <w:pStyle w:val="ListBullet"/>
      </w:pPr>
      <w:r>
        <w:rPr>
          <w:b w:val="0"/>
          <w:i w:val="0"/>
        </w:rPr>
        <w:t>La cobertura por estación de la partida, porque una decisión de cuadrante que se ve bien en el papel puede seguir dejando un puesto descubierto en la hora punta.</w:t>
      </w:r>
    </w:p>
    <w:p>
      <w:r>
        <w:rPr>
          <w:b w:val="0"/>
          <w:i w:val="0"/>
        </w:rPr>
        <w:t>Las tres tocan un pilar distinto del negocio -el dinero, el servicio y las personas- y ninguna exige esperar al cierre completo del mes, así que funcionan como alarma temprana mientras el resto de las veinte decisiones sigue todavía en marcha. Anotar estas tres cifras el primer día no promete un resultado a los noventa: da la línea de partida contra la que se juzgará si las veinte decisiones se ejecutaron o si sólo se firmaron.</w:t>
      </w:r>
    </w:p>
    <w:p>
      <w:r>
        <w:rPr>
          <w:b w:val="0"/>
          <w:i w:val="0"/>
        </w:rPr>
        <w:t>Y con esto se cierra el libro con la misma honestidad con la que se abrió: la ley cambia, el Consejo de Estado puede resolver el registro horario mañana mismo, un convenio puede renovarse el año que viene y una sentencia puede reinterpretar un artículo que hoy parece cerrado. Por eso cada afirmación legal de este manual va con su norma, su artículo y su fecha de corte, y por eso cada parámetro de sus herramientas -qué punto lleva norma estatal, qué peso tiene cada área en la auditoría, cuántas semanas dura el plan- vive en una casilla editable y no en una cifra fija dentro del texto. Lo que envejece con el tiempo es el documento; el método de convertir un diagnóstico en veinte decisiones con nombre y semana, y el hábito de medir el primer día para poder comparar, no caducan con ninguna norma.</w:t>
      </w:r>
    </w:p>
    <w:p>
      <w:r>
        <w:rPr>
          <w:b/>
          <w:i w:val="0"/>
        </w:rPr>
        <w:t>El calendario de vencimientos: qué lo fija una norma y qué es criterio de la casa (calendario-cumplimiento-legal.xlsx, hoja «Calendario y Vencimientos»)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Punto de control</w:t>
            </w:r>
          </w:p>
        </w:tc>
        <w:tc>
          <w:tcPr>
            <w:tcW w:type="dxa" w:w="2436"/>
          </w:tcPr>
          <w:p>
            <w:r/>
            <w:r>
              <w:rPr>
                <w:b/>
                <w:i w:val="0"/>
              </w:rPr>
              <w:t>Periodicidad (meses)</w:t>
            </w:r>
          </w:p>
        </w:tc>
        <w:tc>
          <w:tcPr>
            <w:tcW w:type="dxa" w:w="2436"/>
          </w:tcPr>
          <w:p>
            <w:r/>
            <w:r>
              <w:rPr>
                <w:b/>
                <w:i w:val="0"/>
              </w:rPr>
              <w:t>¿Lo fija una norma estatal?</w:t>
            </w:r>
          </w:p>
        </w:tc>
        <w:tc>
          <w:tcPr>
            <w:tcW w:type="dxa" w:w="2436"/>
          </w:tcPr>
          <w:p>
            <w:r/>
            <w:r>
              <w:rPr>
                <w:b/>
                <w:i w:val="0"/>
              </w:rPr>
              <w:t>Estado</w:t>
            </w:r>
          </w:p>
        </w:tc>
      </w:tr>
      <w:tr>
        <w:tc>
          <w:tcPr>
            <w:tcW w:type="dxa" w:w="2436"/>
          </w:tcPr>
          <w:p>
            <w:r/>
            <w:r>
              <w:rPr>
                <w:b w:val="0"/>
                <w:i w:val="0"/>
              </w:rPr>
              <w:t>Registro de jornada (diario) y conservación durante 4 años</w:t>
            </w:r>
          </w:p>
        </w:tc>
        <w:tc>
          <w:tcPr>
            <w:tcW w:type="dxa" w:w="2436"/>
          </w:tcPr>
          <w:p>
            <w:r/>
            <w:r>
              <w:rPr>
                <w:b w:val="0"/>
                <w:i w:val="0"/>
              </w:rPr>
              <w:t>0</w:t>
            </w:r>
          </w:p>
        </w:tc>
        <w:tc>
          <w:tcPr>
            <w:tcW w:type="dxa" w:w="2436"/>
          </w:tcPr>
          <w:p>
            <w:r/>
            <w:r>
              <w:rPr>
                <w:b w:val="0"/>
                <w:i w:val="0"/>
              </w:rPr>
              <w:t>Sí</w:t>
            </w:r>
          </w:p>
        </w:tc>
        <w:tc>
          <w:tcPr>
            <w:tcW w:type="dxa" w:w="2436"/>
          </w:tcPr>
          <w:p>
            <w:r/>
            <w:r>
              <w:rPr>
                <w:b w:val="0"/>
                <w:i w:val="0"/>
              </w:rPr>
              <w:t>No vence</w:t>
            </w:r>
          </w:p>
        </w:tc>
      </w:tr>
      <w:tr>
        <w:tc>
          <w:tcPr>
            <w:tcW w:type="dxa" w:w="2436"/>
          </w:tcPr>
          <w:p>
            <w:r/>
            <w:r>
              <w:rPr>
                <w:b w:val="0"/>
                <w:i w:val="0"/>
              </w:rPr>
              <w:t>Inspección periódica del ascensor</w:t>
            </w:r>
          </w:p>
        </w:tc>
        <w:tc>
          <w:tcPr>
            <w:tcW w:type="dxa" w:w="2436"/>
          </w:tcPr>
          <w:p>
            <w:r/>
            <w:r>
              <w:rPr>
                <w:b w:val="0"/>
                <w:i w:val="0"/>
              </w:rPr>
              <w:t>24</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Extintores: revisión trimestral por el titular</w:t>
            </w:r>
          </w:p>
        </w:tc>
        <w:tc>
          <w:tcPr>
            <w:tcW w:type="dxa" w:w="2436"/>
          </w:tcPr>
          <w:p>
            <w:r/>
            <w:r>
              <w:rPr>
                <w:b w:val="0"/>
                <w:i w:val="0"/>
              </w:rPr>
              <w:t>3</w:t>
            </w:r>
          </w:p>
        </w:tc>
        <w:tc>
          <w:tcPr>
            <w:tcW w:type="dxa" w:w="2436"/>
          </w:tcPr>
          <w:p>
            <w:r/>
            <w:r>
              <w:rPr>
                <w:b w:val="0"/>
                <w:i w:val="0"/>
              </w:rPr>
              <w:t>Sí</w:t>
            </w:r>
          </w:p>
        </w:tc>
        <w:tc>
          <w:tcPr>
            <w:tcW w:type="dxa" w:w="2436"/>
          </w:tcPr>
          <w:p>
            <w:r/>
            <w:r>
              <w:rPr>
                <w:b w:val="0"/>
                <w:i w:val="0"/>
              </w:rPr>
              <w:t>&lt; 30 días</w:t>
            </w:r>
          </w:p>
        </w:tc>
      </w:tr>
      <w:tr>
        <w:tc>
          <w:tcPr>
            <w:tcW w:type="dxa" w:w="2436"/>
          </w:tcPr>
          <w:p>
            <w:r/>
            <w:r>
              <w:rPr>
                <w:b w:val="0"/>
                <w:i w:val="0"/>
              </w:rPr>
              <w:t>Extintores: mantenimiento anual por empresa mantenedora</w:t>
            </w:r>
          </w:p>
        </w:tc>
        <w:tc>
          <w:tcPr>
            <w:tcW w:type="dxa" w:w="2436"/>
          </w:tcPr>
          <w:p>
            <w:r/>
            <w:r>
              <w:rPr>
                <w:b w:val="0"/>
                <w:i w:val="0"/>
              </w:rPr>
              <w:t>12</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Extintores: retimbrado (prueba de presión)</w:t>
            </w:r>
          </w:p>
        </w:tc>
        <w:tc>
          <w:tcPr>
            <w:tcW w:type="dxa" w:w="2436"/>
          </w:tcPr>
          <w:p>
            <w:r/>
            <w:r>
              <w:rPr>
                <w:b w:val="0"/>
                <w:i w:val="0"/>
              </w:rPr>
              <w:t>60</w:t>
            </w:r>
          </w:p>
        </w:tc>
        <w:tc>
          <w:tcPr>
            <w:tcW w:type="dxa" w:w="2436"/>
          </w:tcPr>
          <w:p>
            <w:r/>
            <w:r>
              <w:rPr>
                <w:b w:val="0"/>
                <w:i w:val="0"/>
              </w:rPr>
              <w:t>Sí</w:t>
            </w:r>
          </w:p>
        </w:tc>
        <w:tc>
          <w:tcPr>
            <w:tcW w:type="dxa" w:w="2436"/>
          </w:tcPr>
          <w:p>
            <w:r/>
            <w:r>
              <w:rPr>
                <w:b w:val="0"/>
                <w:i w:val="0"/>
              </w:rPr>
              <w:t>VENCIDO</w:t>
            </w:r>
          </w:p>
        </w:tc>
      </w:tr>
      <w:tr>
        <w:tc>
          <w:tcPr>
            <w:tcW w:type="dxa" w:w="2436"/>
          </w:tcPr>
          <w:p>
            <w:r/>
            <w:r>
              <w:rPr>
                <w:b w:val="0"/>
                <w:i w:val="0"/>
              </w:rPr>
              <w:t>Extintores: retirada del servicio a los 20 años</w:t>
            </w:r>
          </w:p>
        </w:tc>
        <w:tc>
          <w:tcPr>
            <w:tcW w:type="dxa" w:w="2436"/>
          </w:tcPr>
          <w:p>
            <w:r/>
            <w:r>
              <w:rPr>
                <w:b w:val="0"/>
                <w:i w:val="0"/>
              </w:rPr>
              <w:t>240</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Revisión periódica de la instalación de gas</w:t>
            </w:r>
          </w:p>
        </w:tc>
        <w:tc>
          <w:tcPr>
            <w:tcW w:type="dxa" w:w="2436"/>
          </w:tcPr>
          <w:p>
            <w:r/>
            <w:r>
              <w:rPr>
                <w:b w:val="0"/>
                <w:i w:val="0"/>
              </w:rPr>
              <w:t>60</w:t>
            </w:r>
          </w:p>
        </w:tc>
        <w:tc>
          <w:tcPr>
            <w:tcW w:type="dxa" w:w="2436"/>
          </w:tcPr>
          <w:p>
            <w:r/>
            <w:r>
              <w:rPr>
                <w:b w:val="0"/>
                <w:i w:val="0"/>
              </w:rPr>
              <w:t>Sí</w:t>
            </w:r>
          </w:p>
        </w:tc>
        <w:tc>
          <w:tcPr>
            <w:tcW w:type="dxa" w:w="2436"/>
          </w:tcPr>
          <w:p>
            <w:r/>
            <w:r>
              <w:rPr>
                <w:b w:val="0"/>
                <w:i w:val="0"/>
              </w:rPr>
              <w:t>OK</w:t>
            </w:r>
          </w:p>
        </w:tc>
      </w:tr>
      <w:tr>
        <w:tc>
          <w:tcPr>
            <w:tcW w:type="dxa" w:w="2436"/>
          </w:tcPr>
          <w:p>
            <w:r/>
            <w:r>
              <w:rPr>
                <w:b w:val="0"/>
                <w:i w:val="0"/>
              </w:rPr>
              <w:t>Control de plagas (desinsectación y desratización)</w:t>
            </w:r>
          </w:p>
        </w:tc>
        <w:tc>
          <w:tcPr>
            <w:tcW w:type="dxa" w:w="2436"/>
          </w:tcPr>
          <w:p>
            <w:r/>
            <w:r>
              <w:rPr>
                <w:b w:val="0"/>
                <w:i w:val="0"/>
              </w:rPr>
              <w:t>3</w:t>
            </w:r>
          </w:p>
        </w:tc>
        <w:tc>
          <w:tcPr>
            <w:tcW w:type="dxa" w:w="2436"/>
          </w:tcPr>
          <w:p>
            <w:r/>
            <w:r>
              <w:rPr>
                <w:b w:val="0"/>
                <w:i w:val="0"/>
              </w:rPr>
              <w:t>No</w:t>
            </w:r>
          </w:p>
        </w:tc>
        <w:tc>
          <w:tcPr>
            <w:tcW w:type="dxa" w:w="2436"/>
          </w:tcPr>
          <w:p>
            <w:r/>
            <w:r>
              <w:rPr>
                <w:b w:val="0"/>
                <w:i w:val="0"/>
              </w:rPr>
              <w:t>&lt; 30 días</w:t>
            </w:r>
          </w:p>
        </w:tc>
      </w:tr>
      <w:tr>
        <w:tc>
          <w:tcPr>
            <w:tcW w:type="dxa" w:w="2436"/>
          </w:tcPr>
          <w:p>
            <w:r/>
            <w:r>
              <w:rPr>
                <w:b w:val="0"/>
                <w:i w:val="0"/>
              </w:rPr>
              <w:t>Limpieza de campana y conductos de extracción</w:t>
            </w:r>
          </w:p>
        </w:tc>
        <w:tc>
          <w:tcPr>
            <w:tcW w:type="dxa" w:w="2436"/>
          </w:tcPr>
          <w:p>
            <w:r/>
            <w:r>
              <w:rPr>
                <w:b w:val="0"/>
                <w:i w:val="0"/>
              </w:rPr>
              <w:t>6</w:t>
            </w:r>
          </w:p>
        </w:tc>
        <w:tc>
          <w:tcPr>
            <w:tcW w:type="dxa" w:w="2436"/>
          </w:tcPr>
          <w:p>
            <w:r/>
            <w:r>
              <w:rPr>
                <w:b w:val="0"/>
                <w:i w:val="0"/>
              </w:rPr>
              <w:t>No</w:t>
            </w:r>
          </w:p>
        </w:tc>
        <w:tc>
          <w:tcPr>
            <w:tcW w:type="dxa" w:w="2436"/>
          </w:tcPr>
          <w:p>
            <w:r/>
            <w:r>
              <w:rPr>
                <w:b w:val="0"/>
                <w:i w:val="0"/>
              </w:rPr>
              <w:t>&lt; 30 días</w:t>
            </w:r>
          </w:p>
        </w:tc>
      </w:tr>
      <w:tr>
        <w:tc>
          <w:tcPr>
            <w:tcW w:type="dxa" w:w="2436"/>
          </w:tcPr>
          <w:p>
            <w:r/>
            <w:r>
              <w:rPr>
                <w:b w:val="0"/>
                <w:i w:val="0"/>
              </w:rPr>
              <w:t>Verificación de termómetros y sondas</w:t>
            </w:r>
          </w:p>
        </w:tc>
        <w:tc>
          <w:tcPr>
            <w:tcW w:type="dxa" w:w="2436"/>
          </w:tcPr>
          <w:p>
            <w:r/>
            <w:r>
              <w:rPr>
                <w:b w:val="0"/>
                <w:i w:val="0"/>
              </w:rPr>
              <w:t>12</w:t>
            </w:r>
          </w:p>
        </w:tc>
        <w:tc>
          <w:tcPr>
            <w:tcW w:type="dxa" w:w="2436"/>
          </w:tcPr>
          <w:p>
            <w:r/>
            <w:r>
              <w:rPr>
                <w:b w:val="0"/>
                <w:i w:val="0"/>
              </w:rPr>
              <w:t>No</w:t>
            </w:r>
          </w:p>
        </w:tc>
        <w:tc>
          <w:tcPr>
            <w:tcW w:type="dxa" w:w="2436"/>
          </w:tcPr>
          <w:p>
            <w:r/>
            <w:r>
              <w:rPr>
                <w:b w:val="0"/>
                <w:i w:val="0"/>
              </w:rPr>
              <w:t>OK</w:t>
            </w:r>
          </w:p>
        </w:tc>
      </w:tr>
      <w:tr>
        <w:tc>
          <w:tcPr>
            <w:tcW w:type="dxa" w:w="2436"/>
          </w:tcPr>
          <w:p>
            <w:r/>
            <w:r>
              <w:rPr>
                <w:b w:val="0"/>
                <w:i w:val="0"/>
              </w:rPr>
              <w:t>Analítica de agua (sólo con depósito o tratamiento propio)</w:t>
            </w:r>
          </w:p>
        </w:tc>
        <w:tc>
          <w:tcPr>
            <w:tcW w:type="dxa" w:w="2436"/>
          </w:tcPr>
          <w:p>
            <w:r/>
            <w:r>
              <w:rPr>
                <w:b w:val="0"/>
                <w:i w:val="0"/>
              </w:rPr>
              <w:t>12</w:t>
            </w:r>
          </w:p>
        </w:tc>
        <w:tc>
          <w:tcPr>
            <w:tcW w:type="dxa" w:w="2436"/>
          </w:tcPr>
          <w:p>
            <w:r/>
            <w:r>
              <w:rPr>
                <w:b w:val="0"/>
                <w:i w:val="0"/>
              </w:rPr>
              <w:t>No</w:t>
            </w:r>
          </w:p>
        </w:tc>
        <w:tc>
          <w:tcPr>
            <w:tcW w:type="dxa" w:w="2436"/>
          </w:tcPr>
          <w:p>
            <w:r/>
            <w:r>
              <w:rPr>
                <w:b w:val="0"/>
                <w:i w:val="0"/>
              </w:rPr>
              <w:t>OK</w:t>
            </w:r>
          </w:p>
        </w:tc>
      </w:tr>
      <w:tr>
        <w:tc>
          <w:tcPr>
            <w:tcW w:type="dxa" w:w="2436"/>
          </w:tcPr>
          <w:p>
            <w:r/>
            <w:r>
              <w:rPr>
                <w:b w:val="0"/>
                <w:i w:val="0"/>
              </w:rPr>
              <w:t>Formación de manipuladores de alimentos</w:t>
            </w:r>
          </w:p>
        </w:tc>
        <w:tc>
          <w:tcPr>
            <w:tcW w:type="dxa" w:w="2436"/>
          </w:tcPr>
          <w:p>
            <w:r/>
            <w:r>
              <w:rPr>
                <w:b w:val="0"/>
                <w:i w:val="0"/>
              </w:rPr>
              <w:t>24</w:t>
            </w:r>
          </w:p>
        </w:tc>
        <w:tc>
          <w:tcPr>
            <w:tcW w:type="dxa" w:w="2436"/>
          </w:tcPr>
          <w:p>
            <w:r/>
            <w:r>
              <w:rPr>
                <w:b w:val="0"/>
                <w:i w:val="0"/>
              </w:rPr>
              <w:t>No</w:t>
            </w:r>
          </w:p>
        </w:tc>
        <w:tc>
          <w:tcPr>
            <w:tcW w:type="dxa" w:w="2436"/>
          </w:tcPr>
          <w:p>
            <w:r/>
            <w:r>
              <w:rPr>
                <w:b w:val="0"/>
                <w:i w:val="0"/>
              </w:rPr>
              <w:t>OK</w:t>
            </w:r>
          </w:p>
        </w:tc>
      </w:tr>
      <w:tr>
        <w:tc>
          <w:tcPr>
            <w:tcW w:type="dxa" w:w="2436"/>
          </w:tcPr>
          <w:p>
            <w:r/>
            <w:r>
              <w:rPr>
                <w:b w:val="0"/>
                <w:i w:val="0"/>
              </w:rPr>
              <w:t>Formación de PRL del puesto de trabajo</w:t>
            </w:r>
          </w:p>
        </w:tc>
        <w:tc>
          <w:tcPr>
            <w:tcW w:type="dxa" w:w="2436"/>
          </w:tcPr>
          <w:p>
            <w:r/>
            <w:r>
              <w:rPr>
                <w:b w:val="0"/>
                <w:i w:val="0"/>
              </w:rPr>
              <w:t>24</w:t>
            </w:r>
          </w:p>
        </w:tc>
        <w:tc>
          <w:tcPr>
            <w:tcW w:type="dxa" w:w="2436"/>
          </w:tcPr>
          <w:p>
            <w:r/>
            <w:r>
              <w:rPr>
                <w:b w:val="0"/>
                <w:i w:val="0"/>
              </w:rPr>
              <w:t>No</w:t>
            </w:r>
          </w:p>
        </w:tc>
        <w:tc>
          <w:tcPr>
            <w:tcW w:type="dxa" w:w="2436"/>
          </w:tcPr>
          <w:p>
            <w:r/>
            <w:r>
              <w:rPr>
                <w:b w:val="0"/>
                <w:i w:val="0"/>
              </w:rPr>
              <w:t>OK</w:t>
            </w:r>
          </w:p>
        </w:tc>
      </w:tr>
      <w:tr>
        <w:tc>
          <w:tcPr>
            <w:tcW w:type="dxa" w:w="2436"/>
          </w:tcPr>
          <w:p>
            <w:r/>
            <w:r>
              <w:rPr>
                <w:b w:val="0"/>
                <w:i w:val="0"/>
              </w:rPr>
              <w:t>Revisión de la evaluación de riesgos laborales</w:t>
            </w:r>
          </w:p>
        </w:tc>
        <w:tc>
          <w:tcPr>
            <w:tcW w:type="dxa" w:w="2436"/>
          </w:tcPr>
          <w:p>
            <w:r/>
            <w:r>
              <w:rPr>
                <w:b w:val="0"/>
                <w:i w:val="0"/>
              </w:rPr>
              <w:t>36</w:t>
            </w:r>
          </w:p>
        </w:tc>
        <w:tc>
          <w:tcPr>
            <w:tcW w:type="dxa" w:w="2436"/>
          </w:tcPr>
          <w:p>
            <w:r/>
            <w:r>
              <w:rPr>
                <w:b w:val="0"/>
                <w:i w:val="0"/>
              </w:rPr>
              <w:t>No</w:t>
            </w:r>
          </w:p>
        </w:tc>
        <w:tc>
          <w:tcPr>
            <w:tcW w:type="dxa" w:w="2436"/>
          </w:tcPr>
          <w:p>
            <w:r/>
            <w:r>
              <w:rPr>
                <w:b w:val="0"/>
                <w:i w:val="0"/>
              </w:rPr>
              <w:t>OK</w:t>
            </w:r>
          </w:p>
        </w:tc>
      </w:tr>
      <w:tr>
        <w:tc>
          <w:tcPr>
            <w:tcW w:type="dxa" w:w="2436"/>
          </w:tcPr>
          <w:p>
            <w:r/>
            <w:r>
              <w:rPr>
                <w:b w:val="0"/>
                <w:i w:val="0"/>
              </w:rPr>
              <w:t>Actualización del registro retributivo</w:t>
            </w:r>
          </w:p>
        </w:tc>
        <w:tc>
          <w:tcPr>
            <w:tcW w:type="dxa" w:w="2436"/>
          </w:tcPr>
          <w:p>
            <w:r/>
            <w:r>
              <w:rPr>
                <w:b w:val="0"/>
                <w:i w:val="0"/>
              </w:rPr>
              <w:t>12</w:t>
            </w:r>
          </w:p>
        </w:tc>
        <w:tc>
          <w:tcPr>
            <w:tcW w:type="dxa" w:w="2436"/>
          </w:tcPr>
          <w:p>
            <w:r/>
            <w:r>
              <w:rPr>
                <w:b w:val="0"/>
                <w:i w:val="0"/>
              </w:rPr>
              <w:t>No</w:t>
            </w:r>
          </w:p>
        </w:tc>
        <w:tc>
          <w:tcPr>
            <w:tcW w:type="dxa" w:w="2436"/>
          </w:tcPr>
          <w:p>
            <w:r/>
            <w:r>
              <w:rPr>
                <w:b w:val="0"/>
                <w:i w:val="0"/>
              </w:rPr>
              <w:t>OK</w:t>
            </w:r>
          </w:p>
        </w:tc>
      </w:tr>
      <w:tr>
        <w:tc>
          <w:tcPr>
            <w:tcW w:type="dxa" w:w="2436"/>
          </w:tcPr>
          <w:p>
            <w:r/>
            <w:r>
              <w:rPr>
                <w:b w:val="0"/>
                <w:i w:val="0"/>
              </w:rPr>
              <w:t>Revisión del plan de prevención de pérdidas y desperdicio alimentario</w:t>
            </w:r>
          </w:p>
        </w:tc>
        <w:tc>
          <w:tcPr>
            <w:tcW w:type="dxa" w:w="2436"/>
          </w:tcPr>
          <w:p>
            <w:r/>
            <w:r>
              <w:rPr>
                <w:b w:val="0"/>
                <w:i w:val="0"/>
              </w:rPr>
              <w:t>12</w:t>
            </w:r>
          </w:p>
        </w:tc>
        <w:tc>
          <w:tcPr>
            <w:tcW w:type="dxa" w:w="2436"/>
          </w:tcPr>
          <w:p>
            <w:r/>
            <w:r>
              <w:rPr>
                <w:b w:val="0"/>
                <w:i w:val="0"/>
              </w:rPr>
              <w:t>No</w:t>
            </w:r>
          </w:p>
        </w:tc>
        <w:tc>
          <w:tcPr>
            <w:tcW w:type="dxa" w:w="2436"/>
          </w:tcPr>
          <w:p>
            <w:r/>
            <w:r>
              <w:rPr>
                <w:b w:val="0"/>
                <w:i w:val="0"/>
              </w:rPr>
              <w:t>OK</w:t>
            </w:r>
          </w:p>
        </w:tc>
      </w:tr>
      <w:tr>
        <w:tc>
          <w:tcPr>
            <w:tcW w:type="dxa" w:w="2436"/>
          </w:tcPr>
          <w:p>
            <w:r/>
            <w:r>
              <w:rPr>
                <w:b w:val="0"/>
                <w:i w:val="0"/>
              </w:rPr>
              <w:t>Renovación del seguro de responsabilidad civil</w:t>
            </w:r>
          </w:p>
        </w:tc>
        <w:tc>
          <w:tcPr>
            <w:tcW w:type="dxa" w:w="2436"/>
          </w:tcPr>
          <w:p>
            <w:r/>
            <w:r>
              <w:rPr>
                <w:b w:val="0"/>
                <w:i w:val="0"/>
              </w:rPr>
              <w:t>12</w:t>
            </w:r>
          </w:p>
        </w:tc>
        <w:tc>
          <w:tcPr>
            <w:tcW w:type="dxa" w:w="2436"/>
          </w:tcPr>
          <w:p>
            <w:r/>
            <w:r>
              <w:rPr>
                <w:b w:val="0"/>
                <w:i w:val="0"/>
              </w:rPr>
              <w:t>No</w:t>
            </w:r>
          </w:p>
        </w:tc>
        <w:tc>
          <w:tcPr>
            <w:tcW w:type="dxa" w:w="2436"/>
          </w:tcPr>
          <w:p>
            <w:r/>
            <w:r>
              <w:rPr>
                <w:b w:val="0"/>
                <w:i w:val="0"/>
              </w:rPr>
              <w:t>OK</w:t>
            </w:r>
          </w:p>
        </w:tc>
      </w:tr>
      <w:tr>
        <w:tc>
          <w:tcPr>
            <w:tcW w:type="dxa" w:w="2436"/>
          </w:tcPr>
          <w:p>
            <w:r/>
            <w:r>
              <w:rPr>
                <w:b w:val="0"/>
                <w:i w:val="0"/>
              </w:rPr>
              <w:t>Adaptación del TPV a Verifactu</w:t>
            </w:r>
          </w:p>
        </w:tc>
        <w:tc>
          <w:tcPr>
            <w:tcW w:type="dxa" w:w="2436"/>
          </w:tcPr>
          <w:p>
            <w:r/>
            <w:r>
              <w:rPr>
                <w:b w:val="0"/>
                <w:i w:val="0"/>
              </w:rPr>
              <w:t>0</w:t>
            </w:r>
          </w:p>
        </w:tc>
        <w:tc>
          <w:tcPr>
            <w:tcW w:type="dxa" w:w="2436"/>
          </w:tcPr>
          <w:p>
            <w:r/>
            <w:r>
              <w:rPr>
                <w:b w:val="0"/>
                <w:i w:val="0"/>
              </w:rPr>
              <w:t>No</w:t>
            </w:r>
          </w:p>
        </w:tc>
        <w:tc>
          <w:tcPr>
            <w:tcW w:type="dxa" w:w="2436"/>
          </w:tcPr>
          <w:p>
            <w:r/>
            <w:r>
              <w:rPr>
                <w:b w:val="0"/>
                <w:i w:val="0"/>
              </w:rPr>
              <w:t>No vence</w:t>
            </w:r>
          </w:p>
        </w:tc>
      </w:tr>
    </w:tbl>
    <w:p/>
    <w:p>
      <w:pPr>
        <w:jc w:val="center"/>
      </w:pPr>
      <w:r>
        <w:rPr>
          <w:i/>
          <w:color w:val="444444"/>
        </w:rPr>
        <w:t>Verificado el 04-09-2026 · las fuentes y los enlaces de cada punto están en las columnas de la propia hoja · https://www.boe.es/buscar/act.php?id=BOE-A-2015-11430 - una periodicidad de cero meses significa que el punto no vence porque se hace cada día.</w:t>
      </w:r>
    </w:p>
    <w:p>
      <w:r>
        <w:rPr>
          <w:b/>
          <w:i w:val="0"/>
        </w:rPr>
        <w:t>Las decisiones del trimestre, repartidas por área (reuniones-acuerdos-plan-90-dias.xlsx, hoja «Plan 90 Días»)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Área</w:t>
            </w:r>
          </w:p>
        </w:tc>
        <w:tc>
          <w:tcPr>
            <w:tcW w:type="dxa" w:w="3249"/>
          </w:tcPr>
          <w:p>
            <w:r/>
            <w:r>
              <w:rPr>
                <w:b/>
                <w:i w:val="0"/>
              </w:rPr>
              <w:t>Decisiones</w:t>
            </w:r>
          </w:p>
        </w:tc>
        <w:tc>
          <w:tcPr>
            <w:tcW w:type="dxa" w:w="3249"/>
          </w:tcPr>
          <w:p>
            <w:r/>
            <w:r>
              <w:rPr>
                <w:b/>
                <w:i w:val="0"/>
              </w:rPr>
              <w:t>Impacto estimado (€/mes)</w:t>
            </w:r>
          </w:p>
        </w:tc>
      </w:tr>
      <w:tr>
        <w:tc>
          <w:tcPr>
            <w:tcW w:type="dxa" w:w="3249"/>
          </w:tcPr>
          <w:p>
            <w:r/>
            <w:r>
              <w:rPr>
                <w:b w:val="0"/>
                <w:i w:val="0"/>
              </w:rPr>
              <w:t>Personas</w:t>
            </w:r>
          </w:p>
        </w:tc>
        <w:tc>
          <w:tcPr>
            <w:tcW w:type="dxa" w:w="3249"/>
          </w:tcPr>
          <w:p>
            <w:r/>
            <w:r>
              <w:rPr>
                <w:b w:val="0"/>
                <w:i w:val="0"/>
              </w:rPr>
              <w:t>5</w:t>
            </w:r>
          </w:p>
        </w:tc>
        <w:tc>
          <w:tcPr>
            <w:tcW w:type="dxa" w:w="3249"/>
          </w:tcPr>
          <w:p>
            <w:r/>
            <w:r>
              <w:rPr>
                <w:b w:val="0"/>
                <w:i w:val="0"/>
              </w:rPr>
              <w:t>0 €</w:t>
            </w:r>
          </w:p>
        </w:tc>
      </w:tr>
      <w:tr>
        <w:tc>
          <w:tcPr>
            <w:tcW w:type="dxa" w:w="3249"/>
          </w:tcPr>
          <w:p>
            <w:r/>
            <w:r>
              <w:rPr>
                <w:b w:val="0"/>
                <w:i w:val="0"/>
              </w:rPr>
              <w:t>Servicio</w:t>
            </w:r>
          </w:p>
        </w:tc>
        <w:tc>
          <w:tcPr>
            <w:tcW w:type="dxa" w:w="3249"/>
          </w:tcPr>
          <w:p>
            <w:r/>
            <w:r>
              <w:rPr>
                <w:b w:val="0"/>
                <w:i w:val="0"/>
              </w:rPr>
              <w:t>4</w:t>
            </w:r>
          </w:p>
        </w:tc>
        <w:tc>
          <w:tcPr>
            <w:tcW w:type="dxa" w:w="3249"/>
          </w:tcPr>
          <w:p>
            <w:r/>
            <w:r>
              <w:rPr>
                <w:b w:val="0"/>
                <w:i w:val="0"/>
              </w:rPr>
              <w:t>220 €</w:t>
            </w:r>
          </w:p>
        </w:tc>
      </w:tr>
      <w:tr>
        <w:tc>
          <w:tcPr>
            <w:tcW w:type="dxa" w:w="3249"/>
          </w:tcPr>
          <w:p>
            <w:r/>
            <w:r>
              <w:rPr>
                <w:b w:val="0"/>
                <w:i w:val="0"/>
              </w:rPr>
              <w:t>Operaciones</w:t>
            </w:r>
          </w:p>
        </w:tc>
        <w:tc>
          <w:tcPr>
            <w:tcW w:type="dxa" w:w="3249"/>
          </w:tcPr>
          <w:p>
            <w:r/>
            <w:r>
              <w:rPr>
                <w:b w:val="0"/>
                <w:i w:val="0"/>
              </w:rPr>
              <w:t>3</w:t>
            </w:r>
          </w:p>
        </w:tc>
        <w:tc>
          <w:tcPr>
            <w:tcW w:type="dxa" w:w="3249"/>
          </w:tcPr>
          <w:p>
            <w:r/>
            <w:r>
              <w:rPr>
                <w:b w:val="0"/>
                <w:i w:val="0"/>
              </w:rPr>
              <w:t>900 €</w:t>
            </w:r>
          </w:p>
        </w:tc>
      </w:tr>
      <w:tr>
        <w:tc>
          <w:tcPr>
            <w:tcW w:type="dxa" w:w="3249"/>
          </w:tcPr>
          <w:p>
            <w:r/>
            <w:r>
              <w:rPr>
                <w:b w:val="0"/>
                <w:i w:val="0"/>
              </w:rPr>
              <w:t>Cumplimiento</w:t>
            </w:r>
          </w:p>
        </w:tc>
        <w:tc>
          <w:tcPr>
            <w:tcW w:type="dxa" w:w="3249"/>
          </w:tcPr>
          <w:p>
            <w:r/>
            <w:r>
              <w:rPr>
                <w:b w:val="0"/>
                <w:i w:val="0"/>
              </w:rPr>
              <w:t>4</w:t>
            </w:r>
          </w:p>
        </w:tc>
        <w:tc>
          <w:tcPr>
            <w:tcW w:type="dxa" w:w="3249"/>
          </w:tcPr>
          <w:p>
            <w:r/>
            <w:r>
              <w:rPr>
                <w:b w:val="0"/>
                <w:i w:val="0"/>
              </w:rPr>
              <w:t>0 €</w:t>
            </w:r>
          </w:p>
        </w:tc>
      </w:tr>
      <w:tr>
        <w:tc>
          <w:tcPr>
            <w:tcW w:type="dxa" w:w="3249"/>
          </w:tcPr>
          <w:p>
            <w:r/>
            <w:r>
              <w:rPr>
                <w:b w:val="0"/>
                <w:i w:val="0"/>
              </w:rPr>
              <w:t>Finanzas</w:t>
            </w:r>
          </w:p>
        </w:tc>
        <w:tc>
          <w:tcPr>
            <w:tcW w:type="dxa" w:w="3249"/>
          </w:tcPr>
          <w:p>
            <w:r/>
            <w:r>
              <w:rPr>
                <w:b w:val="0"/>
                <w:i w:val="0"/>
              </w:rPr>
              <w:t>4</w:t>
            </w:r>
          </w:p>
        </w:tc>
        <w:tc>
          <w:tcPr>
            <w:tcW w:type="dxa" w:w="3249"/>
          </w:tcPr>
          <w:p>
            <w:r/>
            <w:r>
              <w:rPr>
                <w:b w:val="0"/>
                <w:i w:val="0"/>
              </w:rPr>
              <w:t>640 €</w:t>
            </w:r>
          </w:p>
        </w:tc>
      </w:tr>
    </w:tbl>
    <w:p/>
    <w:p>
      <w:pPr>
        <w:jc w:val="center"/>
      </w:pPr>
      <w:r>
        <w:rPr>
          <w:i/>
          <w:color w:val="444444"/>
        </w:rPr>
        <w:t>El impacto estimado es una hipótesis del propio manager, no una promesa: se escribe al decidir y se compara a los noventa días con el impacto que de verdad se consiguió.</w:t>
      </w:r>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aichef.pro/manual-manager-restaurante · info@aichef.pro</w:t>
      </w:r>
    </w:p>
    <w:p>
      <w:pPr>
        <w:jc w:val="center"/>
      </w:pPr>
      <w:r>
        <w:rPr>
          <w:i/>
          <w:color w:val="444444"/>
        </w:rPr>
        <w:t>Este manual es un documento de trabajo profesional, no un dictamen laboral, fiscal, jurídico ni de prevención de riesgos. El marco normativo que se explica es el ESPAÑOL, y su estado se verificó contra el Boletín Oficial del Estado el 4 de septiembre de 2026, incluida la modificación del ALEH VI publicada ese mismo día: cada afirmación legal lleva su norma y su artículo para que puedas comprobarla y para que sepas dónde mirar cuando cambie. Los plazos, tipos de cotización, umbrales y periodicidades viven en celdas editables de las hojas de cálculo precisamente porque cambian, y porque fuera de España cambian del todo: si cambia el dato, se cambia la celda y todo el libro se recalcula. Los salarios, costes, importes y porcentajes son valores de ejemplo de un restaurante modelado que acompaña a este pack y sirven para que los sustituyas por los tuyos: ninguno es una previsión de tus resultados. La calificación de un caso concreto -si un contrato está bien causado, si una falta es grave o muy grave, si una obligación te alcanza- depende de los hechos de ese caso y del convenio provincial que te aplique. Antes de firmar un contrato, sancionar, despedir o cambiar la forma en la que facturas, contrasta con tu asesoría laboral y fiscal.</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Manager de Restaurante</dc:title>
  <dc:subject>Operaciones, personas, números, servicio y ley — el criterio del día a día, verificado contra el BOE · Versión 1.0 · septiembre 2026</dc:subject>
  <dc:creator>AI Chef Pro</dc:creator>
  <cp:keywords/>
  <dc:description>AI Chef Pro · aichef.pro</dc:description>
  <cp:lastModifiedBy>AI Chef Pro</cp:lastModifiedBy>
  <cp:revision>1</cp:revision>
  <dcterms:created xsi:type="dcterms:W3CDTF">2026-09-05T00:43:04Z</dcterms:created>
  <dcterms:modified xsi:type="dcterms:W3CDTF">2026-09-05T00:43:04Z</dcterms:modified>
  <cp:category>Manual profesional</cp:category>
</cp:coreProperties>
</file>