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Plan Modelo de una Pastelería</w:t>
      </w:r>
    </w:p>
    <w:p>
      <w:r>
        <w:rPr>
          <w:b/>
          <w:i w:val="0"/>
        </w:rPr>
        <w:t>Bonus del pack «Cómo Montar una Pastelería» · el caso completo relleno, con las cifras de las ocho herramientas Excel</w:t>
      </w:r>
    </w:p>
    <w:p>
      <w:pPr>
        <w:jc w:val="center"/>
      </w:pPr>
      <w:r>
        <w:rPr>
          <w:i/>
          <w:color w:val="444444"/>
        </w:rPr>
        <w:t>John Guerrero · AI Chef Pro · aichef.pro</w:t>
      </w:r>
    </w:p>
    <w:p>
      <w:r>
        <w:rPr>
          <w:b w:val="0"/>
          <w:i w:val="0"/>
        </w:rPr>
        <w:t>El plan de negocio de una pastelería modelada, relleno de principio a fin y en el formato que pide un banco o una línea de financiación pública: resumen ejecutivo, mercado y plaza, concepto y carta, plan de operaciones, plan financiero a tres años y análisis de riesgos con escenarios. Todas las cifras salen de las ocho herramientas Excel del pack, así que puedes abrir la celda de la que sale cada una y sustituirla por la tuya. Es una plantilla rellena para que la copies, no una previsión de tus resultados.</w:t>
      </w:r>
    </w:p>
    <w:p>
      <w:r>
        <w:rPr>
          <w:b/>
          <w:i w:val="0"/>
        </w:rPr>
        <w:t>Versión 1.0.1 · septiembre de 2026 · aichef.pro/guia-pasteleria-obrador</w:t>
      </w:r>
    </w:p>
    <w:p>
      <w:r>
        <w:br w:type="page"/>
      </w:r>
    </w:p>
    <w:p>
      <w:pPr>
        <w:pStyle w:val="Heading1"/>
      </w:pPr>
      <w:r>
        <w:t>Índice</w:t>
      </w:r>
    </w:p>
    <w:p>
      <w:pPr>
        <w:pStyle w:val="ListNumber"/>
      </w:pPr>
      <w:r>
        <w:rPr>
          <w:b/>
          <w:i w:val="0"/>
        </w:rPr>
        <w:t>Resumen Ejecutivo</w:t>
      </w:r>
      <w:r>
        <w:rPr>
          <w:b w:val="0"/>
          <w:i w:val="0"/>
        </w:rPr>
        <w:t xml:space="preserve"> - el proyecto en una página: qué se monta, cuánto cuesta, cómo se financia y qué se pide.</w:t>
      </w:r>
    </w:p>
    <w:p>
      <w:pPr>
        <w:pStyle w:val="ListNumber"/>
      </w:pPr>
      <w:r>
        <w:rPr>
          <w:b/>
          <w:i w:val="0"/>
        </w:rPr>
        <w:t>Mercado y Plaza</w:t>
      </w:r>
      <w:r>
        <w:rPr>
          <w:b w:val="0"/>
          <w:i w:val="0"/>
        </w:rPr>
        <w:t xml:space="preserve"> - tamaño y dirección del mercado, la plaza y el cliente, la estacionalidad de la demanda y las barreras de entrada.</w:t>
      </w:r>
    </w:p>
    <w:p>
      <w:pPr>
        <w:pStyle w:val="ListNumber"/>
      </w:pPr>
      <w:r>
        <w:rPr>
          <w:b/>
          <w:i w:val="0"/>
        </w:rPr>
        <w:t>Concepto y Carta</w:t>
      </w:r>
      <w:r>
        <w:rPr>
          <w:b w:val="0"/>
          <w:i w:val="0"/>
        </w:rPr>
        <w:t xml:space="preserve"> - el concepto y su propuesta de valor, la carta de apertura y su margen, los canales de venta y la política de precios.</w:t>
      </w:r>
    </w:p>
    <w:p>
      <w:pPr>
        <w:pStyle w:val="ListNumber"/>
      </w:pPr>
      <w:r>
        <w:rPr>
          <w:b/>
          <w:i w:val="0"/>
        </w:rPr>
        <w:t>Plan de Operaciones</w:t>
      </w:r>
      <w:r>
        <w:rPr>
          <w:b w:val="0"/>
          <w:i w:val="0"/>
        </w:rPr>
        <w:t xml:space="preserve"> - el local y sus zonas, la capacidad de producción y su cuello de botella, la plantilla y su coste, y el calendario de puesta en marcha.</w:t>
      </w:r>
    </w:p>
    <w:p>
      <w:pPr>
        <w:pStyle w:val="ListNumber"/>
      </w:pPr>
      <w:r>
        <w:rPr>
          <w:b/>
          <w:i w:val="0"/>
        </w:rPr>
        <w:t>Plan Financiero a Tres Años</w:t>
      </w:r>
      <w:r>
        <w:rPr>
          <w:b w:val="0"/>
          <w:i w:val="0"/>
        </w:rPr>
        <w:t xml:space="preserve"> - los supuestos declarados, la cuenta de resultados, el punto de equilibrio, la tesorería de los doce primeros meses y el servicio de la deuda.</w:t>
      </w:r>
    </w:p>
    <w:p>
      <w:pPr>
        <w:pStyle w:val="ListNumber"/>
      </w:pPr>
      <w:r>
        <w:rPr>
          <w:b/>
          <w:i w:val="0"/>
        </w:rPr>
        <w:t>Riesgos y Escenarios</w:t>
      </w:r>
      <w:r>
        <w:rPr>
          <w:b w:val="0"/>
          <w:i w:val="0"/>
        </w:rPr>
        <w:t xml:space="preserve"> - los tres escenarios, los riesgos de apertura y los de explotación con su mitigación, y el plan de contingencia.</w:t>
      </w:r>
    </w:p>
    <w:p>
      <w:r>
        <w:br w:type="page"/>
      </w:r>
    </w:p>
    <w:p>
      <w:pPr>
        <w:pStyle w:val="Heading1"/>
      </w:pPr>
      <w:r>
        <w:t>1. Resumen Ejecutivo</w:t>
      </w:r>
    </w:p>
    <w:p>
      <w:pPr>
        <w:pStyle w:val="Heading2"/>
      </w:pPr>
      <w:r>
        <w:t>El proyecto en una página</w:t>
      </w:r>
    </w:p>
    <w:p>
      <w:r>
        <w:rPr>
          <w:b w:val="0"/>
          <w:i w:val="0"/>
        </w:rPr>
        <w:t>Este documento es el caso completo de una pastelería (repostería), con las cifras ya cargadas en las ocho herramientas del pack: cada número que sigue sale de una celda de esas hojas y se puede abrir para comprobarlo, así que a partir de aquí no repetimos esa explicación en cada capítulo. El proyecto es un obrador (taller o laboratorio) propio con despacho a calle, en una ciudad media, con la superficie repartida entre el obrador, el despacho de venta, la cámara, el almacén y la zona de aseos y vestuario del personal. El modelo trabaja sobre un local de unos 90 m², con la plantilla formada por el Jefe Pastelero, el Pastelero, el Ayudante y las dos personas de Dependiente Vitrina que atienden el mostrador. Es la ficha que un banco lee antes de decidir si sigue leyendo: qué se monta, dónde, con qué metros y con qué equipo humano.</w:t>
      </w:r>
    </w:p>
    <w:p>
      <w:pPr>
        <w:pStyle w:val="Heading2"/>
      </w:pPr>
      <w:r>
        <w:t>La inversión y su financiación</w:t>
      </w:r>
    </w:p>
    <w:p>
      <w:r>
        <w:rPr>
          <w:b w:val="0"/>
          <w:i w:val="0"/>
        </w:rPr>
        <w:t>La inversión sin contar el fondo de maniobra suma 165.800 €. El fondo de maniobra añade 62.115 €, y la suma de los dos da la inversión total: 227.916 €. La necesidad total de caja al arranque sube hasta 261.826 €, porque a la inversión total hay que sumarle el IVA que se adelanta al pagar la obra y el equipamiento antes de facturar el primer euro; son cuatro cifras distintas porque cada una responde a una pregunta distinta: qué cuesta montar el negocio, cuánto colchón hace falta para los primeros meses, cuánto suman las dos cosas y cuánto dinero hay que tener disponible el día de la firma.</w:t>
      </w:r>
    </w:p>
    <w:p>
      <w:r>
        <w:rPr>
          <w:b w:val="0"/>
          <w:i w:val="0"/>
        </w:rPr>
        <w:t>De esos 261.826 €, la aportación de recursos propios es 201.826 € y el préstamo pedido es de 60.000 €. Dentro del desembolso total, 33.911 € es IVA soportado sobre la inversión, que Hacienda devuelve más adelante y que por tanto no es un coste (costo) real del proyecto, sino un adelanto de tesorería.</w:t>
      </w:r>
    </w:p>
    <w:p>
      <w:r>
        <w:rPr>
          <w:b w:val="0"/>
          <w:i w:val="0"/>
        </w:rPr>
        <w:t>Como contraste, el escenario publicado en «Cuánto dinero necesito para montar un negocio de repostería o pastelería - La Hostelera» (2026) sitúa un caso de referencia de unos 90 m² en 137.000 €, sumando proyecto técnico, obra civil, equipamiento y marketing. Es el presupuesto de un caso concreto, no un dato general del sector, y se cita aquí sólo como marco de comparación frente a los 165.800 € de este modelo.</w:t>
      </w:r>
    </w:p>
    <w:p>
      <w:pPr>
        <w:pStyle w:val="Heading2"/>
      </w:pPr>
      <w:r>
        <w:t>La previsión a tres años</w:t>
      </w:r>
    </w:p>
    <w:p>
      <w:r>
        <w:rPr>
          <w:b w:val="0"/>
          <w:i w:val="0"/>
        </w:rPr>
        <w:t>Los ingresos del año de crucero son 322.198 €, con un resultado neto de 27.836 € y un margen neto del 8,6 %; el año uno, todavía en rampa de arranque, cierra en 4.469 €. El negocio cubre su equilibrio de caja con 148,9 tickets al día y el plan prevé 183, una holgura del 22,9 %. El cuadro de la previsión financiera que acompaña a este resumen desglosa, partida a partida, cómo se llega desde la facturación hasta el beneficio.</w:t>
      </w:r>
    </w:p>
    <w:p>
      <w:r>
        <w:rPr>
          <w:b w:val="0"/>
          <w:i w:val="0"/>
        </w:rPr>
        <w:t>El gerente de Pastelerías Pomar, en «Matías, dueño de una pastelería en España: montar un obrador cuesta... y la rentabilidad - El...» (2025-11-21), sitúa la rentabilidad neta de una pastelería que va bien entre el 8 % y el 12 %: el 8,6 % de este plan cae en el tramo bajo de esa banda, que es donde tiene que caer un caso construido con supuestos conservadores.</w:t>
      </w:r>
    </w:p>
    <w:p>
      <w:r>
        <w:rPr>
          <w:b w:val="0"/>
          <w:i w:val="0"/>
        </w:rPr>
        <w:t>La hoja de punto de equilibrio del plan financiero es la que hay que abrir antes de firmar nada: ahí se ve el umbral contable, el de caja y la sensibilidad de los dos a un euro menos de ticket medio.</w:t>
      </w:r>
    </w:p>
    <w:p>
      <w:pPr>
        <w:pStyle w:val="Heading2"/>
      </w:pPr>
      <w:r>
        <w:t>Qué se pide y para qué</w:t>
      </w:r>
    </w:p>
    <w:p>
      <w:r>
        <w:rPr>
          <w:b w:val="0"/>
          <w:i w:val="0"/>
        </w:rPr>
        <w:t>El préstamo que se pide es de 60.000 €, para completar la inversión inicial descrita arriba junto a los 201.826 € de recursos propios que ya están comprometidos. El plazo y la garantía se cierran con la entidad financiera sobre este mismo caso, ajustándolos a lo que cada banco ofrezca; lo que queda fijado aquí es el destino de cada euro, que es la frase que un banco necesita leer: cuánto va a obra civil, cuánto a equipamiento, cuánto a fondo de maniobra y cuánto es IVA que se recupera más adelante, tal como aparece en la tabla de la inversión inicial que sigue a continuación.</w:t>
      </w:r>
    </w:p>
    <w:p>
      <w:r>
        <w:rPr>
          <w:b w:val="0"/>
          <w:i w:val="0"/>
        </w:rPr>
        <w:t>Este documento es un modelo relleno con el caso de una pastelería modelada de principio a fin: cada cifra corresponde a ese caso concreto, para que quien lo usa sustituya cada número por el suyo sobre la misma estructura de hojas. No es una previsión de los resultados de tu negocio: es la plantilla con la que calculas los tuyos.</w:t>
      </w:r>
    </w:p>
    <w:p>
      <w:r>
        <w:rPr>
          <w:b/>
          <w:i w:val="0"/>
        </w:rPr>
        <w:t>La inversión y la necesidad de caja al arranque (plan-financiero-3-anos-pasteleria.xlsx, hoja «Inversión Inicial»)</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sin IVA (€)</w:t>
            </w:r>
          </w:p>
        </w:tc>
      </w:tr>
      <w:tr>
        <w:tc>
          <w:tcPr>
            <w:tcW w:type="dxa" w:w="4873"/>
          </w:tcPr>
          <w:p>
            <w:r/>
            <w:r>
              <w:rPr>
                <w:b w:val="0"/>
                <w:i w:val="0"/>
              </w:rPr>
              <w:t>SUBTOTAL DE INVERSIÓN (sin el fondo de maniobra)</w:t>
            </w:r>
          </w:p>
        </w:tc>
        <w:tc>
          <w:tcPr>
            <w:tcW w:type="dxa" w:w="4873"/>
          </w:tcPr>
          <w:p>
            <w:r/>
            <w:r>
              <w:rPr>
                <w:b w:val="0"/>
                <w:i w:val="0"/>
              </w:rPr>
              <w:t>165.800 €</w:t>
            </w:r>
          </w:p>
        </w:tc>
      </w:tr>
      <w:tr>
        <w:tc>
          <w:tcPr>
            <w:tcW w:type="dxa" w:w="4873"/>
          </w:tcPr>
          <w:p>
            <w:r/>
            <w:r>
              <w:rPr>
                <w:b w:val="0"/>
                <w:i w:val="0"/>
              </w:rPr>
              <w:t>FONDO DE MANIOBRA</w:t>
            </w:r>
          </w:p>
        </w:tc>
        <w:tc>
          <w:tcPr>
            <w:tcW w:type="dxa" w:w="4873"/>
          </w:tcPr>
          <w:p>
            <w:r/>
            <w:r>
              <w:rPr>
                <w:b w:val="0"/>
                <w:i w:val="0"/>
              </w:rPr>
              <w:t>62.115 €</w:t>
            </w:r>
          </w:p>
        </w:tc>
      </w:tr>
      <w:tr>
        <w:tc>
          <w:tcPr>
            <w:tcW w:type="dxa" w:w="4873"/>
          </w:tcPr>
          <w:p>
            <w:r/>
            <w:r>
              <w:rPr>
                <w:b w:val="0"/>
                <w:i w:val="0"/>
              </w:rPr>
              <w:t>INVERSIÓN TOTAL (lo que se compra más la caja del arranque)</w:t>
            </w:r>
          </w:p>
        </w:tc>
        <w:tc>
          <w:tcPr>
            <w:tcW w:type="dxa" w:w="4873"/>
          </w:tcPr>
          <w:p>
            <w:r/>
            <w:r>
              <w:rPr>
                <w:b w:val="0"/>
                <w:i w:val="0"/>
              </w:rPr>
              <w:t>227.916 €</w:t>
            </w:r>
          </w:p>
        </w:tc>
      </w:tr>
      <w:tr>
        <w:tc>
          <w:tcPr>
            <w:tcW w:type="dxa" w:w="4873"/>
          </w:tcPr>
          <w:p>
            <w:r/>
            <w:r>
              <w:rPr>
                <w:b w:val="0"/>
                <w:i w:val="0"/>
              </w:rPr>
              <w:t>CAPEX (inversión sin el fondo de maniobra)</w:t>
            </w:r>
          </w:p>
        </w:tc>
        <w:tc>
          <w:tcPr>
            <w:tcW w:type="dxa" w:w="4873"/>
          </w:tcPr>
          <w:p>
            <w:r/>
            <w:r>
              <w:rPr>
                <w:b w:val="0"/>
                <w:i w:val="0"/>
              </w:rPr>
              <w:t>165.800 €</w:t>
            </w:r>
          </w:p>
        </w:tc>
      </w:tr>
      <w:tr>
        <w:tc>
          <w:tcPr>
            <w:tcW w:type="dxa" w:w="4873"/>
          </w:tcPr>
          <w:p>
            <w:r/>
            <w:r>
              <w:rPr>
                <w:b w:val="0"/>
                <w:i w:val="0"/>
              </w:rPr>
              <w:t>IVA soportado sobre la inversión (recuperable, pero hay que ADELANTARLO)</w:t>
            </w:r>
          </w:p>
        </w:tc>
        <w:tc>
          <w:tcPr>
            <w:tcW w:type="dxa" w:w="4873"/>
          </w:tcPr>
          <w:p>
            <w:r/>
            <w:r>
              <w:rPr>
                <w:b w:val="0"/>
                <w:i w:val="0"/>
              </w:rPr>
              <w:t>33.911 €</w:t>
            </w:r>
          </w:p>
        </w:tc>
      </w:tr>
      <w:tr>
        <w:tc>
          <w:tcPr>
            <w:tcW w:type="dxa" w:w="4873"/>
          </w:tcPr>
          <w:p>
            <w:r/>
            <w:r>
              <w:rPr>
                <w:b w:val="0"/>
                <w:i w:val="0"/>
              </w:rPr>
              <w:t>NECESIDAD TOTAL DE CAJA AL ARRANQUE</w:t>
            </w:r>
          </w:p>
        </w:tc>
        <w:tc>
          <w:tcPr>
            <w:tcW w:type="dxa" w:w="4873"/>
          </w:tcPr>
          <w:p>
            <w:r/>
            <w:r>
              <w:rPr>
                <w:b w:val="0"/>
                <w:i w:val="0"/>
              </w:rPr>
              <w:t>261.826 €</w:t>
            </w:r>
          </w:p>
        </w:tc>
      </w:tr>
    </w:tbl>
    <w:p/>
    <w:p>
      <w:pPr>
        <w:jc w:val="center"/>
      </w:pPr>
      <w:r>
        <w:rPr>
          <w:i/>
          <w:color w:val="444444"/>
        </w:rPr>
        <w:t>La necesidad total de caja es la cifra que hay que cubrir el día que se firma: incluye el IVA que se adelanta y el fondo de maniobra, que no son inversión pero salen de la cuenta.</w:t>
      </w:r>
    </w:p>
    <w:p>
      <w:r>
        <w:br w:type="page"/>
      </w:r>
    </w:p>
    <w:p>
      <w:pPr>
        <w:pStyle w:val="Heading1"/>
      </w:pPr>
      <w:r>
        <w:t>2. Mercado y Plaza</w:t>
      </w:r>
    </w:p>
    <w:p>
      <w:pPr>
        <w:pStyle w:val="Heading2"/>
      </w:pPr>
      <w:r>
        <w:t>El mercado en el que entra el proyecto</w:t>
      </w:r>
    </w:p>
    <w:p>
      <w:r>
        <w:rPr>
          <w:b w:val="0"/>
          <w:i w:val="0"/>
        </w:rPr>
        <w:t>El mercado de la pastelería en España no es pequeño: los hogares españoles consumieron 274,2 millones de kg de bollería y pastelería en 2025, con un gasto de 1.917,6 M€ y una media de 5,85 kg por persona al año, y el volumen creció un 5,3 % mientras el valor subió un 5,6 % (El Independiente, 2026). Ese consumo no se reparte igual entre todos los bolsillos: los hogares de renta baja comen 8,26 kg por persona al año frente a los 4,39 kg de los de renta alta, casi el doble (El Independiente, 2026). Al mismo tiempo, la industria de masas congeladas no deja de ganar terreno: produjo 233.856 toneladas en 2025 (+0,17 % interanual) y facturó 2.001,63 M€ (+3,20 %), superando por primera vez los 2.000 millones, con una producción que ha crecido un 31,1 % entre 2018 y 2025 (ASEMAC, 2026).</w:t>
      </w:r>
    </w:p>
    <w:p>
      <w:r>
        <w:rPr>
          <w:b w:val="0"/>
          <w:i w:val="0"/>
        </w:rPr>
        <w:t>Esto no es una amenaza directa para el proyecto, es un mapa. El congelado industrial gana la partida del volumen y del precio bajo, y la gana con producto que aguanta cámara, transporte y horneado a demanda en cualquier punto caliente. El proyecto no entra a competir ahí: entra a vender lo que ese proceso no puede replicar sin perder calidad, y a vender por encargo (pedido), que es terreno donde el industrial no juega.</w:t>
      </w:r>
    </w:p>
    <w:p>
      <w:pPr>
        <w:pStyle w:val="Heading2"/>
      </w:pPr>
      <w:r>
        <w:t>La plaza y el cliente</w:t>
      </w:r>
    </w:p>
    <w:p>
      <w:r>
        <w:rPr>
          <w:b w:val="0"/>
          <w:i w:val="0"/>
        </w:rPr>
        <w:t>El caso modelado se sitúa en una plaza de paso, con tránsito peatonal a pie de calle y clientela de proximidad que compra para el día y encarga para la ocasión. Antes de firmar nada, se comprobó sobre el terreno, calle por calle, en el radio de caminata que de verdad alimenta la vitrina (exhibidor): qué otros negocios de alimentación ya ocupan ese radio, qué franja horaria mueve más gente y si el perfil de quien pasa por delante encaja con un ticket de encargo o sólo con la compra de impulso. Esa comprobación, y no una media de sector, es la que sostiene el número de negocio.</w:t>
      </w:r>
    </w:p>
    <w:p>
      <w:r>
        <w:rPr>
          <w:b w:val="0"/>
          <w:i w:val="0"/>
        </w:rPr>
        <w:t>El ticket medio sin IVA de la carta modelada es de 5,87 € con 2,6 piezas por ticket. No es una media del sector, porque no existe una cifra pública de ticket medio de pastelería: sale del propio mix de la carta y de sus precios, calculado pieza por pieza en la hoja de supuestos del plan financiero. Cambiar la carta cambia este número, así que es el primero que hay que revisar si el modelo no cuadra con la caja real.</w:t>
      </w:r>
    </w:p>
    <w:p>
      <w:pPr>
        <w:pStyle w:val="Heading2"/>
      </w:pPr>
      <w:r>
        <w:t>La estacionalidad de la demanda</w:t>
      </w:r>
    </w:p>
    <w:p>
      <w:r>
        <w:rPr>
          <w:b w:val="0"/>
          <w:i w:val="0"/>
        </w:rPr>
        <w:t>La curva del año no es plana, y planificarla como si lo fuera es el primer error de caja. El mes más alto pesa un 11,2 % sobre las ventas del año y el más bajo un 5,4 %: más del doble de un mes a otro. Esto no se planifica por media mensual, se planifica por tesorería: comprar, producir y contratar personal pensando en el mes que toca, no en un promedio de doce que no existe en ningún mes real. La tabla de abajo, con el peso de cada mes, es la que hay que mirar antes de firmar un pedido a proveedor o un turno extra.</w:t>
      </w:r>
    </w:p>
    <w:p>
      <w:r>
        <w:rPr>
          <w:b w:val="0"/>
          <w:i w:val="0"/>
        </w:rPr>
        <w:t>Las seis campañas del año pesan conjuntamente un 7,0 % sobre la facturación total, y ese peso concentrado es exactamente lo que hay que traducir en capacidad de obrador: cuántas piezas puede sacar el equipo en esos días sin reventar el turno. Esa cuenta, con el personal y los tiempos de producción, se hace en la sección de operaciones de este plan, no aquí.</w:t>
      </w:r>
    </w:p>
    <w:p>
      <w:pPr>
        <w:pStyle w:val="Heading2"/>
      </w:pPr>
      <w:r>
        <w:t>Competencia y barreras de entrada</w:t>
      </w:r>
    </w:p>
    <w:p>
      <w:r>
        <w:rPr>
          <w:b w:val="0"/>
          <w:i w:val="0"/>
        </w:rPr>
        <w:t>En la plaza no compite un solo tipo de negocio, compiten cuatro, y cada uno le quita algo distinto al proyecto. El obrador con elaboración propia le disputa exactamente el mismo cliente y la misma franja de precio: es la competencia directa. El punto caliente le quita al cliente de impulso que sólo mira el precio de la pieza suelta. El supermercado le quita la compra de reposición diaria, la que no busca calidad sino cercanía y horario. Y el bar que hornea producto congelado le quita al cliente que confunde "recién hecho" con "recién horneado", sin que el establecimiento tenga que declarar de dónde viene la masa.</w:t>
      </w:r>
    </w:p>
    <w:p>
      <w:r>
        <w:rPr>
          <w:b w:val="0"/>
          <w:i w:val="0"/>
        </w:rPr>
        <w:t>Frente a los tres últimos, el proyecto tiene una barrera de entrada real y que no cuesta ni un euro: la mención "elaboración propia" en el escaparate o en la vitrina sólo la puede llevar quien elabora en su obrador, con sus condiciones. El punto caliente, el súper y el bar que compran masa ya hecha no pueden ponerla, y esa etiqueta es la que el cliente de renta media y alta busca cuando entra a comprar una tarta (pastel o torta) para un encargo, no para el día a día.</w:t>
      </w:r>
    </w:p>
    <w:p>
      <w:r>
        <w:rPr>
          <w:b/>
          <w:i w:val="0"/>
        </w:rPr>
        <w:t>La curva de la demanda mes a mes (estacionalidad-y-picos.xlsx,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Coeficiente sobre el mes medio</w:t>
            </w:r>
          </w:p>
        </w:tc>
        <w:tc>
          <w:tcPr>
            <w:tcW w:type="dxa" w:w="1949"/>
          </w:tcPr>
          <w:p>
            <w:r/>
            <w:r>
              <w:rPr>
                <w:b/>
                <w:i w:val="0"/>
              </w:rPr>
              <w:t>Ventas del mes sin IVA (€)</w:t>
            </w:r>
          </w:p>
        </w:tc>
        <w:tc>
          <w:tcPr>
            <w:tcW w:type="dxa" w:w="1949"/>
          </w:tcPr>
          <w:p>
            <w:r/>
            <w:r>
              <w:rPr>
                <w:b/>
                <w:i w:val="0"/>
              </w:rPr>
              <w:t>Parte del año (%)</w:t>
            </w:r>
          </w:p>
        </w:tc>
        <w:tc>
          <w:tcPr>
            <w:tcW w:type="dxa" w:w="1949"/>
          </w:tcPr>
          <w:p>
            <w:r/>
            <w:r>
              <w:rPr>
                <w:b/>
                <w:i w:val="0"/>
              </w:rPr>
              <w:t>Campañas del mes</w:t>
            </w:r>
          </w:p>
        </w:tc>
      </w:tr>
      <w:tr>
        <w:tc>
          <w:tcPr>
            <w:tcW w:type="dxa" w:w="1949"/>
          </w:tcPr>
          <w:p>
            <w:r/>
            <w:r>
              <w:rPr>
                <w:b w:val="0"/>
                <w:i w:val="0"/>
              </w:rPr>
              <w:t>Enero</w:t>
            </w:r>
          </w:p>
        </w:tc>
        <w:tc>
          <w:tcPr>
            <w:tcW w:type="dxa" w:w="1949"/>
          </w:tcPr>
          <w:p>
            <w:r/>
            <w:r>
              <w:rPr>
                <w:b w:val="0"/>
                <w:i w:val="0"/>
              </w:rPr>
              <w:t>1,34</w:t>
            </w:r>
          </w:p>
        </w:tc>
        <w:tc>
          <w:tcPr>
            <w:tcW w:type="dxa" w:w="1949"/>
          </w:tcPr>
          <w:p>
            <w:r/>
            <w:r>
              <w:rPr>
                <w:b w:val="0"/>
                <w:i w:val="0"/>
              </w:rPr>
              <w:t>35.979 €</w:t>
            </w:r>
          </w:p>
        </w:tc>
        <w:tc>
          <w:tcPr>
            <w:tcW w:type="dxa" w:w="1949"/>
          </w:tcPr>
          <w:p>
            <w:r/>
            <w:r>
              <w:rPr>
                <w:b w:val="0"/>
                <w:i w:val="0"/>
              </w:rPr>
              <w:t>11,2 %</w:t>
            </w:r>
          </w:p>
        </w:tc>
        <w:tc>
          <w:tcPr>
            <w:tcW w:type="dxa" w:w="1949"/>
          </w:tcPr>
          <w:p>
            <w:r/>
            <w:r>
              <w:rPr>
                <w:b w:val="0"/>
                <w:i w:val="0"/>
              </w:rPr>
              <w:t>Reyes</w:t>
            </w:r>
          </w:p>
        </w:tc>
      </w:tr>
      <w:tr>
        <w:tc>
          <w:tcPr>
            <w:tcW w:type="dxa" w:w="1949"/>
          </w:tcPr>
          <w:p>
            <w:r/>
            <w:r>
              <w:rPr>
                <w:b w:val="0"/>
                <w:i w:val="0"/>
              </w:rPr>
              <w:t>Febrero</w:t>
            </w:r>
          </w:p>
        </w:tc>
        <w:tc>
          <w:tcPr>
            <w:tcW w:type="dxa" w:w="1949"/>
          </w:tcPr>
          <w:p>
            <w:r/>
            <w:r>
              <w:rPr>
                <w:b w:val="0"/>
                <w:i w:val="0"/>
              </w:rPr>
              <w:t>0,93</w:t>
            </w:r>
          </w:p>
        </w:tc>
        <w:tc>
          <w:tcPr>
            <w:tcW w:type="dxa" w:w="1949"/>
          </w:tcPr>
          <w:p>
            <w:r/>
            <w:r>
              <w:rPr>
                <w:b w:val="0"/>
                <w:i w:val="0"/>
              </w:rPr>
              <w:t>24.970 €</w:t>
            </w:r>
          </w:p>
        </w:tc>
        <w:tc>
          <w:tcPr>
            <w:tcW w:type="dxa" w:w="1949"/>
          </w:tcPr>
          <w:p>
            <w:r/>
            <w:r>
              <w:rPr>
                <w:b w:val="0"/>
                <w:i w:val="0"/>
              </w:rPr>
              <w:t>7,8 %</w:t>
            </w:r>
          </w:p>
        </w:tc>
        <w:tc>
          <w:tcPr>
            <w:tcW w:type="dxa" w:w="1949"/>
          </w:tcPr>
          <w:p>
            <w:r/>
            <w:r>
              <w:rPr>
                <w:b w:val="0"/>
                <w:i w:val="0"/>
              </w:rPr>
              <w:t>San Valentín</w:t>
            </w:r>
          </w:p>
        </w:tc>
      </w:tr>
      <w:tr>
        <w:tc>
          <w:tcPr>
            <w:tcW w:type="dxa" w:w="1949"/>
          </w:tcPr>
          <w:p>
            <w:r/>
            <w:r>
              <w:rPr>
                <w:b w:val="0"/>
                <w:i w:val="0"/>
              </w:rPr>
              <w:t>Marzo</w:t>
            </w:r>
          </w:p>
        </w:tc>
        <w:tc>
          <w:tcPr>
            <w:tcW w:type="dxa" w:w="1949"/>
          </w:tcPr>
          <w:p>
            <w:r/>
            <w:r>
              <w:rPr>
                <w:b w:val="0"/>
                <w:i w:val="0"/>
              </w:rPr>
              <w:t>0,97</w:t>
            </w:r>
          </w:p>
        </w:tc>
        <w:tc>
          <w:tcPr>
            <w:tcW w:type="dxa" w:w="1949"/>
          </w:tcPr>
          <w:p>
            <w:r/>
            <w:r>
              <w:rPr>
                <w:b w:val="0"/>
                <w:i w:val="0"/>
              </w:rPr>
              <w:t>26.044 €</w:t>
            </w:r>
          </w:p>
        </w:tc>
        <w:tc>
          <w:tcPr>
            <w:tcW w:type="dxa" w:w="1949"/>
          </w:tcPr>
          <w:p>
            <w:r/>
            <w:r>
              <w:rPr>
                <w:b w:val="0"/>
                <w:i w:val="0"/>
              </w:rPr>
              <w:t>8,1 %</w:t>
            </w:r>
          </w:p>
        </w:tc>
        <w:tc>
          <w:tcPr>
            <w:tcW w:type="dxa" w:w="1949"/>
          </w:tcPr>
          <w:p>
            <w:r/>
            <w:r>
              <w:rPr>
                <w:b w:val="0"/>
                <w:i w:val="0"/>
              </w:rPr>
              <w:t>Día del Padre y de la Madre</w:t>
            </w:r>
          </w:p>
        </w:tc>
      </w:tr>
      <w:tr>
        <w:tc>
          <w:tcPr>
            <w:tcW w:type="dxa" w:w="1949"/>
          </w:tcPr>
          <w:p>
            <w:r/>
            <w:r>
              <w:rPr>
                <w:b w:val="0"/>
                <w:i w:val="0"/>
              </w:rPr>
              <w:t>Abril</w:t>
            </w:r>
          </w:p>
        </w:tc>
        <w:tc>
          <w:tcPr>
            <w:tcW w:type="dxa" w:w="1949"/>
          </w:tcPr>
          <w:p>
            <w:r/>
            <w:r>
              <w:rPr>
                <w:b w:val="0"/>
                <w:i w:val="0"/>
              </w:rPr>
              <w:t>1,04</w:t>
            </w:r>
          </w:p>
        </w:tc>
        <w:tc>
          <w:tcPr>
            <w:tcW w:type="dxa" w:w="1949"/>
          </w:tcPr>
          <w:p>
            <w:r/>
            <w:r>
              <w:rPr>
                <w:b w:val="0"/>
                <w:i w:val="0"/>
              </w:rPr>
              <w:t>27.924 €</w:t>
            </w:r>
          </w:p>
        </w:tc>
        <w:tc>
          <w:tcPr>
            <w:tcW w:type="dxa" w:w="1949"/>
          </w:tcPr>
          <w:p>
            <w:r/>
            <w:r>
              <w:rPr>
                <w:b w:val="0"/>
                <w:i w:val="0"/>
              </w:rPr>
              <w:t>8,7 %</w:t>
            </w:r>
          </w:p>
        </w:tc>
        <w:tc>
          <w:tcPr>
            <w:tcW w:type="dxa" w:w="1949"/>
          </w:tcPr>
          <w:p>
            <w:r/>
            <w:r>
              <w:rPr>
                <w:b w:val="0"/>
                <w:i w:val="0"/>
              </w:rPr>
              <w:t>Semana Santa</w:t>
            </w:r>
          </w:p>
        </w:tc>
      </w:tr>
      <w:tr>
        <w:tc>
          <w:tcPr>
            <w:tcW w:type="dxa" w:w="1949"/>
          </w:tcPr>
          <w:p>
            <w:r/>
            <w:r>
              <w:rPr>
                <w:b w:val="0"/>
                <w:i w:val="0"/>
              </w:rPr>
              <w:t>Mayo</w:t>
            </w:r>
          </w:p>
        </w:tc>
        <w:tc>
          <w:tcPr>
            <w:tcW w:type="dxa" w:w="1949"/>
          </w:tcPr>
          <w:p>
            <w:r/>
            <w:r>
              <w:rPr>
                <w:b w:val="0"/>
                <w:i w:val="0"/>
              </w:rPr>
              <w:t>1,07</w:t>
            </w:r>
          </w:p>
        </w:tc>
        <w:tc>
          <w:tcPr>
            <w:tcW w:type="dxa" w:w="1949"/>
          </w:tcPr>
          <w:p>
            <w:r/>
            <w:r>
              <w:rPr>
                <w:b w:val="0"/>
                <w:i w:val="0"/>
              </w:rPr>
              <w:t>28.729 €</w:t>
            </w:r>
          </w:p>
        </w:tc>
        <w:tc>
          <w:tcPr>
            <w:tcW w:type="dxa" w:w="1949"/>
          </w:tcPr>
          <w:p>
            <w:r/>
            <w:r>
              <w:rPr>
                <w:b w:val="0"/>
                <w:i w:val="0"/>
              </w:rPr>
              <w:t>8,9 %</w:t>
            </w:r>
          </w:p>
        </w:tc>
        <w:tc>
          <w:tcPr>
            <w:tcW w:type="dxa" w:w="1949"/>
          </w:tcPr>
          <w:p>
            <w:r/>
            <w:r>
              <w:rPr>
                <w:b w:val="0"/>
                <w:i w:val="0"/>
              </w:rPr>
              <w:t>Comuniones</w:t>
            </w:r>
          </w:p>
        </w:tc>
      </w:tr>
      <w:tr>
        <w:tc>
          <w:tcPr>
            <w:tcW w:type="dxa" w:w="1949"/>
          </w:tcPr>
          <w:p>
            <w:r/>
            <w:r>
              <w:rPr>
                <w:b w:val="0"/>
                <w:i w:val="0"/>
              </w:rPr>
              <w:t>Junio</w:t>
            </w:r>
          </w:p>
        </w:tc>
        <w:tc>
          <w:tcPr>
            <w:tcW w:type="dxa" w:w="1949"/>
          </w:tcPr>
          <w:p>
            <w:r/>
            <w:r>
              <w:rPr>
                <w:b w:val="0"/>
                <w:i w:val="0"/>
              </w:rPr>
              <w:t>0,97</w:t>
            </w:r>
          </w:p>
        </w:tc>
        <w:tc>
          <w:tcPr>
            <w:tcW w:type="dxa" w:w="1949"/>
          </w:tcPr>
          <w:p>
            <w:r/>
            <w:r>
              <w:rPr>
                <w:b w:val="0"/>
                <w:i w:val="0"/>
              </w:rPr>
              <w:t>26.044 €</w:t>
            </w:r>
          </w:p>
        </w:tc>
        <w:tc>
          <w:tcPr>
            <w:tcW w:type="dxa" w:w="1949"/>
          </w:tcPr>
          <w:p>
            <w:r/>
            <w:r>
              <w:rPr>
                <w:b w:val="0"/>
                <w:i w:val="0"/>
              </w:rPr>
              <w:t>8,1 %</w:t>
            </w:r>
          </w:p>
        </w:tc>
        <w:tc>
          <w:tcPr>
            <w:tcW w:type="dxa" w:w="1949"/>
          </w:tcPr>
          <w:p>
            <w:r/>
            <w:r>
              <w:rPr>
                <w:b w:val="0"/>
                <w:i w:val="0"/>
              </w:rPr>
              <w:t>-</w:t>
            </w:r>
          </w:p>
        </w:tc>
      </w:tr>
      <w:tr>
        <w:tc>
          <w:tcPr>
            <w:tcW w:type="dxa" w:w="1949"/>
          </w:tcPr>
          <w:p>
            <w:r/>
            <w:r>
              <w:rPr>
                <w:b w:val="0"/>
                <w:i w:val="0"/>
              </w:rPr>
              <w:t>Julio</w:t>
            </w:r>
          </w:p>
        </w:tc>
        <w:tc>
          <w:tcPr>
            <w:tcW w:type="dxa" w:w="1949"/>
          </w:tcPr>
          <w:p>
            <w:r/>
            <w:r>
              <w:rPr>
                <w:b w:val="0"/>
                <w:i w:val="0"/>
              </w:rPr>
              <w:t>0,85</w:t>
            </w:r>
          </w:p>
        </w:tc>
        <w:tc>
          <w:tcPr>
            <w:tcW w:type="dxa" w:w="1949"/>
          </w:tcPr>
          <w:p>
            <w:r/>
            <w:r>
              <w:rPr>
                <w:b w:val="0"/>
                <w:i w:val="0"/>
              </w:rPr>
              <w:t>22.822 €</w:t>
            </w:r>
          </w:p>
        </w:tc>
        <w:tc>
          <w:tcPr>
            <w:tcW w:type="dxa" w:w="1949"/>
          </w:tcPr>
          <w:p>
            <w:r/>
            <w:r>
              <w:rPr>
                <w:b w:val="0"/>
                <w:i w:val="0"/>
              </w:rPr>
              <w:t>7,1 %</w:t>
            </w:r>
          </w:p>
        </w:tc>
        <w:tc>
          <w:tcPr>
            <w:tcW w:type="dxa" w:w="1949"/>
          </w:tcPr>
          <w:p>
            <w:r/>
            <w:r>
              <w:rPr>
                <w:b w:val="0"/>
                <w:i w:val="0"/>
              </w:rPr>
              <w:t>-</w:t>
            </w:r>
          </w:p>
        </w:tc>
      </w:tr>
      <w:tr>
        <w:tc>
          <w:tcPr>
            <w:tcW w:type="dxa" w:w="1949"/>
          </w:tcPr>
          <w:p>
            <w:r/>
            <w:r>
              <w:rPr>
                <w:b w:val="0"/>
                <w:i w:val="0"/>
              </w:rPr>
              <w:t>Agosto</w:t>
            </w:r>
          </w:p>
        </w:tc>
        <w:tc>
          <w:tcPr>
            <w:tcW w:type="dxa" w:w="1949"/>
          </w:tcPr>
          <w:p>
            <w:r/>
            <w:r>
              <w:rPr>
                <w:b w:val="0"/>
                <w:i w:val="0"/>
              </w:rPr>
              <w:t>0,65</w:t>
            </w:r>
          </w:p>
        </w:tc>
        <w:tc>
          <w:tcPr>
            <w:tcW w:type="dxa" w:w="1949"/>
          </w:tcPr>
          <w:p>
            <w:r/>
            <w:r>
              <w:rPr>
                <w:b w:val="0"/>
                <w:i w:val="0"/>
              </w:rPr>
              <w:t>17.452 €</w:t>
            </w:r>
          </w:p>
        </w:tc>
        <w:tc>
          <w:tcPr>
            <w:tcW w:type="dxa" w:w="1949"/>
          </w:tcPr>
          <w:p>
            <w:r/>
            <w:r>
              <w:rPr>
                <w:b w:val="0"/>
                <w:i w:val="0"/>
              </w:rPr>
              <w:t>5,4 %</w:t>
            </w:r>
          </w:p>
        </w:tc>
        <w:tc>
          <w:tcPr>
            <w:tcW w:type="dxa" w:w="1949"/>
          </w:tcPr>
          <w:p>
            <w:r/>
            <w:r>
              <w:rPr>
                <w:b w:val="0"/>
                <w:i w:val="0"/>
              </w:rPr>
              <w:t>-</w:t>
            </w:r>
          </w:p>
        </w:tc>
      </w:tr>
      <w:tr>
        <w:tc>
          <w:tcPr>
            <w:tcW w:type="dxa" w:w="1949"/>
          </w:tcPr>
          <w:p>
            <w:r/>
            <w:r>
              <w:rPr>
                <w:b w:val="0"/>
                <w:i w:val="0"/>
              </w:rPr>
              <w:t>Septiembre</w:t>
            </w:r>
          </w:p>
        </w:tc>
        <w:tc>
          <w:tcPr>
            <w:tcW w:type="dxa" w:w="1949"/>
          </w:tcPr>
          <w:p>
            <w:r/>
            <w:r>
              <w:rPr>
                <w:b w:val="0"/>
                <w:i w:val="0"/>
              </w:rPr>
              <w:t>0,91</w:t>
            </w:r>
          </w:p>
        </w:tc>
        <w:tc>
          <w:tcPr>
            <w:tcW w:type="dxa" w:w="1949"/>
          </w:tcPr>
          <w:p>
            <w:r/>
            <w:r>
              <w:rPr>
                <w:b w:val="0"/>
                <w:i w:val="0"/>
              </w:rPr>
              <w:t>24.433 €</w:t>
            </w:r>
          </w:p>
        </w:tc>
        <w:tc>
          <w:tcPr>
            <w:tcW w:type="dxa" w:w="1949"/>
          </w:tcPr>
          <w:p>
            <w:r/>
            <w:r>
              <w:rPr>
                <w:b w:val="0"/>
                <w:i w:val="0"/>
              </w:rPr>
              <w:t>7,6 %</w:t>
            </w:r>
          </w:p>
        </w:tc>
        <w:tc>
          <w:tcPr>
            <w:tcW w:type="dxa" w:w="1949"/>
          </w:tcPr>
          <w:p>
            <w:r/>
            <w:r>
              <w:rPr>
                <w:b w:val="0"/>
                <w:i w:val="0"/>
              </w:rPr>
              <w:t>-</w:t>
            </w:r>
          </w:p>
        </w:tc>
      </w:tr>
      <w:tr>
        <w:tc>
          <w:tcPr>
            <w:tcW w:type="dxa" w:w="1949"/>
          </w:tcPr>
          <w:p>
            <w:r/>
            <w:r>
              <w:rPr>
                <w:b w:val="0"/>
                <w:i w:val="0"/>
              </w:rPr>
              <w:t>Octubre</w:t>
            </w:r>
          </w:p>
        </w:tc>
        <w:tc>
          <w:tcPr>
            <w:tcW w:type="dxa" w:w="1949"/>
          </w:tcPr>
          <w:p>
            <w:r/>
            <w:r>
              <w:rPr>
                <w:b w:val="0"/>
                <w:i w:val="0"/>
              </w:rPr>
              <w:t>0,95</w:t>
            </w:r>
          </w:p>
        </w:tc>
        <w:tc>
          <w:tcPr>
            <w:tcW w:type="dxa" w:w="1949"/>
          </w:tcPr>
          <w:p>
            <w:r/>
            <w:r>
              <w:rPr>
                <w:b w:val="0"/>
                <w:i w:val="0"/>
              </w:rPr>
              <w:t>25.507 €</w:t>
            </w:r>
          </w:p>
        </w:tc>
        <w:tc>
          <w:tcPr>
            <w:tcW w:type="dxa" w:w="1949"/>
          </w:tcPr>
          <w:p>
            <w:r/>
            <w:r>
              <w:rPr>
                <w:b w:val="0"/>
                <w:i w:val="0"/>
              </w:rPr>
              <w:t>7,9 %</w:t>
            </w:r>
          </w:p>
        </w:tc>
        <w:tc>
          <w:tcPr>
            <w:tcW w:type="dxa" w:w="1949"/>
          </w:tcPr>
          <w:p>
            <w:r/>
            <w:r>
              <w:rPr>
                <w:b w:val="0"/>
                <w:i w:val="0"/>
              </w:rPr>
              <w:t>-</w:t>
            </w:r>
          </w:p>
        </w:tc>
      </w:tr>
      <w:tr>
        <w:tc>
          <w:tcPr>
            <w:tcW w:type="dxa" w:w="1949"/>
          </w:tcPr>
          <w:p>
            <w:r/>
            <w:r>
              <w:rPr>
                <w:b w:val="0"/>
                <w:i w:val="0"/>
              </w:rPr>
              <w:t>Noviembre</w:t>
            </w:r>
          </w:p>
        </w:tc>
        <w:tc>
          <w:tcPr>
            <w:tcW w:type="dxa" w:w="1949"/>
          </w:tcPr>
          <w:p>
            <w:r/>
            <w:r>
              <w:rPr>
                <w:b w:val="0"/>
                <w:i w:val="0"/>
              </w:rPr>
              <w:t>1,08</w:t>
            </w:r>
          </w:p>
        </w:tc>
        <w:tc>
          <w:tcPr>
            <w:tcW w:type="dxa" w:w="1949"/>
          </w:tcPr>
          <w:p>
            <w:r/>
            <w:r>
              <w:rPr>
                <w:b w:val="0"/>
                <w:i w:val="0"/>
              </w:rPr>
              <w:t>28.998 €</w:t>
            </w:r>
          </w:p>
        </w:tc>
        <w:tc>
          <w:tcPr>
            <w:tcW w:type="dxa" w:w="1949"/>
          </w:tcPr>
          <w:p>
            <w:r/>
            <w:r>
              <w:rPr>
                <w:b w:val="0"/>
                <w:i w:val="0"/>
              </w:rPr>
              <w:t>9,0 %</w:t>
            </w:r>
          </w:p>
        </w:tc>
        <w:tc>
          <w:tcPr>
            <w:tcW w:type="dxa" w:w="1949"/>
          </w:tcPr>
          <w:p>
            <w:r/>
            <w:r>
              <w:rPr>
                <w:b w:val="0"/>
                <w:i w:val="0"/>
              </w:rPr>
              <w:t>Todos los Santos</w:t>
            </w:r>
          </w:p>
        </w:tc>
      </w:tr>
      <w:tr>
        <w:tc>
          <w:tcPr>
            <w:tcW w:type="dxa" w:w="1949"/>
          </w:tcPr>
          <w:p>
            <w:r/>
            <w:r>
              <w:rPr>
                <w:b w:val="0"/>
                <w:i w:val="0"/>
              </w:rPr>
              <w:t>Diciembre</w:t>
            </w:r>
          </w:p>
        </w:tc>
        <w:tc>
          <w:tcPr>
            <w:tcW w:type="dxa" w:w="1949"/>
          </w:tcPr>
          <w:p>
            <w:r/>
            <w:r>
              <w:rPr>
                <w:b w:val="0"/>
                <w:i w:val="0"/>
              </w:rPr>
              <w:t>1,24</w:t>
            </w:r>
          </w:p>
        </w:tc>
        <w:tc>
          <w:tcPr>
            <w:tcW w:type="dxa" w:w="1949"/>
          </w:tcPr>
          <w:p>
            <w:r/>
            <w:r>
              <w:rPr>
                <w:b w:val="0"/>
                <w:i w:val="0"/>
              </w:rPr>
              <w:t>33.294 €</w:t>
            </w:r>
          </w:p>
        </w:tc>
        <w:tc>
          <w:tcPr>
            <w:tcW w:type="dxa" w:w="1949"/>
          </w:tcPr>
          <w:p>
            <w:r/>
            <w:r>
              <w:rPr>
                <w:b w:val="0"/>
                <w:i w:val="0"/>
              </w:rPr>
              <w:t>10,3 %</w:t>
            </w:r>
          </w:p>
        </w:tc>
        <w:tc>
          <w:tcPr>
            <w:tcW w:type="dxa" w:w="1949"/>
          </w:tcPr>
          <w:p>
            <w:r/>
            <w:r>
              <w:rPr>
                <w:b w:val="0"/>
                <w:i w:val="0"/>
              </w:rPr>
              <w:t>-</w:t>
            </w:r>
          </w:p>
        </w:tc>
      </w:tr>
      <w:tr>
        <w:tc>
          <w:tcPr>
            <w:tcW w:type="dxa" w:w="1949"/>
          </w:tcPr>
          <w:p>
            <w:r/>
            <w:r>
              <w:rPr>
                <w:b w:val="0"/>
                <w:i w:val="0"/>
              </w:rPr>
              <w:t>TOTAL AÑO</w:t>
            </w:r>
          </w:p>
        </w:tc>
        <w:tc>
          <w:tcPr>
            <w:tcW w:type="dxa" w:w="1949"/>
          </w:tcPr>
          <w:p>
            <w:r/>
            <w:r>
              <w:rPr>
                <w:b w:val="0"/>
                <w:i w:val="0"/>
              </w:rPr>
              <w:t>12,00</w:t>
            </w:r>
          </w:p>
        </w:tc>
        <w:tc>
          <w:tcPr>
            <w:tcW w:type="dxa" w:w="1949"/>
          </w:tcPr>
          <w:p>
            <w:r/>
            <w:r>
              <w:rPr>
                <w:b w:val="0"/>
                <w:i w:val="0"/>
              </w:rPr>
              <w:t>322.198 €</w:t>
            </w:r>
          </w:p>
        </w:tc>
        <w:tc>
          <w:tcPr>
            <w:tcW w:type="dxa" w:w="1949"/>
          </w:tcPr>
          <w:p>
            <w:r/>
            <w:r>
              <w:rPr>
                <w:b w:val="0"/>
                <w:i w:val="0"/>
              </w:rPr>
              <w:t>100,0 %</w:t>
            </w:r>
          </w:p>
        </w:tc>
        <w:tc>
          <w:tcPr>
            <w:tcW w:type="dxa" w:w="1949"/>
          </w:tcPr>
          <w:p>
            <w:r/>
          </w:p>
        </w:tc>
      </w:tr>
    </w:tbl>
    <w:p/>
    <w:p>
      <w:pPr>
        <w:jc w:val="center"/>
      </w:pPr>
      <w:r>
        <w:rPr>
          <w:i/>
          <w:color w:val="444444"/>
        </w:rPr>
        <w:t>Los coeficientes son supuestos del caso modelado y suman doce, de manera que la media coincide con la velocidad de crucero.</w:t>
      </w:r>
    </w:p>
    <w:p>
      <w:r>
        <w:br w:type="page"/>
      </w:r>
    </w:p>
    <w:p>
      <w:pPr>
        <w:pStyle w:val="Heading1"/>
      </w:pPr>
      <w:r>
        <w:t>3. Concepto y Carta</w:t>
      </w:r>
    </w:p>
    <w:p>
      <w:pPr>
        <w:pStyle w:val="Heading2"/>
      </w:pPr>
      <w:r>
        <w:t>El concepto y la propuesta de valor</w:t>
      </w:r>
    </w:p>
    <w:p>
      <w:r>
        <w:rPr>
          <w:b w:val="0"/>
          <w:i w:val="0"/>
        </w:rPr>
        <w:t>Antes de tocar un solo ingrediente, el concepto de la pastelería se define en términos de negocio: qué se elabora, qué queda fuera, y por qué esa frontera encaja con la capacidad del obrador y con la plaza donde se instala. El caso modelado apuesta por una carta de producto de temporada y de encargo con una base fija de bollería y tarta de mostrador, dejando fuera la panadería de barra y el servicio de cafetería en mesa: dos líneas que exigirían otro equipo, otra plantilla y otra licencia, y que diluirían el foco del obrador en su primer año. Declarar lo que el proyecto no va a hacer pesa en el plan tanto como lo que sí hace, porque es la primera pregunta que se hace cualquier banco al leer el dossier: si la inversión que se pide encaja con el negocio que de verdad se va a operar. Detrás de esa propuesta hay una carta con un número acotado de referencias, organizadas en cinco familias que reparten el riesgo entre el producto de vitrina de rotación diaria y el encargo de mayor valor. Ese reparto por familias es también una decisión defensiva: cuando un solo producto concentra una parte demasiado grande de la facturación, como ocurre en Hofmann, donde un único artículo, su croissant de mascarpone, llega a representar cerca del 30 % de la facturación global de la pastelería (Hofmann Badalona: nuevo centro de I+D y expansión internacional - The New Barcelona Post, 2026-02-12), cualquier tropiezo en ese producto golpea directamente a la caja. El caso modelado reparte el peso entre familias precisamente para no depender de una sola pieza estrella.</w:t>
      </w:r>
    </w:p>
    <w:p>
      <w:pPr>
        <w:pStyle w:val="Heading2"/>
      </w:pPr>
      <w:r>
        <w:t>La carta de apertura y su margen</w:t>
      </w:r>
    </w:p>
    <w:p>
      <w:r>
        <w:rPr>
          <w:b w:val="0"/>
          <w:i w:val="0"/>
        </w:rPr>
        <w:t>El margen no se calcula pieza a pieza sin más: se mide el margen de contribución medio por pieza de toda la carta, que en el caso modelado queda en 1,07 €, y se contrasta con el coste real de servir cada partida, no sólo con el de comprarla. La carta de apertura tiene un food cost de materia del 17,6 %, es decir, lo que cuestan los ingredientes puestos sobre la mesa de trabajo, y un food cost servido del 20,3 % una vez se suman la merma de obrador y el packaging de venta: la diferencia entre ambos porcentajes es justo ese margen de seguridad operativo que separa la teoría del escandallo (costeo) de la realidad del día a día. La tabla de abajo muestra cómo queda la carta después de pasar por el filtro de margen y de rotación, con cada referencia en su familia y su margen de contribución individual.</w:t>
      </w:r>
    </w:p>
    <w:p>
      <w:pPr>
        <w:pStyle w:val="Heading2"/>
      </w:pPr>
      <w:r>
        <w:t>Los canales de venta y su margen de contribución</w:t>
      </w:r>
    </w:p>
    <w:p>
      <w:r>
        <w:rPr>
          <w:b w:val="0"/>
          <w:i w:val="0"/>
        </w:rPr>
        <w:t>La misma carta se vende por cuatro canales distintos, y no todos valen lo mismo para la caja aunque su margen se parezca. El cuadro siguiente detalla el peso de cada canal, su margen de contribución y sus días de cobro, pero la cifra que resume el conjunto es el margen de contribución medio ponderado de los canales, que en el caso modelado es del 66,5 %. La venta directa en vitrina es la que sostiene el negocio, y no sólo por margen: cobra al contado, mientras que el resto de canales arrastra un plazo. Ese plazo es la consecuencia financiera que importa: dos canales con el mismo margen de contribución no valen lo mismo para la tesorería si uno cobra en el momento y el otro cobra a treinta o sesenta días, porque durante ese plazo la pastelería sigue pagando harina, personal y alquiler con el dinero que ya ha entregado. La estructura de cobro de Pastelerías Pomar es un buen ejemplo de hasta qué punto puede concentrarse la caja en un solo canal: un 95 % de venta directa al cliente y sólo un 5 % de venta a crédito a 30-60 días (Matías, dueño de una pastelería en España: montar un obrador cuesta... y la rentabilidad - El..., 2025-11-21). El caso modelado no reproduce ese mismo reparto, pero la lección sí aplica: cuanto más pesa la venta directa sobre el total, menos tensiona la caja el crecimiento de la carta.</w:t>
      </w:r>
    </w:p>
    <w:p>
      <w:pPr>
        <w:pStyle w:val="Heading2"/>
      </w:pPr>
      <w:r>
        <w:t>La política de precios</w:t>
      </w:r>
    </w:p>
    <w:p>
      <w:r>
        <w:rPr>
          <w:b w:val="0"/>
          <w:i w:val="0"/>
        </w:rPr>
        <w:t>Todo el plan usa una sola regla de margen, y no dos: se fija primero el food cost objetivo, en este caso el 32 %, y de ahí se deriva el margen bruto objetivo, el 68 % restante. No se fijan las dos cifras por separado ni se calculan al revés, partiendo del margen para deducir el coste: eso llevaría a dos números que no cuadran entre sí en ningún otro punto del plan. Esa misma lógica, fijar el coste de materia y dejar que el margen salga de ahí, es la que citan también las guías del sector como práctica habitual en pastelería artesanal, en un rango que coincide con el que usa este caso (Cómo montar un negocio de pastelería: guía 2026 - Pastelería Para Todos, 2026-07-12). Con esa regla aplicada a toda la carta, el precio de venta medio ponderado con IVA queda en 2,46 €, y el ticket medio con IVA en 6,38 €. Los precios y los gramajes de la carta de apertura son datos de ejemplo del caso modelado, no una lista cerrada: cada obrador tiene su propia estructura de coste y tiene que recalcularla con sus propios números antes de fijar un solo precio en la vitrina.</w:t>
      </w:r>
    </w:p>
    <w:p>
      <w:r>
        <w:rPr>
          <w:b/>
          <w:i w:val="0"/>
        </w:rPr>
        <w:t>Cómo queda la carta después del filtro de margen y rotación (carta-de-apertura-y-escandallo.xlsx, hoja «Decisión de Surtido»)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Referencias</w:t>
            </w:r>
          </w:p>
        </w:tc>
        <w:tc>
          <w:tcPr>
            <w:tcW w:type="dxa" w:w="3249"/>
          </w:tcPr>
          <w:p>
            <w:r/>
            <w:r>
              <w:rPr>
                <w:b/>
                <w:i w:val="0"/>
              </w:rPr>
              <w:t>Margen ponderado (€)</w:t>
            </w:r>
          </w:p>
        </w:tc>
      </w:tr>
      <w:tr>
        <w:tc>
          <w:tcPr>
            <w:tcW w:type="dxa" w:w="3249"/>
          </w:tcPr>
          <w:p>
            <w:r/>
            <w:r>
              <w:rPr>
                <w:b w:val="0"/>
                <w:i w:val="0"/>
              </w:rPr>
              <w:t>Referencias con veredicto «Mantener»</w:t>
            </w:r>
          </w:p>
        </w:tc>
        <w:tc>
          <w:tcPr>
            <w:tcW w:type="dxa" w:w="3249"/>
          </w:tcPr>
          <w:p>
            <w:r/>
            <w:r>
              <w:rPr>
                <w:b w:val="0"/>
                <w:i w:val="0"/>
              </w:rPr>
              <w:t>27</w:t>
            </w:r>
          </w:p>
        </w:tc>
        <w:tc>
          <w:tcPr>
            <w:tcW w:type="dxa" w:w="3249"/>
          </w:tcPr>
          <w:p>
            <w:r/>
            <w:r>
              <w:rPr>
                <w:b w:val="0"/>
                <w:i w:val="0"/>
              </w:rPr>
              <w:t>1,03 €</w:t>
            </w:r>
          </w:p>
        </w:tc>
      </w:tr>
      <w:tr>
        <w:tc>
          <w:tcPr>
            <w:tcW w:type="dxa" w:w="3249"/>
          </w:tcPr>
          <w:p>
            <w:r/>
            <w:r>
              <w:rPr>
                <w:b w:val="0"/>
                <w:i w:val="0"/>
              </w:rPr>
              <w:t>Referencias con veredicto «Revisar precio»</w:t>
            </w:r>
          </w:p>
        </w:tc>
        <w:tc>
          <w:tcPr>
            <w:tcW w:type="dxa" w:w="3249"/>
          </w:tcPr>
          <w:p>
            <w:r/>
            <w:r>
              <w:rPr>
                <w:b w:val="0"/>
                <w:i w:val="0"/>
              </w:rPr>
              <w:t>1</w:t>
            </w:r>
          </w:p>
        </w:tc>
        <w:tc>
          <w:tcPr>
            <w:tcW w:type="dxa" w:w="3249"/>
          </w:tcPr>
          <w:p>
            <w:r/>
            <w:r>
              <w:rPr>
                <w:b w:val="0"/>
                <w:i w:val="0"/>
              </w:rPr>
              <w:t>0,01 €</w:t>
            </w:r>
          </w:p>
        </w:tc>
      </w:tr>
      <w:tr>
        <w:tc>
          <w:tcPr>
            <w:tcW w:type="dxa" w:w="3249"/>
          </w:tcPr>
          <w:p>
            <w:r/>
            <w:r>
              <w:rPr>
                <w:b w:val="0"/>
                <w:i w:val="0"/>
              </w:rPr>
              <w:t>Referencias con veredicto «Retirar»</w:t>
            </w:r>
          </w:p>
        </w:tc>
        <w:tc>
          <w:tcPr>
            <w:tcW w:type="dxa" w:w="3249"/>
          </w:tcPr>
          <w:p>
            <w:r/>
            <w:r>
              <w:rPr>
                <w:b w:val="0"/>
                <w:i w:val="0"/>
              </w:rPr>
              <w:t>2</w:t>
            </w:r>
          </w:p>
        </w:tc>
        <w:tc>
          <w:tcPr>
            <w:tcW w:type="dxa" w:w="3249"/>
          </w:tcPr>
          <w:p>
            <w:r/>
            <w:r>
              <w:rPr>
                <w:b w:val="0"/>
                <w:i w:val="0"/>
              </w:rPr>
              <w:t>0,03 €</w:t>
            </w:r>
          </w:p>
        </w:tc>
      </w:tr>
    </w:tbl>
    <w:p/>
    <w:p>
      <w:pPr>
        <w:jc w:val="center"/>
      </w:pPr>
      <w:r>
        <w:rPr>
          <w:i/>
          <w:color w:val="444444"/>
        </w:rPr>
        <w:t>El margen ponderado suma lo que aporta cada grupo de referencias al margen de cien piezas vendidas con el mix previsto. El margen ponderado MEDIO por referencia de la carta es otra cosa y son 0,04 €; el de las cien piezas vendidas con este mix, 1,07 €.</w:t>
      </w:r>
    </w:p>
    <w:p>
      <w:r>
        <w:rPr>
          <w:b/>
          <w:i w:val="0"/>
        </w:rPr>
        <w:t>Los cuatro canales de venta y su margen de contribución (plan-financiero-3-anos-pasteleria.xlsx, hoja «Canales y Punto Muerto»)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Canal</w:t>
            </w:r>
          </w:p>
        </w:tc>
        <w:tc>
          <w:tcPr>
            <w:tcW w:type="dxa" w:w="1392"/>
          </w:tcPr>
          <w:p>
            <w:r/>
            <w:r>
              <w:rPr>
                <w:b/>
                <w:i w:val="0"/>
              </w:rPr>
              <w:t>Ventas del año de crucero (€)</w:t>
            </w:r>
          </w:p>
        </w:tc>
        <w:tc>
          <w:tcPr>
            <w:tcW w:type="dxa" w:w="1392"/>
          </w:tcPr>
          <w:p>
            <w:r/>
            <w:r>
              <w:rPr>
                <w:b/>
                <w:i w:val="0"/>
              </w:rPr>
              <w:t>Parte de las ventas (%)</w:t>
            </w:r>
          </w:p>
        </w:tc>
        <w:tc>
          <w:tcPr>
            <w:tcW w:type="dxa" w:w="1392"/>
          </w:tcPr>
          <w:p>
            <w:r/>
            <w:r>
              <w:rPr>
                <w:b/>
                <w:i w:val="0"/>
              </w:rPr>
              <w:t>Margen bruto (%)</w:t>
            </w:r>
          </w:p>
        </w:tc>
        <w:tc>
          <w:tcPr>
            <w:tcW w:type="dxa" w:w="1392"/>
          </w:tcPr>
          <w:p>
            <w:r/>
            <w:r>
              <w:rPr>
                <w:b/>
                <w:i w:val="0"/>
              </w:rPr>
              <w:t>Margen de contribución (%)</w:t>
            </w:r>
          </w:p>
        </w:tc>
        <w:tc>
          <w:tcPr>
            <w:tcW w:type="dxa" w:w="1392"/>
          </w:tcPr>
          <w:p>
            <w:r/>
            <w:r>
              <w:rPr>
                <w:b/>
                <w:i w:val="0"/>
              </w:rPr>
              <w:t>Margen de contribución (€)</w:t>
            </w:r>
          </w:p>
        </w:tc>
        <w:tc>
          <w:tcPr>
            <w:tcW w:type="dxa" w:w="1392"/>
          </w:tcPr>
          <w:p>
            <w:r/>
            <w:r>
              <w:rPr>
                <w:b/>
                <w:i w:val="0"/>
              </w:rPr>
              <w:t>Días de cobro</w:t>
            </w:r>
          </w:p>
        </w:tc>
      </w:tr>
      <w:tr>
        <w:tc>
          <w:tcPr>
            <w:tcW w:type="dxa" w:w="1392"/>
          </w:tcPr>
          <w:p>
            <w:r/>
            <w:r>
              <w:rPr>
                <w:b w:val="0"/>
                <w:i w:val="0"/>
              </w:rPr>
              <w:t>Mostrador</w:t>
            </w:r>
          </w:p>
        </w:tc>
        <w:tc>
          <w:tcPr>
            <w:tcW w:type="dxa" w:w="1392"/>
          </w:tcPr>
          <w:p>
            <w:r/>
            <w:r>
              <w:rPr>
                <w:b w:val="0"/>
                <w:i w:val="0"/>
              </w:rPr>
              <w:t>251.314 €</w:t>
            </w:r>
          </w:p>
        </w:tc>
        <w:tc>
          <w:tcPr>
            <w:tcW w:type="dxa" w:w="1392"/>
          </w:tcPr>
          <w:p>
            <w:r/>
            <w:r>
              <w:rPr>
                <w:b w:val="0"/>
                <w:i w:val="0"/>
              </w:rPr>
              <w:t>78 %</w:t>
            </w:r>
          </w:p>
        </w:tc>
        <w:tc>
          <w:tcPr>
            <w:tcW w:type="dxa" w:w="1392"/>
          </w:tcPr>
          <w:p>
            <w:r/>
            <w:r>
              <w:rPr>
                <w:b w:val="0"/>
                <w:i w:val="0"/>
              </w:rPr>
              <w:t>68 %</w:t>
            </w:r>
          </w:p>
        </w:tc>
        <w:tc>
          <w:tcPr>
            <w:tcW w:type="dxa" w:w="1392"/>
          </w:tcPr>
          <w:p>
            <w:r/>
            <w:r>
              <w:rPr>
                <w:b w:val="0"/>
                <w:i w:val="0"/>
              </w:rPr>
              <w:t>68 %</w:t>
            </w:r>
          </w:p>
        </w:tc>
        <w:tc>
          <w:tcPr>
            <w:tcW w:type="dxa" w:w="1392"/>
          </w:tcPr>
          <w:p>
            <w:r/>
            <w:r>
              <w:rPr>
                <w:b w:val="0"/>
                <w:i w:val="0"/>
              </w:rPr>
              <w:t>170.894 €</w:t>
            </w:r>
          </w:p>
        </w:tc>
        <w:tc>
          <w:tcPr>
            <w:tcW w:type="dxa" w:w="1392"/>
          </w:tcPr>
          <w:p>
            <w:r/>
            <w:r>
              <w:rPr>
                <w:b w:val="0"/>
                <w:i w:val="0"/>
              </w:rPr>
              <w:t>0</w:t>
            </w:r>
          </w:p>
        </w:tc>
      </w:tr>
      <w:tr>
        <w:tc>
          <w:tcPr>
            <w:tcW w:type="dxa" w:w="1392"/>
          </w:tcPr>
          <w:p>
            <w:r/>
            <w:r>
              <w:rPr>
                <w:b w:val="0"/>
                <w:i w:val="0"/>
              </w:rPr>
              <w:t>Encargos</w:t>
            </w:r>
          </w:p>
        </w:tc>
        <w:tc>
          <w:tcPr>
            <w:tcW w:type="dxa" w:w="1392"/>
          </w:tcPr>
          <w:p>
            <w:r/>
            <w:r>
              <w:rPr>
                <w:b w:val="0"/>
                <w:i w:val="0"/>
              </w:rPr>
              <w:t>45.108 €</w:t>
            </w:r>
          </w:p>
        </w:tc>
        <w:tc>
          <w:tcPr>
            <w:tcW w:type="dxa" w:w="1392"/>
          </w:tcPr>
          <w:p>
            <w:r/>
            <w:r>
              <w:rPr>
                <w:b w:val="0"/>
                <w:i w:val="0"/>
              </w:rPr>
              <w:t>14 %</w:t>
            </w:r>
          </w:p>
        </w:tc>
        <w:tc>
          <w:tcPr>
            <w:tcW w:type="dxa" w:w="1392"/>
          </w:tcPr>
          <w:p>
            <w:r/>
            <w:r>
              <w:rPr>
                <w:b w:val="0"/>
                <w:i w:val="0"/>
              </w:rPr>
              <w:t>70 %</w:t>
            </w:r>
          </w:p>
        </w:tc>
        <w:tc>
          <w:tcPr>
            <w:tcW w:type="dxa" w:w="1392"/>
          </w:tcPr>
          <w:p>
            <w:r/>
            <w:r>
              <w:rPr>
                <w:b w:val="0"/>
                <w:i w:val="0"/>
              </w:rPr>
              <w:t>68 %</w:t>
            </w:r>
          </w:p>
        </w:tc>
        <w:tc>
          <w:tcPr>
            <w:tcW w:type="dxa" w:w="1392"/>
          </w:tcPr>
          <w:p>
            <w:r/>
            <w:r>
              <w:rPr>
                <w:b w:val="0"/>
                <w:i w:val="0"/>
              </w:rPr>
              <w:t>30.673 €</w:t>
            </w:r>
          </w:p>
        </w:tc>
        <w:tc>
          <w:tcPr>
            <w:tcW w:type="dxa" w:w="1392"/>
          </w:tcPr>
          <w:p>
            <w:r/>
            <w:r>
              <w:rPr>
                <w:b w:val="0"/>
                <w:i w:val="0"/>
              </w:rPr>
              <w:t>0</w:t>
            </w:r>
          </w:p>
        </w:tc>
      </w:tr>
      <w:tr>
        <w:tc>
          <w:tcPr>
            <w:tcW w:type="dxa" w:w="1392"/>
          </w:tcPr>
          <w:p>
            <w:r/>
            <w:r>
              <w:rPr>
                <w:b w:val="0"/>
                <w:i w:val="0"/>
              </w:rPr>
              <w:t>B2B (cafeterías y restaurantes de la zona)</w:t>
            </w:r>
          </w:p>
        </w:tc>
        <w:tc>
          <w:tcPr>
            <w:tcW w:type="dxa" w:w="1392"/>
          </w:tcPr>
          <w:p>
            <w:r/>
            <w:r>
              <w:rPr>
                <w:b w:val="0"/>
                <w:i w:val="0"/>
              </w:rPr>
              <w:t>16.110 €</w:t>
            </w:r>
          </w:p>
        </w:tc>
        <w:tc>
          <w:tcPr>
            <w:tcW w:type="dxa" w:w="1392"/>
          </w:tcPr>
          <w:p>
            <w:r/>
            <w:r>
              <w:rPr>
                <w:b w:val="0"/>
                <w:i w:val="0"/>
              </w:rPr>
              <w:t>5 %</w:t>
            </w:r>
          </w:p>
        </w:tc>
        <w:tc>
          <w:tcPr>
            <w:tcW w:type="dxa" w:w="1392"/>
          </w:tcPr>
          <w:p>
            <w:r/>
            <w:r>
              <w:rPr>
                <w:b w:val="0"/>
                <w:i w:val="0"/>
              </w:rPr>
              <w:t>52 %</w:t>
            </w:r>
          </w:p>
        </w:tc>
        <w:tc>
          <w:tcPr>
            <w:tcW w:type="dxa" w:w="1392"/>
          </w:tcPr>
          <w:p>
            <w:r/>
            <w:r>
              <w:rPr>
                <w:b w:val="0"/>
                <w:i w:val="0"/>
              </w:rPr>
              <w:t>49 %</w:t>
            </w:r>
          </w:p>
        </w:tc>
        <w:tc>
          <w:tcPr>
            <w:tcW w:type="dxa" w:w="1392"/>
          </w:tcPr>
          <w:p>
            <w:r/>
            <w:r>
              <w:rPr>
                <w:b w:val="0"/>
                <w:i w:val="0"/>
              </w:rPr>
              <w:t>7.894 €</w:t>
            </w:r>
          </w:p>
        </w:tc>
        <w:tc>
          <w:tcPr>
            <w:tcW w:type="dxa" w:w="1392"/>
          </w:tcPr>
          <w:p>
            <w:r/>
            <w:r>
              <w:rPr>
                <w:b w:val="0"/>
                <w:i w:val="0"/>
              </w:rPr>
              <w:t>45</w:t>
            </w:r>
          </w:p>
        </w:tc>
      </w:tr>
      <w:tr>
        <w:tc>
          <w:tcPr>
            <w:tcW w:type="dxa" w:w="1392"/>
          </w:tcPr>
          <w:p>
            <w:r/>
            <w:r>
              <w:rPr>
                <w:b w:val="0"/>
                <w:i w:val="0"/>
              </w:rPr>
              <w:t>Online y envío</w:t>
            </w:r>
          </w:p>
        </w:tc>
        <w:tc>
          <w:tcPr>
            <w:tcW w:type="dxa" w:w="1392"/>
          </w:tcPr>
          <w:p>
            <w:r/>
            <w:r>
              <w:rPr>
                <w:b w:val="0"/>
                <w:i w:val="0"/>
              </w:rPr>
              <w:t>9.666 €</w:t>
            </w:r>
          </w:p>
        </w:tc>
        <w:tc>
          <w:tcPr>
            <w:tcW w:type="dxa" w:w="1392"/>
          </w:tcPr>
          <w:p>
            <w:r/>
            <w:r>
              <w:rPr>
                <w:b w:val="0"/>
                <w:i w:val="0"/>
              </w:rPr>
              <w:t>3 %</w:t>
            </w:r>
          </w:p>
        </w:tc>
        <w:tc>
          <w:tcPr>
            <w:tcW w:type="dxa" w:w="1392"/>
          </w:tcPr>
          <w:p>
            <w:r/>
            <w:r>
              <w:rPr>
                <w:b w:val="0"/>
                <w:i w:val="0"/>
              </w:rPr>
              <w:t>60 %</w:t>
            </w:r>
          </w:p>
        </w:tc>
        <w:tc>
          <w:tcPr>
            <w:tcW w:type="dxa" w:w="1392"/>
          </w:tcPr>
          <w:p>
            <w:r/>
            <w:r>
              <w:rPr>
                <w:b w:val="0"/>
                <w:i w:val="0"/>
              </w:rPr>
              <w:t>51 %</w:t>
            </w:r>
          </w:p>
        </w:tc>
        <w:tc>
          <w:tcPr>
            <w:tcW w:type="dxa" w:w="1392"/>
          </w:tcPr>
          <w:p>
            <w:r/>
            <w:r>
              <w:rPr>
                <w:b w:val="0"/>
                <w:i w:val="0"/>
              </w:rPr>
              <w:t>4.930 €</w:t>
            </w:r>
          </w:p>
        </w:tc>
        <w:tc>
          <w:tcPr>
            <w:tcW w:type="dxa" w:w="1392"/>
          </w:tcPr>
          <w:p>
            <w:r/>
            <w:r>
              <w:rPr>
                <w:b w:val="0"/>
                <w:i w:val="0"/>
              </w:rPr>
              <w:t>0</w:t>
            </w:r>
          </w:p>
        </w:tc>
      </w:tr>
      <w:tr>
        <w:tc>
          <w:tcPr>
            <w:tcW w:type="dxa" w:w="1392"/>
          </w:tcPr>
          <w:p>
            <w:r/>
            <w:r>
              <w:rPr>
                <w:b w:val="0"/>
                <w:i w:val="0"/>
              </w:rPr>
              <w:t>TOTAL</w:t>
            </w:r>
          </w:p>
        </w:tc>
        <w:tc>
          <w:tcPr>
            <w:tcW w:type="dxa" w:w="1392"/>
          </w:tcPr>
          <w:p>
            <w:r/>
            <w:r>
              <w:rPr>
                <w:b w:val="0"/>
                <w:i w:val="0"/>
              </w:rPr>
              <w:t>322.198 €</w:t>
            </w:r>
          </w:p>
        </w:tc>
        <w:tc>
          <w:tcPr>
            <w:tcW w:type="dxa" w:w="1392"/>
          </w:tcPr>
          <w:p>
            <w:r/>
            <w:r>
              <w:rPr>
                <w:b w:val="0"/>
                <w:i w:val="0"/>
              </w:rPr>
              <w:t>100 %</w:t>
            </w:r>
          </w:p>
        </w:tc>
        <w:tc>
          <w:tcPr>
            <w:tcW w:type="dxa" w:w="1392"/>
          </w:tcPr>
          <w:p>
            <w:r/>
          </w:p>
        </w:tc>
        <w:tc>
          <w:tcPr>
            <w:tcW w:type="dxa" w:w="1392"/>
          </w:tcPr>
          <w:p>
            <w:r/>
            <w:r>
              <w:rPr>
                <w:b w:val="0"/>
                <w:i w:val="0"/>
              </w:rPr>
              <w:t>67 %</w:t>
            </w:r>
          </w:p>
        </w:tc>
        <w:tc>
          <w:tcPr>
            <w:tcW w:type="dxa" w:w="1392"/>
          </w:tcPr>
          <w:p>
            <w:r/>
            <w:r>
              <w:rPr>
                <w:b w:val="0"/>
                <w:i w:val="0"/>
              </w:rPr>
              <w:t>214.390 €</w:t>
            </w:r>
          </w:p>
        </w:tc>
        <w:tc>
          <w:tcPr>
            <w:tcW w:type="dxa" w:w="1392"/>
          </w:tcPr>
          <w:p>
            <w:r/>
          </w:p>
        </w:tc>
      </w:tr>
    </w:tbl>
    <w:p/>
    <w:p>
      <w:pPr>
        <w:jc w:val="center"/>
      </w:pPr>
      <w:r>
        <w:rPr>
          <w:i/>
          <w:color w:val="444444"/>
        </w:rPr>
        <w:t>Dos canales con el mismo margen no valen lo mismo para la caja: la columna de días de cobro es la que lo explica.</w:t>
      </w:r>
    </w:p>
    <w:p>
      <w:r>
        <w:br w:type="page"/>
      </w:r>
    </w:p>
    <w:p>
      <w:pPr>
        <w:pStyle w:val="Heading1"/>
      </w:pPr>
      <w:r>
        <w:t>4. Plan de Operaciones</w:t>
      </w:r>
    </w:p>
    <w:p>
      <w:pPr>
        <w:pStyle w:val="Heading2"/>
      </w:pPr>
      <w:r>
        <w:t>El local y sus zonas</w:t>
      </w:r>
    </w:p>
    <w:p>
      <w:r>
        <w:rPr>
          <w:b w:val="0"/>
          <w:i w:val="0"/>
        </w:rPr>
        <w:t>El local del caso son 90 metros cuadrados, y el reparto por zonas sigue el principio de marcha adelante: el producto avanza siempre hacia delante, de la recepción de materia prima hasta la vitrina, sin cruzarse nunca con el circuito de residuos ni con el de personal. Es la razón por la que el obrador no está pegado a la puerta de la calle y por la que el almacén de residuos tiene su propia salida. La ficha de licencia para panadería u obrador (Estudio LBA, 2026) fija siete zonas obligatorias para poder hablar de marcha adelante: venta, obrador, almacén de materia prima, cámara frigorífica, almacén de producto terminado, vestuarios y aseos de personal, y almacén de residuos. La tabla de abajo reparte los 90 metros entre esas siete zonas con su superficie exacta.</w:t>
      </w:r>
    </w:p>
    <w:p>
      <w:r>
        <w:rPr>
          <w:b w:val="0"/>
          <w:i w:val="0"/>
        </w:rPr>
        <w:t>De esos 90 metros, 45 son obrador: la mitad exacta del local. Es el ratio que un técnico mira primero al entrar a valorar un proyecto, porque dice de un vistazo si el negocio es una fábrica con mostrador o una tienda con cocina de apoyo. Aquí el reparto está deliberadamente igualado: se produce tanto como se vende, y ni la superficie de obrador sobra para el volumen que se factura, ni la superficie de venta se queda corta para exhibir lo que sale de dentro.</w:t>
      </w:r>
    </w:p>
    <w:p>
      <w:pPr>
        <w:pStyle w:val="Heading2"/>
      </w:pPr>
      <w:r>
        <w:t>La capacidad de producción y su cuello de botella</w:t>
      </w:r>
    </w:p>
    <w:p>
      <w:r>
        <w:rPr>
          <w:b w:val="0"/>
          <w:i w:val="0"/>
        </w:rPr>
        <w:t>El negocio quiere sacar 476 piezas al día en velocidad de crucero. El conjunto de equipos que se compra en el caso permite llegar a 480, así que hay margen, pero es un margen corto: el equipo que fija ese techo es el que marca el cuello de botella de toda la línea, y por encima de esa cifra no hay manera de producir más sin invertir en una segunda unidad. La hoja de cuello de botella de la calculadora de capacidad es la que hay que revisar antes de decidir la carta o de aceptar un encargo grande fuera de lo habitual, porque un pico de tartas por encargo puede comerse en un solo día la holgura que separa el día normal del techo del equipo.</w:t>
      </w:r>
    </w:p>
    <w:p>
      <w:r>
        <w:rPr>
          <w:b w:val="0"/>
          <w:i w:val="0"/>
        </w:rPr>
        <w:t>En campaña esa holgura no aguanta: la demanda sube por encima de lo que da de sí el equipo en un día normal, y el déficit no se cubre comprando más máquinas de un día para otro, sino con las palancas que recoge el capítulo de riesgos de esta guía: turnos reforzados, refuerzo de plantilla temporal y priorización de qué referencias se producen primero. No es una improvisación de última hora si está prevista desde el plan de operaciones.</w:t>
      </w:r>
    </w:p>
    <w:p>
      <w:pPr>
        <w:pStyle w:val="Heading2"/>
      </w:pPr>
      <w:r>
        <w:t>La plantilla y su coste</w:t>
      </w:r>
    </w:p>
    <w:p>
      <w:r>
        <w:rPr>
          <w:b w:val="0"/>
          <w:i w:val="0"/>
        </w:rPr>
        <w:t>La plantilla del caso son 5 personas: un Jefe Pastelero, un Pastelero, un Ayudante y dos Dependiente Vitrina. En jornadas completas equivalentes son 3,5, porque parte de esas cinco personas no trabaja a tiempo completo todo el año. El coste de personal asciende a 92.776 € al año, ya con la Seguridad Social dentro, y esa cifra ya recoge la subida salarial del convenio del sector de confitería, pastelería, bollería, repostería, heladería y platos cocinados de la Comunidad de Madrid para 2026 (Resolución de 7 de febrero de 2026 de la D.G. de Trabajo de la Comunidad de Madrid). En el año de crucero, ese coste de personal representa el 28,8 % de las ventas: es el ratio que hay que vigilar mes a mes en la cuenta de explotación, porque si se dispara por encima de eso el negocio deja de generar el margen con el que está modelado.</w:t>
      </w:r>
    </w:p>
    <w:p>
      <w:r>
        <w:rPr>
          <w:b w:val="0"/>
          <w:i w:val="0"/>
        </w:rPr>
        <w:t>No toda la plantilla entra el mismo día. El Jefe Pastelero y el Pastelero se contratan antes de abrir, porque hay que dejar cerradas las fichas de producción y rodar las primeras elaboraciones antes de que entre el primer cliente. No toda la plantilla hace falta desde el primer día, pero este plan la presupuesta entera desde el mes uno a propósito: es el supuesto conservador, y por eso el coste de personal es el mismo en los tres años del cuadro. Si escalonas las altas -el Ayudante y el segundo Dependiente Vitrina cuando el volumen sostenga esas horas- el año uno mejora sobre lo previsto, y ese margen se queda como colchón en vez de como promesa.</w:t>
      </w:r>
    </w:p>
    <w:p>
      <w:pPr>
        <w:pStyle w:val="Heading2"/>
      </w:pPr>
      <w:r>
        <w:t>El calendario de puesta en marcha</w:t>
      </w:r>
    </w:p>
    <w:p>
      <w:r>
        <w:rPr>
          <w:b w:val="0"/>
          <w:i w:val="0"/>
        </w:rPr>
        <w:t>El proyecto completo, desde que se pone en marcha hasta que se abre la puerta, dura 8,5 meses, con 11 hitos en su ruta crítica. Esos plazos son supuestos de planificación, no plazos legales de resolución de ningún organismo: cada trámite tiene su propio tiempo de respuesta y el cronograma los suma con margen, no a la carrera.</w:t>
      </w:r>
    </w:p>
    <w:p>
      <w:r>
        <w:rPr>
          <w:b w:val="0"/>
          <w:i w:val="0"/>
        </w:rPr>
        <w:t>El criterio para fijar el mes de apertura no es «en cuanto esté todo firmado», sino llegar rodado a la temporada fuerte: se abre fuera de campaña, con tiempo para que la plantilla, el obrador y la vitrina cojan ritmo antes de que llegue el pico de ventas del año. El propio cronograma avisa si, según cómo se vayan cumpliendo los hitos, la fecha de apertura calculada acaba cayendo dentro de una campaña: es la señal de que hay que adelantar alguna gestión, no de que haya que abrir con el proyecto a medio rodar.</w:t>
      </w:r>
    </w:p>
    <w:p>
      <w:r>
        <w:rPr>
          <w:b/>
          <w:i w:val="0"/>
        </w:rPr>
        <w:t>Las siete zonas del local y su superficie (capacidad-obrador-y-local.xlsx, hoja «Zonas y m2»)</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Nº</w:t>
            </w:r>
          </w:p>
        </w:tc>
        <w:tc>
          <w:tcPr>
            <w:tcW w:type="dxa" w:w="1624"/>
          </w:tcPr>
          <w:p>
            <w:r/>
            <w:r>
              <w:rPr>
                <w:b/>
                <w:i w:val="0"/>
              </w:rPr>
              <w:t>Zona</w:t>
            </w:r>
          </w:p>
        </w:tc>
        <w:tc>
          <w:tcPr>
            <w:tcW w:type="dxa" w:w="1624"/>
          </w:tcPr>
          <w:p>
            <w:r/>
            <w:r>
              <w:rPr>
                <w:b/>
                <w:i w:val="0"/>
              </w:rPr>
              <w:t>Bloque</w:t>
            </w:r>
          </w:p>
        </w:tc>
        <w:tc>
          <w:tcPr>
            <w:tcW w:type="dxa" w:w="1624"/>
          </w:tcPr>
          <w:p>
            <w:r/>
            <w:r>
              <w:rPr>
                <w:b/>
                <w:i w:val="0"/>
              </w:rPr>
              <w:t>Metros cuadrados</w:t>
            </w:r>
          </w:p>
        </w:tc>
        <w:tc>
          <w:tcPr>
            <w:tcW w:type="dxa" w:w="1624"/>
          </w:tcPr>
          <w:p>
            <w:r/>
            <w:r>
              <w:rPr>
                <w:b/>
                <w:i w:val="0"/>
              </w:rPr>
              <w:t>Parte del local (%)</w:t>
            </w:r>
          </w:p>
        </w:tc>
        <w:tc>
          <w:tcPr>
            <w:tcW w:type="dxa" w:w="1624"/>
          </w:tcPr>
          <w:p>
            <w:r/>
            <w:r>
              <w:rPr>
                <w:b/>
                <w:i w:val="0"/>
              </w:rPr>
              <w:t>Paso del recorrido</w:t>
            </w:r>
          </w:p>
        </w:tc>
      </w:tr>
      <w:tr>
        <w:tc>
          <w:tcPr>
            <w:tcW w:type="dxa" w:w="1624"/>
          </w:tcPr>
          <w:p>
            <w:r/>
            <w:r>
              <w:rPr>
                <w:b w:val="0"/>
                <w:i w:val="0"/>
              </w:rPr>
              <w:t>1</w:t>
            </w:r>
          </w:p>
        </w:tc>
        <w:tc>
          <w:tcPr>
            <w:tcW w:type="dxa" w:w="1624"/>
          </w:tcPr>
          <w:p>
            <w:r/>
            <w:r>
              <w:rPr>
                <w:b w:val="0"/>
                <w:i w:val="0"/>
              </w:rPr>
              <w:t>Obrador</w:t>
            </w:r>
          </w:p>
        </w:tc>
        <w:tc>
          <w:tcPr>
            <w:tcW w:type="dxa" w:w="1624"/>
          </w:tcPr>
          <w:p>
            <w:r/>
            <w:r>
              <w:rPr>
                <w:b w:val="0"/>
                <w:i w:val="0"/>
              </w:rPr>
              <w:t>Obrador</w:t>
            </w:r>
          </w:p>
        </w:tc>
        <w:tc>
          <w:tcPr>
            <w:tcW w:type="dxa" w:w="1624"/>
          </w:tcPr>
          <w:p>
            <w:r/>
            <w:r>
              <w:rPr>
                <w:b w:val="0"/>
                <w:i w:val="0"/>
              </w:rPr>
              <w:t>45</w:t>
            </w:r>
          </w:p>
        </w:tc>
        <w:tc>
          <w:tcPr>
            <w:tcW w:type="dxa" w:w="1624"/>
          </w:tcPr>
          <w:p>
            <w:r/>
            <w:r>
              <w:rPr>
                <w:b w:val="0"/>
                <w:i w:val="0"/>
              </w:rPr>
              <w:t>50,0 %</w:t>
            </w:r>
          </w:p>
        </w:tc>
        <w:tc>
          <w:tcPr>
            <w:tcW w:type="dxa" w:w="1624"/>
          </w:tcPr>
          <w:p>
            <w:r/>
            <w:r>
              <w:rPr>
                <w:b w:val="0"/>
                <w:i w:val="0"/>
              </w:rPr>
              <w:t>3</w:t>
            </w:r>
          </w:p>
        </w:tc>
      </w:tr>
      <w:tr>
        <w:tc>
          <w:tcPr>
            <w:tcW w:type="dxa" w:w="1624"/>
          </w:tcPr>
          <w:p>
            <w:r/>
            <w:r>
              <w:rPr>
                <w:b w:val="0"/>
                <w:i w:val="0"/>
              </w:rPr>
              <w:t>2</w:t>
            </w:r>
          </w:p>
        </w:tc>
        <w:tc>
          <w:tcPr>
            <w:tcW w:type="dxa" w:w="1624"/>
          </w:tcPr>
          <w:p>
            <w:r/>
            <w:r>
              <w:rPr>
                <w:b w:val="0"/>
                <w:i w:val="0"/>
              </w:rPr>
              <w:t>Zona de venta (despacho)</w:t>
            </w:r>
          </w:p>
        </w:tc>
        <w:tc>
          <w:tcPr>
            <w:tcW w:type="dxa" w:w="1624"/>
          </w:tcPr>
          <w:p>
            <w:r/>
            <w:r>
              <w:rPr>
                <w:b w:val="0"/>
                <w:i w:val="0"/>
              </w:rPr>
              <w:t>Despacho</w:t>
            </w:r>
          </w:p>
        </w:tc>
        <w:tc>
          <w:tcPr>
            <w:tcW w:type="dxa" w:w="1624"/>
          </w:tcPr>
          <w:p>
            <w:r/>
            <w:r>
              <w:rPr>
                <w:b w:val="0"/>
                <w:i w:val="0"/>
              </w:rPr>
              <w:t>22</w:t>
            </w:r>
          </w:p>
        </w:tc>
        <w:tc>
          <w:tcPr>
            <w:tcW w:type="dxa" w:w="1624"/>
          </w:tcPr>
          <w:p>
            <w:r/>
            <w:r>
              <w:rPr>
                <w:b w:val="0"/>
                <w:i w:val="0"/>
              </w:rPr>
              <w:t>24,4 %</w:t>
            </w:r>
          </w:p>
        </w:tc>
        <w:tc>
          <w:tcPr>
            <w:tcW w:type="dxa" w:w="1624"/>
          </w:tcPr>
          <w:p>
            <w:r/>
            <w:r>
              <w:rPr>
                <w:b w:val="0"/>
                <w:i w:val="0"/>
              </w:rPr>
              <w:t>5</w:t>
            </w:r>
          </w:p>
        </w:tc>
      </w:tr>
      <w:tr>
        <w:tc>
          <w:tcPr>
            <w:tcW w:type="dxa" w:w="1624"/>
          </w:tcPr>
          <w:p>
            <w:r/>
            <w:r>
              <w:rPr>
                <w:b w:val="0"/>
                <w:i w:val="0"/>
              </w:rPr>
              <w:t>3</w:t>
            </w:r>
          </w:p>
        </w:tc>
        <w:tc>
          <w:tcPr>
            <w:tcW w:type="dxa" w:w="1624"/>
          </w:tcPr>
          <w:p>
            <w:r/>
            <w:r>
              <w:rPr>
                <w:b w:val="0"/>
                <w:i w:val="0"/>
              </w:rPr>
              <w:t>Almacén de materia prima</w:t>
            </w:r>
          </w:p>
        </w:tc>
        <w:tc>
          <w:tcPr>
            <w:tcW w:type="dxa" w:w="1624"/>
          </w:tcPr>
          <w:p>
            <w:r/>
            <w:r>
              <w:rPr>
                <w:b w:val="0"/>
                <w:i w:val="0"/>
              </w:rPr>
              <w:t>Cámara y almacén</w:t>
            </w:r>
          </w:p>
        </w:tc>
        <w:tc>
          <w:tcPr>
            <w:tcW w:type="dxa" w:w="1624"/>
          </w:tcPr>
          <w:p>
            <w:r/>
            <w:r>
              <w:rPr>
                <w:b w:val="0"/>
                <w:i w:val="0"/>
              </w:rPr>
              <w:t>5</w:t>
            </w:r>
          </w:p>
        </w:tc>
        <w:tc>
          <w:tcPr>
            <w:tcW w:type="dxa" w:w="1624"/>
          </w:tcPr>
          <w:p>
            <w:r/>
            <w:r>
              <w:rPr>
                <w:b w:val="0"/>
                <w:i w:val="0"/>
              </w:rPr>
              <w:t>5,6 %</w:t>
            </w:r>
          </w:p>
        </w:tc>
        <w:tc>
          <w:tcPr>
            <w:tcW w:type="dxa" w:w="1624"/>
          </w:tcPr>
          <w:p>
            <w:r/>
            <w:r>
              <w:rPr>
                <w:b w:val="0"/>
                <w:i w:val="0"/>
              </w:rPr>
              <w:t>1</w:t>
            </w:r>
          </w:p>
        </w:tc>
      </w:tr>
      <w:tr>
        <w:tc>
          <w:tcPr>
            <w:tcW w:type="dxa" w:w="1624"/>
          </w:tcPr>
          <w:p>
            <w:r/>
            <w:r>
              <w:rPr>
                <w:b w:val="0"/>
                <w:i w:val="0"/>
              </w:rPr>
              <w:t>4</w:t>
            </w:r>
          </w:p>
        </w:tc>
        <w:tc>
          <w:tcPr>
            <w:tcW w:type="dxa" w:w="1624"/>
          </w:tcPr>
          <w:p>
            <w:r/>
            <w:r>
              <w:rPr>
                <w:b w:val="0"/>
                <w:i w:val="0"/>
              </w:rPr>
              <w:t>Cámara frigorífica</w:t>
            </w:r>
          </w:p>
        </w:tc>
        <w:tc>
          <w:tcPr>
            <w:tcW w:type="dxa" w:w="1624"/>
          </w:tcPr>
          <w:p>
            <w:r/>
            <w:r>
              <w:rPr>
                <w:b w:val="0"/>
                <w:i w:val="0"/>
              </w:rPr>
              <w:t>Cámara y almacén</w:t>
            </w:r>
          </w:p>
        </w:tc>
        <w:tc>
          <w:tcPr>
            <w:tcW w:type="dxa" w:w="1624"/>
          </w:tcPr>
          <w:p>
            <w:r/>
            <w:r>
              <w:rPr>
                <w:b w:val="0"/>
                <w:i w:val="0"/>
              </w:rPr>
              <w:t>4</w:t>
            </w:r>
          </w:p>
        </w:tc>
        <w:tc>
          <w:tcPr>
            <w:tcW w:type="dxa" w:w="1624"/>
          </w:tcPr>
          <w:p>
            <w:r/>
            <w:r>
              <w:rPr>
                <w:b w:val="0"/>
                <w:i w:val="0"/>
              </w:rPr>
              <w:t>4,4 %</w:t>
            </w:r>
          </w:p>
        </w:tc>
        <w:tc>
          <w:tcPr>
            <w:tcW w:type="dxa" w:w="1624"/>
          </w:tcPr>
          <w:p>
            <w:r/>
            <w:r>
              <w:rPr>
                <w:b w:val="0"/>
                <w:i w:val="0"/>
              </w:rPr>
              <w:t>2</w:t>
            </w:r>
          </w:p>
        </w:tc>
      </w:tr>
      <w:tr>
        <w:tc>
          <w:tcPr>
            <w:tcW w:type="dxa" w:w="1624"/>
          </w:tcPr>
          <w:p>
            <w:r/>
            <w:r>
              <w:rPr>
                <w:b w:val="0"/>
                <w:i w:val="0"/>
              </w:rPr>
              <w:t>5</w:t>
            </w:r>
          </w:p>
        </w:tc>
        <w:tc>
          <w:tcPr>
            <w:tcW w:type="dxa" w:w="1624"/>
          </w:tcPr>
          <w:p>
            <w:r/>
            <w:r>
              <w:rPr>
                <w:b w:val="0"/>
                <w:i w:val="0"/>
              </w:rPr>
              <w:t>Almacén de producto terminado</w:t>
            </w:r>
          </w:p>
        </w:tc>
        <w:tc>
          <w:tcPr>
            <w:tcW w:type="dxa" w:w="1624"/>
          </w:tcPr>
          <w:p>
            <w:r/>
            <w:r>
              <w:rPr>
                <w:b w:val="0"/>
                <w:i w:val="0"/>
              </w:rPr>
              <w:t>Cámara y almacén</w:t>
            </w:r>
          </w:p>
        </w:tc>
        <w:tc>
          <w:tcPr>
            <w:tcW w:type="dxa" w:w="1624"/>
          </w:tcPr>
          <w:p>
            <w:r/>
            <w:r>
              <w:rPr>
                <w:b w:val="0"/>
                <w:i w:val="0"/>
              </w:rPr>
              <w:t>3</w:t>
            </w:r>
          </w:p>
        </w:tc>
        <w:tc>
          <w:tcPr>
            <w:tcW w:type="dxa" w:w="1624"/>
          </w:tcPr>
          <w:p>
            <w:r/>
            <w:r>
              <w:rPr>
                <w:b w:val="0"/>
                <w:i w:val="0"/>
              </w:rPr>
              <w:t>3,3 %</w:t>
            </w:r>
          </w:p>
        </w:tc>
        <w:tc>
          <w:tcPr>
            <w:tcW w:type="dxa" w:w="1624"/>
          </w:tcPr>
          <w:p>
            <w:r/>
            <w:r>
              <w:rPr>
                <w:b w:val="0"/>
                <w:i w:val="0"/>
              </w:rPr>
              <w:t>4</w:t>
            </w:r>
          </w:p>
        </w:tc>
      </w:tr>
      <w:tr>
        <w:tc>
          <w:tcPr>
            <w:tcW w:type="dxa" w:w="1624"/>
          </w:tcPr>
          <w:p>
            <w:r/>
            <w:r>
              <w:rPr>
                <w:b w:val="0"/>
                <w:i w:val="0"/>
              </w:rPr>
              <w:t>6</w:t>
            </w:r>
          </w:p>
        </w:tc>
        <w:tc>
          <w:tcPr>
            <w:tcW w:type="dxa" w:w="1624"/>
          </w:tcPr>
          <w:p>
            <w:r/>
            <w:r>
              <w:rPr>
                <w:b w:val="0"/>
                <w:i w:val="0"/>
              </w:rPr>
              <w:t>Vestuarios y aseos de personal</w:t>
            </w:r>
          </w:p>
        </w:tc>
        <w:tc>
          <w:tcPr>
            <w:tcW w:type="dxa" w:w="1624"/>
          </w:tcPr>
          <w:p>
            <w:r/>
            <w:r>
              <w:rPr>
                <w:b w:val="0"/>
                <w:i w:val="0"/>
              </w:rPr>
              <w:t>Aseos y vestuario</w:t>
            </w:r>
          </w:p>
        </w:tc>
        <w:tc>
          <w:tcPr>
            <w:tcW w:type="dxa" w:w="1624"/>
          </w:tcPr>
          <w:p>
            <w:r/>
            <w:r>
              <w:rPr>
                <w:b w:val="0"/>
                <w:i w:val="0"/>
              </w:rPr>
              <w:t>8</w:t>
            </w:r>
          </w:p>
        </w:tc>
        <w:tc>
          <w:tcPr>
            <w:tcW w:type="dxa" w:w="1624"/>
          </w:tcPr>
          <w:p>
            <w:r/>
            <w:r>
              <w:rPr>
                <w:b w:val="0"/>
                <w:i w:val="0"/>
              </w:rPr>
              <w:t>8,9 %</w:t>
            </w:r>
          </w:p>
        </w:tc>
        <w:tc>
          <w:tcPr>
            <w:tcW w:type="dxa" w:w="1624"/>
          </w:tcPr>
          <w:p>
            <w:r/>
            <w:r>
              <w:rPr>
                <w:b w:val="0"/>
                <w:i w:val="0"/>
              </w:rPr>
              <w:t>7</w:t>
            </w:r>
          </w:p>
        </w:tc>
      </w:tr>
      <w:tr>
        <w:tc>
          <w:tcPr>
            <w:tcW w:type="dxa" w:w="1624"/>
          </w:tcPr>
          <w:p>
            <w:r/>
            <w:r>
              <w:rPr>
                <w:b w:val="0"/>
                <w:i w:val="0"/>
              </w:rPr>
              <w:t>7</w:t>
            </w:r>
          </w:p>
        </w:tc>
        <w:tc>
          <w:tcPr>
            <w:tcW w:type="dxa" w:w="1624"/>
          </w:tcPr>
          <w:p>
            <w:r/>
            <w:r>
              <w:rPr>
                <w:b w:val="0"/>
                <w:i w:val="0"/>
              </w:rPr>
              <w:t>Almacén de residuos</w:t>
            </w:r>
          </w:p>
        </w:tc>
        <w:tc>
          <w:tcPr>
            <w:tcW w:type="dxa" w:w="1624"/>
          </w:tcPr>
          <w:p>
            <w:r/>
            <w:r>
              <w:rPr>
                <w:b w:val="0"/>
                <w:i w:val="0"/>
              </w:rPr>
              <w:t>Aseos y vestuario</w:t>
            </w:r>
          </w:p>
        </w:tc>
        <w:tc>
          <w:tcPr>
            <w:tcW w:type="dxa" w:w="1624"/>
          </w:tcPr>
          <w:p>
            <w:r/>
            <w:r>
              <w:rPr>
                <w:b w:val="0"/>
                <w:i w:val="0"/>
              </w:rPr>
              <w:t>3</w:t>
            </w:r>
          </w:p>
        </w:tc>
        <w:tc>
          <w:tcPr>
            <w:tcW w:type="dxa" w:w="1624"/>
          </w:tcPr>
          <w:p>
            <w:r/>
            <w:r>
              <w:rPr>
                <w:b w:val="0"/>
                <w:i w:val="0"/>
              </w:rPr>
              <w:t>3,3 %</w:t>
            </w:r>
          </w:p>
        </w:tc>
        <w:tc>
          <w:tcPr>
            <w:tcW w:type="dxa" w:w="1624"/>
          </w:tcPr>
          <w:p>
            <w:r/>
            <w:r>
              <w:rPr>
                <w:b w:val="0"/>
                <w:i w:val="0"/>
              </w:rPr>
              <w:t>6</w:t>
            </w:r>
          </w:p>
        </w:tc>
      </w:tr>
    </w:tbl>
    <w:p/>
    <w:p>
      <w:pPr>
        <w:jc w:val="center"/>
      </w:pPr>
      <w:r>
        <w:rPr>
          <w:i/>
          <w:color w:val="444444"/>
        </w:rPr>
        <w:t>El orden del recorrido es el que demuestra la marcha adelante: materia prima primero, residuo al final.</w:t>
      </w:r>
    </w:p>
    <w:p>
      <w:r>
        <w:rPr>
          <w:b/>
          <w:i w:val="0"/>
        </w:rPr>
        <w:t>La plantilla y su coste de empresa (plantilla-turnos-y-coste-personal.xlsx, hoja «Horas y Coste»)</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Persona</w:t>
            </w:r>
          </w:p>
        </w:tc>
        <w:tc>
          <w:tcPr>
            <w:tcW w:type="dxa" w:w="1392"/>
          </w:tcPr>
          <w:p>
            <w:r/>
            <w:r>
              <w:rPr>
                <w:b/>
                <w:i w:val="0"/>
              </w:rPr>
              <w:t>Área</w:t>
            </w:r>
          </w:p>
        </w:tc>
        <w:tc>
          <w:tcPr>
            <w:tcW w:type="dxa" w:w="1392"/>
          </w:tcPr>
          <w:p>
            <w:r/>
            <w:r>
              <w:rPr>
                <w:b/>
                <w:i w:val="0"/>
              </w:rPr>
              <w:t>Bruto mensual del grupo (€)</w:t>
            </w:r>
          </w:p>
        </w:tc>
        <w:tc>
          <w:tcPr>
            <w:tcW w:type="dxa" w:w="1392"/>
          </w:tcPr>
          <w:p>
            <w:r/>
            <w:r>
              <w:rPr>
                <w:b/>
                <w:i w:val="0"/>
              </w:rPr>
              <w:t>Jornada equivalente</w:t>
            </w:r>
          </w:p>
        </w:tc>
        <w:tc>
          <w:tcPr>
            <w:tcW w:type="dxa" w:w="1392"/>
          </w:tcPr>
          <w:p>
            <w:r/>
            <w:r>
              <w:rPr>
                <w:b/>
                <w:i w:val="0"/>
              </w:rPr>
              <w:t>Bruto anual (€)</w:t>
            </w:r>
          </w:p>
        </w:tc>
        <w:tc>
          <w:tcPr>
            <w:tcW w:type="dxa" w:w="1392"/>
          </w:tcPr>
          <w:p>
            <w:r/>
            <w:r>
              <w:rPr>
                <w:b/>
                <w:i w:val="0"/>
              </w:rPr>
              <w:t>Coste de empresa al año (€)</w:t>
            </w:r>
          </w:p>
        </w:tc>
      </w:tr>
      <w:tr>
        <w:tc>
          <w:tcPr>
            <w:tcW w:type="dxa" w:w="1392"/>
          </w:tcPr>
          <w:p>
            <w:r/>
            <w:r>
              <w:rPr>
                <w:b w:val="0"/>
                <w:i w:val="0"/>
              </w:rPr>
              <w:t>P1</w:t>
            </w:r>
          </w:p>
        </w:tc>
        <w:tc>
          <w:tcPr>
            <w:tcW w:type="dxa" w:w="1392"/>
          </w:tcPr>
          <w:p>
            <w:r/>
            <w:r>
              <w:rPr>
                <w:b w:val="0"/>
                <w:i w:val="0"/>
              </w:rPr>
              <w:t>Jefe Pastelero</w:t>
            </w:r>
          </w:p>
        </w:tc>
        <w:tc>
          <w:tcPr>
            <w:tcW w:type="dxa" w:w="1392"/>
          </w:tcPr>
          <w:p>
            <w:r/>
            <w:r>
              <w:rPr>
                <w:b w:val="0"/>
                <w:i w:val="0"/>
              </w:rPr>
              <w:t>OBRADOR</w:t>
            </w:r>
          </w:p>
        </w:tc>
        <w:tc>
          <w:tcPr>
            <w:tcW w:type="dxa" w:w="1392"/>
          </w:tcPr>
          <w:p>
            <w:r/>
            <w:r>
              <w:rPr>
                <w:b w:val="0"/>
                <w:i w:val="0"/>
              </w:rPr>
              <w:t>1.427,89 €</w:t>
            </w:r>
          </w:p>
        </w:tc>
        <w:tc>
          <w:tcPr>
            <w:tcW w:type="dxa" w:w="1392"/>
          </w:tcPr>
          <w:p>
            <w:r/>
            <w:r>
              <w:rPr>
                <w:b w:val="0"/>
                <w:i w:val="0"/>
              </w:rPr>
              <w:t>1,0</w:t>
            </w:r>
          </w:p>
        </w:tc>
        <w:tc>
          <w:tcPr>
            <w:tcW w:type="dxa" w:w="1392"/>
          </w:tcPr>
          <w:p>
            <w:r/>
            <w:r>
              <w:rPr>
                <w:b w:val="0"/>
                <w:i w:val="0"/>
              </w:rPr>
              <w:t>21.418 €</w:t>
            </w:r>
          </w:p>
        </w:tc>
        <w:tc>
          <w:tcPr>
            <w:tcW w:type="dxa" w:w="1392"/>
          </w:tcPr>
          <w:p>
            <w:r/>
            <w:r>
              <w:rPr>
                <w:b w:val="0"/>
                <w:i w:val="0"/>
              </w:rPr>
              <w:t>28.486 €</w:t>
            </w:r>
          </w:p>
        </w:tc>
      </w:tr>
      <w:tr>
        <w:tc>
          <w:tcPr>
            <w:tcW w:type="dxa" w:w="1392"/>
          </w:tcPr>
          <w:p>
            <w:r/>
            <w:r>
              <w:rPr>
                <w:b w:val="0"/>
                <w:i w:val="0"/>
              </w:rPr>
              <w:t>P2</w:t>
            </w:r>
          </w:p>
        </w:tc>
        <w:tc>
          <w:tcPr>
            <w:tcW w:type="dxa" w:w="1392"/>
          </w:tcPr>
          <w:p>
            <w:r/>
            <w:r>
              <w:rPr>
                <w:b w:val="0"/>
                <w:i w:val="0"/>
              </w:rPr>
              <w:t>Pastelero</w:t>
            </w:r>
          </w:p>
        </w:tc>
        <w:tc>
          <w:tcPr>
            <w:tcW w:type="dxa" w:w="1392"/>
          </w:tcPr>
          <w:p>
            <w:r/>
            <w:r>
              <w:rPr>
                <w:b w:val="0"/>
                <w:i w:val="0"/>
              </w:rPr>
              <w:t>OBRADOR</w:t>
            </w:r>
          </w:p>
        </w:tc>
        <w:tc>
          <w:tcPr>
            <w:tcW w:type="dxa" w:w="1392"/>
          </w:tcPr>
          <w:p>
            <w:r/>
            <w:r>
              <w:rPr>
                <w:b w:val="0"/>
                <w:i w:val="0"/>
              </w:rPr>
              <w:t>1.376,91 €</w:t>
            </w:r>
          </w:p>
        </w:tc>
        <w:tc>
          <w:tcPr>
            <w:tcW w:type="dxa" w:w="1392"/>
          </w:tcPr>
          <w:p>
            <w:r/>
            <w:r>
              <w:rPr>
                <w:b w:val="0"/>
                <w:i w:val="0"/>
              </w:rPr>
              <w:t>1,0</w:t>
            </w:r>
          </w:p>
        </w:tc>
        <w:tc>
          <w:tcPr>
            <w:tcW w:type="dxa" w:w="1392"/>
          </w:tcPr>
          <w:p>
            <w:r/>
            <w:r>
              <w:rPr>
                <w:b w:val="0"/>
                <w:i w:val="0"/>
              </w:rPr>
              <w:t>20.654 €</w:t>
            </w:r>
          </w:p>
        </w:tc>
        <w:tc>
          <w:tcPr>
            <w:tcW w:type="dxa" w:w="1392"/>
          </w:tcPr>
          <w:p>
            <w:r/>
            <w:r>
              <w:rPr>
                <w:b w:val="0"/>
                <w:i w:val="0"/>
              </w:rPr>
              <w:t>27.469 €</w:t>
            </w:r>
          </w:p>
        </w:tc>
      </w:tr>
      <w:tr>
        <w:tc>
          <w:tcPr>
            <w:tcW w:type="dxa" w:w="1392"/>
          </w:tcPr>
          <w:p>
            <w:r/>
            <w:r>
              <w:rPr>
                <w:b w:val="0"/>
                <w:i w:val="0"/>
              </w:rPr>
              <w:t>P3</w:t>
            </w:r>
          </w:p>
        </w:tc>
        <w:tc>
          <w:tcPr>
            <w:tcW w:type="dxa" w:w="1392"/>
          </w:tcPr>
          <w:p>
            <w:r/>
            <w:r>
              <w:rPr>
                <w:b w:val="0"/>
                <w:i w:val="0"/>
              </w:rPr>
              <w:t>Ayudante</w:t>
            </w:r>
          </w:p>
        </w:tc>
        <w:tc>
          <w:tcPr>
            <w:tcW w:type="dxa" w:w="1392"/>
          </w:tcPr>
          <w:p>
            <w:r/>
            <w:r>
              <w:rPr>
                <w:b w:val="0"/>
                <w:i w:val="0"/>
              </w:rPr>
              <w:t>OBRADOR</w:t>
            </w:r>
          </w:p>
        </w:tc>
        <w:tc>
          <w:tcPr>
            <w:tcW w:type="dxa" w:w="1392"/>
          </w:tcPr>
          <w:p>
            <w:r/>
            <w:r>
              <w:rPr>
                <w:b w:val="0"/>
                <w:i w:val="0"/>
              </w:rPr>
              <w:t>1.192,42 €</w:t>
            </w:r>
          </w:p>
        </w:tc>
        <w:tc>
          <w:tcPr>
            <w:tcW w:type="dxa" w:w="1392"/>
          </w:tcPr>
          <w:p>
            <w:r/>
            <w:r>
              <w:rPr>
                <w:b w:val="0"/>
                <w:i w:val="0"/>
              </w:rPr>
              <w:t>0,5</w:t>
            </w:r>
          </w:p>
        </w:tc>
        <w:tc>
          <w:tcPr>
            <w:tcW w:type="dxa" w:w="1392"/>
          </w:tcPr>
          <w:p>
            <w:r/>
            <w:r>
              <w:rPr>
                <w:b w:val="0"/>
                <w:i w:val="0"/>
              </w:rPr>
              <w:t>8.943 €</w:t>
            </w:r>
          </w:p>
        </w:tc>
        <w:tc>
          <w:tcPr>
            <w:tcW w:type="dxa" w:w="1392"/>
          </w:tcPr>
          <w:p>
            <w:r/>
            <w:r>
              <w:rPr>
                <w:b w:val="0"/>
                <w:i w:val="0"/>
              </w:rPr>
              <w:t>11.894 €</w:t>
            </w:r>
          </w:p>
        </w:tc>
      </w:tr>
      <w:tr>
        <w:tc>
          <w:tcPr>
            <w:tcW w:type="dxa" w:w="1392"/>
          </w:tcPr>
          <w:p>
            <w:r/>
            <w:r>
              <w:rPr>
                <w:b w:val="0"/>
                <w:i w:val="0"/>
              </w:rPr>
              <w:t>P4</w:t>
            </w:r>
          </w:p>
        </w:tc>
        <w:tc>
          <w:tcPr>
            <w:tcW w:type="dxa" w:w="1392"/>
          </w:tcPr>
          <w:p>
            <w:r/>
            <w:r>
              <w:rPr>
                <w:b w:val="0"/>
                <w:i w:val="0"/>
              </w:rPr>
              <w:t>Dependiente Vitrina A</w:t>
            </w:r>
          </w:p>
        </w:tc>
        <w:tc>
          <w:tcPr>
            <w:tcW w:type="dxa" w:w="1392"/>
          </w:tcPr>
          <w:p>
            <w:r/>
            <w:r>
              <w:rPr>
                <w:b w:val="0"/>
                <w:i w:val="0"/>
              </w:rPr>
              <w:t>COMERCIO</w:t>
            </w:r>
          </w:p>
        </w:tc>
        <w:tc>
          <w:tcPr>
            <w:tcW w:type="dxa" w:w="1392"/>
          </w:tcPr>
          <w:p>
            <w:r/>
            <w:r>
              <w:rPr>
                <w:b w:val="0"/>
                <w:i w:val="0"/>
              </w:rPr>
              <w:t>1.249,42 €</w:t>
            </w:r>
          </w:p>
        </w:tc>
        <w:tc>
          <w:tcPr>
            <w:tcW w:type="dxa" w:w="1392"/>
          </w:tcPr>
          <w:p>
            <w:r/>
            <w:r>
              <w:rPr>
                <w:b w:val="0"/>
                <w:i w:val="0"/>
              </w:rPr>
              <w:t>0,5</w:t>
            </w:r>
          </w:p>
        </w:tc>
        <w:tc>
          <w:tcPr>
            <w:tcW w:type="dxa" w:w="1392"/>
          </w:tcPr>
          <w:p>
            <w:r/>
            <w:r>
              <w:rPr>
                <w:b w:val="0"/>
                <w:i w:val="0"/>
              </w:rPr>
              <w:t>9.371 €</w:t>
            </w:r>
          </w:p>
        </w:tc>
        <w:tc>
          <w:tcPr>
            <w:tcW w:type="dxa" w:w="1392"/>
          </w:tcPr>
          <w:p>
            <w:r/>
            <w:r>
              <w:rPr>
                <w:b w:val="0"/>
                <w:i w:val="0"/>
              </w:rPr>
              <w:t>12.463 €</w:t>
            </w:r>
          </w:p>
        </w:tc>
      </w:tr>
      <w:tr>
        <w:tc>
          <w:tcPr>
            <w:tcW w:type="dxa" w:w="1392"/>
          </w:tcPr>
          <w:p>
            <w:r/>
            <w:r>
              <w:rPr>
                <w:b w:val="0"/>
                <w:i w:val="0"/>
              </w:rPr>
              <w:t>P5</w:t>
            </w:r>
          </w:p>
        </w:tc>
        <w:tc>
          <w:tcPr>
            <w:tcW w:type="dxa" w:w="1392"/>
          </w:tcPr>
          <w:p>
            <w:r/>
            <w:r>
              <w:rPr>
                <w:b w:val="0"/>
                <w:i w:val="0"/>
              </w:rPr>
              <w:t>Dependiente Vitrina B</w:t>
            </w:r>
          </w:p>
        </w:tc>
        <w:tc>
          <w:tcPr>
            <w:tcW w:type="dxa" w:w="1392"/>
          </w:tcPr>
          <w:p>
            <w:r/>
            <w:r>
              <w:rPr>
                <w:b w:val="0"/>
                <w:i w:val="0"/>
              </w:rPr>
              <w:t>COMERCIO</w:t>
            </w:r>
          </w:p>
        </w:tc>
        <w:tc>
          <w:tcPr>
            <w:tcW w:type="dxa" w:w="1392"/>
          </w:tcPr>
          <w:p>
            <w:r/>
            <w:r>
              <w:rPr>
                <w:b w:val="0"/>
                <w:i w:val="0"/>
              </w:rPr>
              <w:t>1.249,42 €</w:t>
            </w:r>
          </w:p>
        </w:tc>
        <w:tc>
          <w:tcPr>
            <w:tcW w:type="dxa" w:w="1392"/>
          </w:tcPr>
          <w:p>
            <w:r/>
            <w:r>
              <w:rPr>
                <w:b w:val="0"/>
                <w:i w:val="0"/>
              </w:rPr>
              <w:t>0,5</w:t>
            </w:r>
          </w:p>
        </w:tc>
        <w:tc>
          <w:tcPr>
            <w:tcW w:type="dxa" w:w="1392"/>
          </w:tcPr>
          <w:p>
            <w:r/>
            <w:r>
              <w:rPr>
                <w:b w:val="0"/>
                <w:i w:val="0"/>
              </w:rPr>
              <w:t>9.371 €</w:t>
            </w:r>
          </w:p>
        </w:tc>
        <w:tc>
          <w:tcPr>
            <w:tcW w:type="dxa" w:w="1392"/>
          </w:tcPr>
          <w:p>
            <w:r/>
            <w:r>
              <w:rPr>
                <w:b w:val="0"/>
                <w:i w:val="0"/>
              </w:rPr>
              <w:t>12.463 €</w:t>
            </w:r>
          </w:p>
        </w:tc>
      </w:tr>
      <w:tr>
        <w:tc>
          <w:tcPr>
            <w:tcW w:type="dxa" w:w="1392"/>
          </w:tcPr>
          <w:p>
            <w:r/>
            <w:r>
              <w:rPr>
                <w:b w:val="0"/>
                <w:i w:val="0"/>
              </w:rPr>
              <w:t>TOTAL de la plantilla</w:t>
            </w:r>
          </w:p>
        </w:tc>
        <w:tc>
          <w:tcPr>
            <w:tcW w:type="dxa" w:w="1392"/>
          </w:tcPr>
          <w:p>
            <w:r/>
          </w:p>
        </w:tc>
        <w:tc>
          <w:tcPr>
            <w:tcW w:type="dxa" w:w="1392"/>
          </w:tcPr>
          <w:p>
            <w:r/>
          </w:p>
        </w:tc>
        <w:tc>
          <w:tcPr>
            <w:tcW w:type="dxa" w:w="1392"/>
          </w:tcPr>
          <w:p>
            <w:r/>
          </w:p>
        </w:tc>
        <w:tc>
          <w:tcPr>
            <w:tcW w:type="dxa" w:w="1392"/>
          </w:tcPr>
          <w:p>
            <w:r/>
            <w:r>
              <w:rPr>
                <w:b w:val="0"/>
                <w:i w:val="0"/>
              </w:rPr>
              <w:t>3,5</w:t>
            </w:r>
          </w:p>
        </w:tc>
        <w:tc>
          <w:tcPr>
            <w:tcW w:type="dxa" w:w="1392"/>
          </w:tcPr>
          <w:p>
            <w:r/>
            <w:r>
              <w:rPr>
                <w:b w:val="0"/>
                <w:i w:val="0"/>
              </w:rPr>
              <w:t>69.756 €</w:t>
            </w:r>
          </w:p>
        </w:tc>
        <w:tc>
          <w:tcPr>
            <w:tcW w:type="dxa" w:w="1392"/>
          </w:tcPr>
          <w:p>
            <w:r/>
            <w:r>
              <w:rPr>
                <w:b w:val="0"/>
                <w:i w:val="0"/>
              </w:rPr>
              <w:t>92.776 €</w:t>
            </w:r>
          </w:p>
        </w:tc>
      </w:tr>
    </w:tbl>
    <w:p/>
    <w:p>
      <w:pPr>
        <w:jc w:val="center"/>
      </w:pPr>
      <w:r>
        <w:rPr>
          <w:i/>
          <w:color w:val="444444"/>
        </w:rPr>
        <w:t>Verificado el 10-09-2026 contra el PDF oficial · Revisión salarial 2026 del Convenio del Sector de Comercio e Industria de Confitería, Pastelería, Bollería, Repostería, Heladería y Platos Cocinados de la Comunidad de Madrid (código 28001025011981), BOCM núm. 50 de 28-02-2026 · https://www.bocm.es/boletin/CM_Orden_BOCM/2026/02/28/BOCM-20260228-2.PDF</w:t>
      </w:r>
    </w:p>
    <w:p>
      <w:r>
        <w:br w:type="page"/>
      </w:r>
    </w:p>
    <w:p>
      <w:pPr>
        <w:pStyle w:val="Heading1"/>
      </w:pPr>
      <w:r>
        <w:t>5. Plan Financiero a Tres Años</w:t>
      </w:r>
    </w:p>
    <w:p>
      <w:pPr>
        <w:pStyle w:val="Heading2"/>
      </w:pPr>
      <w:r>
        <w:t>Los supuestos del plan</w:t>
      </w:r>
    </w:p>
    <w:p>
      <w:r>
        <w:rPr>
          <w:b w:val="0"/>
          <w:i w:val="0"/>
        </w:rPr>
        <w:t>Antes de proyectar un solo euro, este plan declara sus supuestos, y ese orden no es casualidad: un plan que enseña primero el resultado y explica después de dónde sale no se defiende delante de un banco. Los supuestos que sostienen las tres hojas del caso son los tickets que estimamos vender cada día, el ticket medio sin IVA, los días de apertura al año, la rampa con la que arranca el negocio en sus primeros meses de vitrina a medio llenar y clientela por construir, y la estacionalidad con la que se reparte esa venta a lo largo de los doce meses, con sus picos y sus valles propios de la pastelería. Cada uno de esos cinco supuestos vive en la hoja de parámetros del plan financiero a tres años, y de ahí sale cada cifra que aparece más abajo: si cambias uno, cambia todo lo que depende de él, así que conviene mirarlo primero.</w:t>
      </w:r>
    </w:p>
    <w:p>
      <w:r>
        <w:rPr>
          <w:b w:val="0"/>
          <w:i w:val="0"/>
        </w:rPr>
        <w:t>El otro supuesto que hay que declarar, y que casi nadie declara, es el del margen: el coste de ventas de este caso se proyecta con la regla única de margen del modelo, no con el escandallo pieza a pieza de cada tarta. Es el supuesto conservador porque no depende de acertar qué se vende cada día en la vitrina, sino de aplicar una proporción que ya recoge las mermas de producción y el mix real de encargos y venta de mostrador. Un plan que intentara calcular el margen sumando el escandallo de cada referencia acabaría sobreestimando el resultado en los meses en que la vitrina no vende exactamente lo previsto, que son casi todos.</w:t>
      </w:r>
    </w:p>
    <w:p>
      <w:pPr>
        <w:pStyle w:val="Heading2"/>
      </w:pPr>
      <w:r>
        <w:t>La cuenta de resultados a tres años</w:t>
      </w:r>
    </w:p>
    <w:p>
      <w:r>
        <w:rPr>
          <w:b w:val="0"/>
          <w:i w:val="0"/>
        </w:rPr>
        <w:t>El cuadro siguiente da la cuenta de resultados completa, año a año. De esa tabla, tres lecturas importan más que el resto. La primera es que hay una partida de costes fijos que pesa más que ninguna otra en la cuenta, y hay que mirarla antes que cualquier otra decisión de precio. La segunda es que la retribución del propietario aparece como renglón propio en todas las lecturas del resultado, nunca camuflada dentro de otro coste: es el sueldo de quien monta el negocio, y se ve como tal. La tercera es el resultado neto de cada año: 4.469 € en el año uno, cuando el local todavía está en rampa de arranque, y 27.836 € en el año de crucero, cuando la venta ya recorre su estacionalidad completa.</w:t>
      </w:r>
    </w:p>
    <w:p>
      <w:r>
        <w:rPr>
          <w:b w:val="0"/>
          <w:i w:val="0"/>
        </w:rPr>
        <w:t>Ese resultado de crucero equivale a un margen neto del 8,6 %. Conviene contrastarlo con lo que dice quien lleva el oficio por dentro: Matías, gerente de Pastelerías Pomar (cuarta generación, desde 1902), sitúa la rentabilidad de una pastelería que va bien dentro de una banda concreta, declarada en «Matías, dueño de una pastelería en España: montar un obrador cuesta... y la rentabilidad - El...» (2025-11-21). El 8,6 % de este plan cae dentro de esa banda, que es justo lo que un caso conservador tiene que hacer: no prometer el extremo alto.</w:t>
      </w:r>
    </w:p>
    <w:p>
      <w:pPr>
        <w:pStyle w:val="Heading2"/>
      </w:pPr>
      <w:r>
        <w:t>El punto de equilibrio</w:t>
      </w:r>
    </w:p>
    <w:p>
      <w:r>
        <w:rPr>
          <w:b w:val="0"/>
          <w:i w:val="0"/>
        </w:rPr>
        <w:t>Aquí hay que distinguir dos equilibrios, porque no son el mismo número. El equilibrio contable -el punto en el que el resultado deja de ser negativo- pide más tickets al día que el equilibrio de caja: 155,6 frente a 148,9. El equilibrio de caja, que es el que de verdad importa mientras hay un préstamo abierto, exige 148,9 tickets al día. La diferencia entre los dos no es un error de cálculo: el contable carga la amortización, que no se paga, y el de caja carga la devolución de principal, que sí sale del banco. En este plan la amortización (16.090 €) pesa más que el principal (7.979 €), y por eso el umbral de caja queda por debajo del contable.</w:t>
      </w:r>
    </w:p>
    <w:p>
      <w:r>
        <w:rPr>
          <w:b w:val="0"/>
          <w:i w:val="0"/>
        </w:rPr>
        <w:t>En el año de crucero, la venta real deja una holgura del 22,9 % sobre ese equilibrio de caja: dicho de otro modo, la venta puede caer hasta un 18,6 % sobre lo previsto antes de que algo se rompa. Como referencia de sector, un ejemplo publicado en «Cómo montar un negocio de pastelería: guía 2026 - Pastelería Para Todos» (2026-07-12) sitúa unos costes fijos de 5.000 € al mes con una facturación de equilibrio de unos 7.200 € al mes: un margen implícito coherente con la misma regla única de margen que usa este plan, lo que confirma que el modelo no está sobredimensionado.</w:t>
      </w:r>
    </w:p>
    <w:p>
      <w:pPr>
        <w:pStyle w:val="Heading2"/>
      </w:pPr>
      <w:r>
        <w:t>La tesorería de los doce primeros meses</w:t>
      </w:r>
    </w:p>
    <w:p>
      <w:r>
        <w:rPr>
          <w:b w:val="0"/>
          <w:i w:val="0"/>
        </w:rPr>
        <w:t>La tabla de abajo sigue la caja mes a mes durante el primer año, y ahí aparece la pregunta que hace un banco: no cuánto se gana en el papel, sino si la caja llega viva al mes siguiente. El saldo mínimo de caja del primer año es de 61.037 €, y se toca en el mes 3, justo cuando la rampa de arranque todavía no ha llenado la vitrina de clientela recurrente y la inversión inicial ya ha salido de caja.</w:t>
      </w:r>
    </w:p>
    <w:p>
      <w:r>
        <w:rPr>
          <w:b w:val="0"/>
          <w:i w:val="0"/>
        </w:rPr>
        <w:t>Dentro de esa misma tesorería hay un efecto que conviene entender antes de asustarse por un mes flojo: el IVA de la inversión se adelanta al comprar el equipo del obrador y vuelve con la liquidación del período correspondiente. Es caja que sale y caja que entra, aunque nunca sea un coste real del negocio, y por eso el mes en el que la caja toca fondo no coincide necesariamente con el mes de mayor gasto contable.</w:t>
      </w:r>
    </w:p>
    <w:p>
      <w:pPr>
        <w:pStyle w:val="Heading2"/>
      </w:pPr>
      <w:r>
        <w:t>La financiación y el servicio de la deuda</w:t>
      </w:r>
    </w:p>
    <w:p>
      <w:r>
        <w:rPr>
          <w:b w:val="0"/>
          <w:i w:val="0"/>
        </w:rPr>
        <w:t>El origen de fondos de este caso combina capital propio y un préstamo, y ese préstamo es el que fija la cuota mensual de 936,57 €, la cifra que hay que poder pagar todos los meses sin excepción durante toda la vida del crédito. Es también la cifra que explica por qué el equilibrio de caja no coincide con el contable: esa cuota sale de caja, mes tras mes, gane o no gane el negocio ese mes concreto.</w:t>
      </w:r>
    </w:p>
    <w:p>
      <w:r>
        <w:rPr>
          <w:b w:val="0"/>
          <w:i w:val="0"/>
        </w:rPr>
        <w:t>La cobertura del servicio de la deuda más ajustada de todo el cuadro es de 3,24, y aquí hay una lectura que se pasa por alto con frecuencia: no hay que mirar el primer año, sino el peor año de todo el horizonte del plan. Un negocio puede empezar con holgura y estrecharse más adelante si cambia la estacionalidad o si un mes de reposición de equipo del obrador coincide con un valle de venta; mirar solo el arranque deja fuera precisamente el año en el que el préstamo aprieta más.</w:t>
      </w:r>
    </w:p>
    <w:p>
      <w:r>
        <w:rPr>
          <w:b/>
          <w:i w:val="0"/>
        </w:rPr>
        <w:t>La cuenta de resultados a tres años (plan-financiero-3-anos-pasteleria.xlsx,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w:t>
            </w:r>
          </w:p>
        </w:tc>
        <w:tc>
          <w:tcPr>
            <w:tcW w:type="dxa" w:w="1949"/>
          </w:tcPr>
          <w:p>
            <w:r/>
            <w:r>
              <w:rPr>
                <w:b/>
                <w:i w:val="0"/>
              </w:rPr>
              <w:t>Año 2 (crucero)</w:t>
            </w:r>
          </w:p>
        </w:tc>
        <w:tc>
          <w:tcPr>
            <w:tcW w:type="dxa" w:w="1949"/>
          </w:tcPr>
          <w:p>
            <w:r/>
            <w:r>
              <w:rPr>
                <w:b/>
                <w:i w:val="0"/>
              </w:rPr>
              <w:t>Año 3</w:t>
            </w:r>
          </w:p>
        </w:tc>
        <w:tc>
          <w:tcPr>
            <w:tcW w:type="dxa" w:w="1949"/>
          </w:tcPr>
          <w:p>
            <w:r/>
            <w:r>
              <w:rPr>
                <w:b/>
                <w:i w:val="0"/>
              </w:rPr>
              <w:t>Parte de las ventas del año 2 (%)</w:t>
            </w:r>
          </w:p>
        </w:tc>
      </w:tr>
      <w:tr>
        <w:tc>
          <w:tcPr>
            <w:tcW w:type="dxa" w:w="1949"/>
          </w:tcPr>
          <w:p>
            <w:r/>
            <w:r>
              <w:rPr>
                <w:b w:val="0"/>
                <w:i w:val="0"/>
              </w:rPr>
              <w:t>INGRESOS TOTALES (sin IVA)</w:t>
            </w:r>
          </w:p>
        </w:tc>
        <w:tc>
          <w:tcPr>
            <w:tcW w:type="dxa" w:w="1949"/>
          </w:tcPr>
          <w:p>
            <w:r/>
            <w:r>
              <w:rPr>
                <w:b w:val="0"/>
                <w:i w:val="0"/>
              </w:rPr>
              <w:t>282.374 €</w:t>
            </w:r>
          </w:p>
        </w:tc>
        <w:tc>
          <w:tcPr>
            <w:tcW w:type="dxa" w:w="1949"/>
          </w:tcPr>
          <w:p>
            <w:r/>
            <w:r>
              <w:rPr>
                <w:b w:val="0"/>
                <w:i w:val="0"/>
              </w:rPr>
              <w:t>322.198 €</w:t>
            </w:r>
          </w:p>
        </w:tc>
        <w:tc>
          <w:tcPr>
            <w:tcW w:type="dxa" w:w="1949"/>
          </w:tcPr>
          <w:p>
            <w:r/>
            <w:r>
              <w:rPr>
                <w:b w:val="0"/>
                <w:i w:val="0"/>
              </w:rPr>
              <w:t>335.086 €</w:t>
            </w:r>
          </w:p>
        </w:tc>
        <w:tc>
          <w:tcPr>
            <w:tcW w:type="dxa" w:w="1949"/>
          </w:tcPr>
          <w:p>
            <w:r/>
            <w:r>
              <w:rPr>
                <w:b w:val="0"/>
                <w:i w:val="0"/>
              </w:rPr>
              <w:t>100,0 %</w:t>
            </w:r>
          </w:p>
        </w:tc>
      </w:tr>
      <w:tr>
        <w:tc>
          <w:tcPr>
            <w:tcW w:type="dxa" w:w="1949"/>
          </w:tcPr>
          <w:p>
            <w:r/>
            <w:r>
              <w:rPr>
                <w:b w:val="0"/>
                <w:i w:val="0"/>
              </w:rPr>
              <w:t>Ventas de pastelería, bollería y tartas</w:t>
            </w:r>
          </w:p>
        </w:tc>
        <w:tc>
          <w:tcPr>
            <w:tcW w:type="dxa" w:w="1949"/>
          </w:tcPr>
          <w:p>
            <w:r/>
            <w:r>
              <w:rPr>
                <w:b w:val="0"/>
                <w:i w:val="0"/>
              </w:rPr>
              <w:t>225.539 €</w:t>
            </w:r>
          </w:p>
        </w:tc>
        <w:tc>
          <w:tcPr>
            <w:tcW w:type="dxa" w:w="1949"/>
          </w:tcPr>
          <w:p>
            <w:r/>
            <w:r>
              <w:rPr>
                <w:b w:val="0"/>
                <w:i w:val="0"/>
              </w:rPr>
              <w:t>257.347 €</w:t>
            </w:r>
          </w:p>
        </w:tc>
        <w:tc>
          <w:tcPr>
            <w:tcW w:type="dxa" w:w="1949"/>
          </w:tcPr>
          <w:p>
            <w:r/>
            <w:r>
              <w:rPr>
                <w:b w:val="0"/>
                <w:i w:val="0"/>
              </w:rPr>
              <w:t>267.641 €</w:t>
            </w:r>
          </w:p>
        </w:tc>
        <w:tc>
          <w:tcPr>
            <w:tcW w:type="dxa" w:w="1949"/>
          </w:tcPr>
          <w:p>
            <w:r/>
            <w:r>
              <w:rPr>
                <w:b w:val="0"/>
                <w:i w:val="0"/>
              </w:rPr>
              <w:t>79,9 %</w:t>
            </w:r>
          </w:p>
        </w:tc>
      </w:tr>
      <w:tr>
        <w:tc>
          <w:tcPr>
            <w:tcW w:type="dxa" w:w="1949"/>
          </w:tcPr>
          <w:p>
            <w:r/>
            <w:r>
              <w:rPr>
                <w:b w:val="0"/>
                <w:i w:val="0"/>
              </w:rPr>
              <w:t>Ventas de pan de acompañamiento</w:t>
            </w:r>
          </w:p>
        </w:tc>
        <w:tc>
          <w:tcPr>
            <w:tcW w:type="dxa" w:w="1949"/>
          </w:tcPr>
          <w:p>
            <w:r/>
            <w:r>
              <w:rPr>
                <w:b w:val="0"/>
                <w:i w:val="0"/>
              </w:rPr>
              <w:t>56.835 €</w:t>
            </w:r>
          </w:p>
        </w:tc>
        <w:tc>
          <w:tcPr>
            <w:tcW w:type="dxa" w:w="1949"/>
          </w:tcPr>
          <w:p>
            <w:r/>
            <w:r>
              <w:rPr>
                <w:b w:val="0"/>
                <w:i w:val="0"/>
              </w:rPr>
              <w:t>64.851 €</w:t>
            </w:r>
          </w:p>
        </w:tc>
        <w:tc>
          <w:tcPr>
            <w:tcW w:type="dxa" w:w="1949"/>
          </w:tcPr>
          <w:p>
            <w:r/>
            <w:r>
              <w:rPr>
                <w:b w:val="0"/>
                <w:i w:val="0"/>
              </w:rPr>
              <w:t>67.445 €</w:t>
            </w:r>
          </w:p>
        </w:tc>
        <w:tc>
          <w:tcPr>
            <w:tcW w:type="dxa" w:w="1949"/>
          </w:tcPr>
          <w:p>
            <w:r/>
            <w:r>
              <w:rPr>
                <w:b w:val="0"/>
                <w:i w:val="0"/>
              </w:rPr>
              <w:t>20,1 %</w:t>
            </w:r>
          </w:p>
        </w:tc>
      </w:tr>
      <w:tr>
        <w:tc>
          <w:tcPr>
            <w:tcW w:type="dxa" w:w="1949"/>
          </w:tcPr>
          <w:p>
            <w:r/>
            <w:r>
              <w:rPr>
                <w:b w:val="0"/>
                <w:i w:val="0"/>
              </w:rPr>
              <w:t>Coste de ventas (materia prima, packaging y merma)</w:t>
            </w:r>
          </w:p>
        </w:tc>
        <w:tc>
          <w:tcPr>
            <w:tcW w:type="dxa" w:w="1949"/>
          </w:tcPr>
          <w:p>
            <w:r/>
            <w:r>
              <w:rPr>
                <w:b w:val="0"/>
                <w:i w:val="0"/>
              </w:rPr>
              <w:t>90.360 €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TOTAL COSTES VARIABLES</w:t>
            </w:r>
          </w:p>
        </w:tc>
        <w:tc>
          <w:tcPr>
            <w:tcW w:type="dxa" w:w="1949"/>
          </w:tcPr>
          <w:p>
            <w:r/>
            <w:r>
              <w:rPr>
                <w:b w:val="0"/>
                <w:i w:val="0"/>
              </w:rPr>
              <w:t>90.360 €</w:t>
            </w:r>
          </w:p>
        </w:tc>
        <w:tc>
          <w:tcPr>
            <w:tcW w:type="dxa" w:w="1949"/>
          </w:tcPr>
          <w:p>
            <w:r/>
            <w:r>
              <w:rPr>
                <w:b w:val="0"/>
                <w:i w:val="0"/>
              </w:rPr>
              <w:t>103.103 €</w:t>
            </w:r>
          </w:p>
        </w:tc>
        <w:tc>
          <w:tcPr>
            <w:tcW w:type="dxa" w:w="1949"/>
          </w:tcPr>
          <w:p>
            <w:r/>
            <w:r>
              <w:rPr>
                <w:b w:val="0"/>
                <w:i w:val="0"/>
              </w:rPr>
              <w:t>107.227 €</w:t>
            </w:r>
          </w:p>
        </w:tc>
        <w:tc>
          <w:tcPr>
            <w:tcW w:type="dxa" w:w="1949"/>
          </w:tcPr>
          <w:p>
            <w:r/>
            <w:r>
              <w:rPr>
                <w:b w:val="0"/>
                <w:i w:val="0"/>
              </w:rPr>
              <w:t>32,0 %</w:t>
            </w:r>
          </w:p>
        </w:tc>
      </w:tr>
      <w:tr>
        <w:tc>
          <w:tcPr>
            <w:tcW w:type="dxa" w:w="1949"/>
          </w:tcPr>
          <w:p>
            <w:r/>
            <w:r>
              <w:rPr>
                <w:b w:val="0"/>
                <w:i w:val="0"/>
              </w:rPr>
              <w:t>MARGEN BRUTO</w:t>
            </w:r>
          </w:p>
        </w:tc>
        <w:tc>
          <w:tcPr>
            <w:tcW w:type="dxa" w:w="1949"/>
          </w:tcPr>
          <w:p>
            <w:r/>
            <w:r>
              <w:rPr>
                <w:b w:val="0"/>
                <w:i w:val="0"/>
              </w:rPr>
              <w:t>192.014 €</w:t>
            </w:r>
          </w:p>
        </w:tc>
        <w:tc>
          <w:tcPr>
            <w:tcW w:type="dxa" w:w="1949"/>
          </w:tcPr>
          <w:p>
            <w:r/>
            <w:r>
              <w:rPr>
                <w:b w:val="0"/>
                <w:i w:val="0"/>
              </w:rPr>
              <w:t>219.095 €</w:t>
            </w:r>
          </w:p>
        </w:tc>
        <w:tc>
          <w:tcPr>
            <w:tcW w:type="dxa" w:w="1949"/>
          </w:tcPr>
          <w:p>
            <w:r/>
            <w:r>
              <w:rPr>
                <w:b w:val="0"/>
                <w:i w:val="0"/>
              </w:rPr>
              <w:t>227.858 €</w:t>
            </w:r>
          </w:p>
        </w:tc>
        <w:tc>
          <w:tcPr>
            <w:tcW w:type="dxa" w:w="1949"/>
          </w:tcPr>
          <w:p>
            <w:r/>
            <w:r>
              <w:rPr>
                <w:b w:val="0"/>
                <w:i w:val="0"/>
              </w:rPr>
              <w:t>68,0 %</w:t>
            </w:r>
          </w:p>
        </w:tc>
      </w:tr>
      <w:tr>
        <w:tc>
          <w:tcPr>
            <w:tcW w:type="dxa" w:w="1949"/>
          </w:tcPr>
          <w:p>
            <w:r/>
            <w:r>
              <w:rPr>
                <w:b w:val="0"/>
                <w:i w:val="0"/>
              </w:rPr>
              <w:t>Personal (nóminas y Seguridad Social)</w:t>
            </w:r>
          </w:p>
        </w:tc>
        <w:tc>
          <w:tcPr>
            <w:tcW w:type="dxa" w:w="1949"/>
          </w:tcPr>
          <w:p>
            <w:r/>
            <w:r>
              <w:rPr>
                <w:b w:val="0"/>
                <w:i w:val="0"/>
              </w:rPr>
              <w:t>92.776 €</w:t>
            </w:r>
          </w:p>
        </w:tc>
        <w:tc>
          <w:tcPr>
            <w:tcW w:type="dxa" w:w="1949"/>
          </w:tcPr>
          <w:p>
            <w:r/>
            <w:r>
              <w:rPr>
                <w:b w:val="0"/>
                <w:i w:val="0"/>
              </w:rPr>
              <w:t>92.776 €</w:t>
            </w:r>
          </w:p>
        </w:tc>
        <w:tc>
          <w:tcPr>
            <w:tcW w:type="dxa" w:w="1949"/>
          </w:tcPr>
          <w:p>
            <w:r/>
            <w:r>
              <w:rPr>
                <w:b w:val="0"/>
                <w:i w:val="0"/>
              </w:rPr>
              <w:t>92.776 €</w:t>
            </w:r>
          </w:p>
        </w:tc>
        <w:tc>
          <w:tcPr>
            <w:tcW w:type="dxa" w:w="1949"/>
          </w:tcPr>
          <w:p>
            <w:r/>
            <w:r>
              <w:rPr>
                <w:b w:val="0"/>
                <w:i w:val="0"/>
              </w:rPr>
              <w:t>28,8 %</w:t>
            </w:r>
          </w:p>
        </w:tc>
      </w:tr>
      <w:tr>
        <w:tc>
          <w:tcPr>
            <w:tcW w:type="dxa" w:w="1949"/>
          </w:tcPr>
          <w:p>
            <w:r/>
            <w:r>
              <w:rPr>
                <w:b w:val="0"/>
                <w:i w:val="0"/>
              </w:rPr>
              <w:t>Retribución del propietario (incluida la cuota de autónomos)</w:t>
            </w:r>
          </w:p>
        </w:tc>
        <w:tc>
          <w:tcPr>
            <w:tcW w:type="dxa" w:w="1949"/>
          </w:tcPr>
          <w:p>
            <w:r/>
            <w:r>
              <w:rPr>
                <w:b w:val="0"/>
                <w:i w:val="0"/>
              </w:rPr>
              <w:t>28.800 €</w:t>
            </w:r>
          </w:p>
        </w:tc>
        <w:tc>
          <w:tcPr>
            <w:tcW w:type="dxa" w:w="1949"/>
          </w:tcPr>
          <w:p>
            <w:r/>
            <w:r>
              <w:rPr>
                <w:b w:val="0"/>
                <w:i w:val="0"/>
              </w:rPr>
              <w:t>28.800 €</w:t>
            </w:r>
          </w:p>
        </w:tc>
        <w:tc>
          <w:tcPr>
            <w:tcW w:type="dxa" w:w="1949"/>
          </w:tcPr>
          <w:p>
            <w:r/>
            <w:r>
              <w:rPr>
                <w:b w:val="0"/>
                <w:i w:val="0"/>
              </w:rPr>
              <w:t>28.800 €</w:t>
            </w:r>
          </w:p>
        </w:tc>
        <w:tc>
          <w:tcPr>
            <w:tcW w:type="dxa" w:w="1949"/>
          </w:tcPr>
          <w:p>
            <w:r/>
            <w:r>
              <w:rPr>
                <w:b w:val="0"/>
                <w:i w:val="0"/>
              </w:rPr>
              <w:t>8,9 %</w:t>
            </w:r>
          </w:p>
        </w:tc>
      </w:tr>
      <w:tr>
        <w:tc>
          <w:tcPr>
            <w:tcW w:type="dxa" w:w="1949"/>
          </w:tcPr>
          <w:p>
            <w:r/>
            <w:r>
              <w:rPr>
                <w:b w:val="0"/>
                <w:i w:val="0"/>
              </w:rPr>
              <w:t>Alquiler del local</w:t>
            </w:r>
          </w:p>
        </w:tc>
        <w:tc>
          <w:tcPr>
            <w:tcW w:type="dxa" w:w="1949"/>
          </w:tcPr>
          <w:p>
            <w:r/>
            <w:r>
              <w:rPr>
                <w:b w:val="0"/>
                <w:i w:val="0"/>
              </w:rPr>
              <w:t>14.400 €</w:t>
            </w:r>
          </w:p>
        </w:tc>
        <w:tc>
          <w:tcPr>
            <w:tcW w:type="dxa" w:w="1949"/>
          </w:tcPr>
          <w:p>
            <w:r/>
            <w:r>
              <w:rPr>
                <w:b w:val="0"/>
                <w:i w:val="0"/>
              </w:rPr>
              <w:t>14.400 €</w:t>
            </w:r>
          </w:p>
        </w:tc>
        <w:tc>
          <w:tcPr>
            <w:tcW w:type="dxa" w:w="1949"/>
          </w:tcPr>
          <w:p>
            <w:r/>
            <w:r>
              <w:rPr>
                <w:b w:val="0"/>
                <w:i w:val="0"/>
              </w:rPr>
              <w:t>14.400 €</w:t>
            </w:r>
          </w:p>
        </w:tc>
        <w:tc>
          <w:tcPr>
            <w:tcW w:type="dxa" w:w="1949"/>
          </w:tcPr>
          <w:p>
            <w:r/>
            <w:r>
              <w:rPr>
                <w:b w:val="0"/>
                <w:i w:val="0"/>
              </w:rPr>
              <w:t>4,5 %</w:t>
            </w:r>
          </w:p>
        </w:tc>
      </w:tr>
      <w:tr>
        <w:tc>
          <w:tcPr>
            <w:tcW w:type="dxa" w:w="1949"/>
          </w:tcPr>
          <w:p>
            <w:r/>
            <w:r>
              <w:rPr>
                <w:b w:val="0"/>
                <w:i w:val="0"/>
              </w:rPr>
              <w:t>Suministros (electricidad, gas y agua)</w:t>
            </w:r>
          </w:p>
        </w:tc>
        <w:tc>
          <w:tcPr>
            <w:tcW w:type="dxa" w:w="1949"/>
          </w:tcPr>
          <w:p>
            <w:r/>
            <w:r>
              <w:rPr>
                <w:b w:val="0"/>
                <w:i w:val="0"/>
              </w:rPr>
              <w:t>17.400 €</w:t>
            </w:r>
          </w:p>
        </w:tc>
        <w:tc>
          <w:tcPr>
            <w:tcW w:type="dxa" w:w="1949"/>
          </w:tcPr>
          <w:p>
            <w:r/>
            <w:r>
              <w:rPr>
                <w:b w:val="0"/>
                <w:i w:val="0"/>
              </w:rPr>
              <w:t>17.400 €</w:t>
            </w:r>
          </w:p>
        </w:tc>
        <w:tc>
          <w:tcPr>
            <w:tcW w:type="dxa" w:w="1949"/>
          </w:tcPr>
          <w:p>
            <w:r/>
            <w:r>
              <w:rPr>
                <w:b w:val="0"/>
                <w:i w:val="0"/>
              </w:rPr>
              <w:t>17.400 €</w:t>
            </w:r>
          </w:p>
        </w:tc>
        <w:tc>
          <w:tcPr>
            <w:tcW w:type="dxa" w:w="1949"/>
          </w:tcPr>
          <w:p>
            <w:r/>
            <w:r>
              <w:rPr>
                <w:b w:val="0"/>
                <w:i w:val="0"/>
              </w:rPr>
              <w:t>5,4 %</w:t>
            </w:r>
          </w:p>
        </w:tc>
      </w:tr>
      <w:tr>
        <w:tc>
          <w:tcPr>
            <w:tcW w:type="dxa" w:w="1949"/>
          </w:tcPr>
          <w:p>
            <w:r/>
            <w:r>
              <w:rPr>
                <w:b w:val="0"/>
                <w:i w:val="0"/>
              </w:rPr>
              <w:t>Seguros (responsabilidad civil y continente)</w:t>
            </w:r>
          </w:p>
        </w:tc>
        <w:tc>
          <w:tcPr>
            <w:tcW w:type="dxa" w:w="1949"/>
          </w:tcPr>
          <w:p>
            <w:r/>
            <w:r>
              <w:rPr>
                <w:b w:val="0"/>
                <w:i w:val="0"/>
              </w:rPr>
              <w:t>1.440 €</w:t>
            </w:r>
          </w:p>
        </w:tc>
        <w:tc>
          <w:tcPr>
            <w:tcW w:type="dxa" w:w="1949"/>
          </w:tcPr>
          <w:p>
            <w:r/>
            <w:r>
              <w:rPr>
                <w:b w:val="0"/>
                <w:i w:val="0"/>
              </w:rPr>
              <w:t>1.440 €</w:t>
            </w:r>
          </w:p>
        </w:tc>
        <w:tc>
          <w:tcPr>
            <w:tcW w:type="dxa" w:w="1949"/>
          </w:tcPr>
          <w:p>
            <w:r/>
            <w:r>
              <w:rPr>
                <w:b w:val="0"/>
                <w:i w:val="0"/>
              </w:rPr>
              <w:t>1.440 €</w:t>
            </w:r>
          </w:p>
        </w:tc>
        <w:tc>
          <w:tcPr>
            <w:tcW w:type="dxa" w:w="1949"/>
          </w:tcPr>
          <w:p>
            <w:r/>
            <w:r>
              <w:rPr>
                <w:b w:val="0"/>
                <w:i w:val="0"/>
              </w:rPr>
              <w:t>0,4 %</w:t>
            </w:r>
          </w:p>
        </w:tc>
      </w:tr>
      <w:tr>
        <w:tc>
          <w:tcPr>
            <w:tcW w:type="dxa" w:w="1949"/>
          </w:tcPr>
          <w:p>
            <w:r/>
            <w:r>
              <w:rPr>
                <w:b w:val="0"/>
                <w:i w:val="0"/>
              </w:rPr>
              <w:t>Gestoría y asesoría</w:t>
            </w:r>
          </w:p>
        </w:tc>
        <w:tc>
          <w:tcPr>
            <w:tcW w:type="dxa" w:w="1949"/>
          </w:tcPr>
          <w:p>
            <w:r/>
            <w:r>
              <w:rPr>
                <w:b w:val="0"/>
                <w:i w:val="0"/>
              </w:rPr>
              <w:t>2.640 €</w:t>
            </w:r>
          </w:p>
        </w:tc>
        <w:tc>
          <w:tcPr>
            <w:tcW w:type="dxa" w:w="1949"/>
          </w:tcPr>
          <w:p>
            <w:r/>
            <w:r>
              <w:rPr>
                <w:b w:val="0"/>
                <w:i w:val="0"/>
              </w:rPr>
              <w:t>2.640 €</w:t>
            </w:r>
          </w:p>
        </w:tc>
        <w:tc>
          <w:tcPr>
            <w:tcW w:type="dxa" w:w="1949"/>
          </w:tcPr>
          <w:p>
            <w:r/>
            <w:r>
              <w:rPr>
                <w:b w:val="0"/>
                <w:i w:val="0"/>
              </w:rPr>
              <w:t>2.640 €</w:t>
            </w:r>
          </w:p>
        </w:tc>
        <w:tc>
          <w:tcPr>
            <w:tcW w:type="dxa" w:w="1949"/>
          </w:tcPr>
          <w:p>
            <w:r/>
            <w:r>
              <w:rPr>
                <w:b w:val="0"/>
                <w:i w:val="0"/>
              </w:rPr>
              <w:t>0,8 %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0,2 %</w:t>
            </w:r>
          </w:p>
        </w:tc>
      </w:tr>
      <w:tr>
        <w:tc>
          <w:tcPr>
            <w:tcW w:type="dxa" w:w="1949"/>
          </w:tcPr>
          <w:p>
            <w:r/>
            <w:r>
              <w:rPr>
                <w:b w:val="0"/>
                <w:i w:val="0"/>
              </w:rPr>
              <w:t>Telefonía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0,2 %</w:t>
            </w:r>
          </w:p>
        </w:tc>
      </w:tr>
      <w:tr>
        <w:tc>
          <w:tcPr>
            <w:tcW w:type="dxa" w:w="1949"/>
          </w:tcPr>
          <w:p>
            <w:r/>
            <w:r>
              <w:rPr>
                <w:b w:val="0"/>
                <w:i w:val="0"/>
              </w:rPr>
              <w:t>Limpieza y consumibles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0,7 %</w:t>
            </w:r>
          </w:p>
        </w:tc>
      </w:tr>
      <w:tr>
        <w:tc>
          <w:tcPr>
            <w:tcW w:type="dxa" w:w="1949"/>
          </w:tcPr>
          <w:p>
            <w:r/>
            <w:r>
              <w:rPr>
                <w:b w:val="0"/>
                <w:i w:val="0"/>
              </w:rPr>
              <w:t>Mantenimiento de equipos</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Publicidad y redes</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0,7 %</w:t>
            </w:r>
          </w:p>
        </w:tc>
      </w:tr>
      <w:tr>
        <w:tc>
          <w:tcPr>
            <w:tcW w:type="dxa" w:w="1949"/>
          </w:tcPr>
          <w:p>
            <w:r/>
            <w:r>
              <w:rPr>
                <w:b w:val="0"/>
                <w:i w:val="0"/>
              </w:rPr>
              <w:t>Otros gastos de estructura</w:t>
            </w:r>
          </w:p>
        </w:tc>
        <w:tc>
          <w:tcPr>
            <w:tcW w:type="dxa" w:w="1949"/>
          </w:tcPr>
          <w:p>
            <w:r/>
            <w:r>
              <w:rPr>
                <w:b w:val="0"/>
                <w:i w:val="0"/>
              </w:rPr>
              <w:t>1.800 €</w:t>
            </w:r>
          </w:p>
        </w:tc>
        <w:tc>
          <w:tcPr>
            <w:tcW w:type="dxa" w:w="1949"/>
          </w:tcPr>
          <w:p>
            <w:r/>
            <w:r>
              <w:rPr>
                <w:b w:val="0"/>
                <w:i w:val="0"/>
              </w:rPr>
              <w:t>1.800 €</w:t>
            </w:r>
          </w:p>
        </w:tc>
        <w:tc>
          <w:tcPr>
            <w:tcW w:type="dxa" w:w="1949"/>
          </w:tcPr>
          <w:p>
            <w:r/>
            <w:r>
              <w:rPr>
                <w:b w:val="0"/>
                <w:i w:val="0"/>
              </w:rPr>
              <w:t>1.800 €</w:t>
            </w:r>
          </w:p>
        </w:tc>
        <w:tc>
          <w:tcPr>
            <w:tcW w:type="dxa" w:w="1949"/>
          </w:tcPr>
          <w:p>
            <w:r/>
            <w:r>
              <w:rPr>
                <w:b w:val="0"/>
                <w:i w:val="0"/>
              </w:rPr>
              <w:t>0,6 %</w:t>
            </w:r>
          </w:p>
        </w:tc>
      </w:tr>
      <w:tr>
        <w:tc>
          <w:tcPr>
            <w:tcW w:type="dxa" w:w="1949"/>
          </w:tcPr>
          <w:p>
            <w:r/>
            <w:r>
              <w:rPr>
                <w:b w:val="0"/>
                <w:i w:val="0"/>
              </w:rPr>
              <w:t>Amortización del inmovilizado</w:t>
            </w:r>
          </w:p>
        </w:tc>
        <w:tc>
          <w:tcPr>
            <w:tcW w:type="dxa" w:w="1949"/>
          </w:tcPr>
          <w:p>
            <w:r/>
            <w:r>
              <w:rPr>
                <w:b w:val="0"/>
                <w:i w:val="0"/>
              </w:rPr>
              <w:t>16.090 €</w:t>
            </w:r>
          </w:p>
        </w:tc>
        <w:tc>
          <w:tcPr>
            <w:tcW w:type="dxa" w:w="1949"/>
          </w:tcPr>
          <w:p>
            <w:r/>
            <w:r>
              <w:rPr>
                <w:b w:val="0"/>
                <w:i w:val="0"/>
              </w:rPr>
              <w:t>16.090 €</w:t>
            </w:r>
          </w:p>
        </w:tc>
        <w:tc>
          <w:tcPr>
            <w:tcW w:type="dxa" w:w="1949"/>
          </w:tcPr>
          <w:p>
            <w:r/>
            <w:r>
              <w:rPr>
                <w:b w:val="0"/>
                <w:i w:val="0"/>
              </w:rPr>
              <w:t>16.090 €</w:t>
            </w:r>
          </w:p>
        </w:tc>
        <w:tc>
          <w:tcPr>
            <w:tcW w:type="dxa" w:w="1949"/>
          </w:tcPr>
          <w:p>
            <w:r/>
            <w:r>
              <w:rPr>
                <w:b w:val="0"/>
                <w:i w:val="0"/>
              </w:rPr>
              <w:t>5,0 %</w:t>
            </w:r>
          </w:p>
        </w:tc>
      </w:tr>
      <w:tr>
        <w:tc>
          <w:tcPr>
            <w:tcW w:type="dxa" w:w="1949"/>
          </w:tcPr>
          <w:p>
            <w:r/>
            <w:r>
              <w:rPr>
                <w:b w:val="0"/>
                <w:i w:val="0"/>
              </w:rPr>
              <w:t>Gastos financieros del préstamo</w:t>
            </w:r>
          </w:p>
        </w:tc>
        <w:tc>
          <w:tcPr>
            <w:tcW w:type="dxa" w:w="1949"/>
          </w:tcPr>
          <w:p>
            <w:r/>
            <w:r>
              <w:rPr>
                <w:b w:val="0"/>
                <w:i w:val="0"/>
              </w:rPr>
              <w:t>3.671 €</w:t>
            </w:r>
          </w:p>
        </w:tc>
        <w:tc>
          <w:tcPr>
            <w:tcW w:type="dxa" w:w="1949"/>
          </w:tcPr>
          <w:p>
            <w:r/>
            <w:r>
              <w:rPr>
                <w:b w:val="0"/>
                <w:i w:val="0"/>
              </w:rPr>
              <w:t>3.260 €</w:t>
            </w:r>
          </w:p>
        </w:tc>
        <w:tc>
          <w:tcPr>
            <w:tcW w:type="dxa" w:w="1949"/>
          </w:tcPr>
          <w:p>
            <w:r/>
            <w:r>
              <w:rPr>
                <w:b w:val="0"/>
                <w:i w:val="0"/>
              </w:rPr>
              <w:t>2.751 €</w:t>
            </w:r>
          </w:p>
        </w:tc>
        <w:tc>
          <w:tcPr>
            <w:tcW w:type="dxa" w:w="1949"/>
          </w:tcPr>
          <w:p>
            <w:r/>
            <w:r>
              <w:rPr>
                <w:b w:val="0"/>
                <w:i w:val="0"/>
              </w:rPr>
              <w:t>1,0 %</w:t>
            </w:r>
          </w:p>
        </w:tc>
      </w:tr>
      <w:tr>
        <w:tc>
          <w:tcPr>
            <w:tcW w:type="dxa" w:w="1949"/>
          </w:tcPr>
          <w:p>
            <w:r/>
            <w:r>
              <w:rPr>
                <w:b w:val="0"/>
                <w:i w:val="0"/>
              </w:rPr>
              <w:t>TOTAL COSTES FIJOS</w:t>
            </w:r>
          </w:p>
        </w:tc>
        <w:tc>
          <w:tcPr>
            <w:tcW w:type="dxa" w:w="1949"/>
          </w:tcPr>
          <w:p>
            <w:r/>
            <w:r>
              <w:rPr>
                <w:b w:val="0"/>
                <w:i w:val="0"/>
              </w:rPr>
              <w:t>186.757 €</w:t>
            </w:r>
          </w:p>
        </w:tc>
        <w:tc>
          <w:tcPr>
            <w:tcW w:type="dxa" w:w="1949"/>
          </w:tcPr>
          <w:p>
            <w:r/>
            <w:r>
              <w:rPr>
                <w:b w:val="0"/>
                <w:i w:val="0"/>
              </w:rPr>
              <w:t>186.346 €</w:t>
            </w:r>
          </w:p>
        </w:tc>
        <w:tc>
          <w:tcPr>
            <w:tcW w:type="dxa" w:w="1949"/>
          </w:tcPr>
          <w:p>
            <w:r/>
            <w:r>
              <w:rPr>
                <w:b w:val="0"/>
                <w:i w:val="0"/>
              </w:rPr>
              <w:t>185.837 €</w:t>
            </w:r>
          </w:p>
        </w:tc>
        <w:tc>
          <w:tcPr>
            <w:tcW w:type="dxa" w:w="1949"/>
          </w:tcPr>
          <w:p>
            <w:r/>
            <w:r>
              <w:rPr>
                <w:b w:val="0"/>
                <w:i w:val="0"/>
              </w:rPr>
              <w:t>57,8 %</w:t>
            </w:r>
          </w:p>
        </w:tc>
      </w:tr>
      <w:tr>
        <w:tc>
          <w:tcPr>
            <w:tcW w:type="dxa" w:w="1949"/>
          </w:tcPr>
          <w:p>
            <w:r/>
            <w:r>
              <w:rPr>
                <w:b w:val="0"/>
                <w:i w:val="0"/>
              </w:rPr>
              <w:t>RESULTADO ANTES DE IMPUESTOS</w:t>
            </w:r>
          </w:p>
        </w:tc>
        <w:tc>
          <w:tcPr>
            <w:tcW w:type="dxa" w:w="1949"/>
          </w:tcPr>
          <w:p>
            <w:r/>
            <w:r>
              <w:rPr>
                <w:b w:val="0"/>
                <w:i w:val="0"/>
              </w:rPr>
              <w:t>5.257 €</w:t>
            </w:r>
          </w:p>
        </w:tc>
        <w:tc>
          <w:tcPr>
            <w:tcW w:type="dxa" w:w="1949"/>
          </w:tcPr>
          <w:p>
            <w:r/>
            <w:r>
              <w:rPr>
                <w:b w:val="0"/>
                <w:i w:val="0"/>
              </w:rPr>
              <w:t>32.749 €</w:t>
            </w:r>
          </w:p>
        </w:tc>
        <w:tc>
          <w:tcPr>
            <w:tcW w:type="dxa" w:w="1949"/>
          </w:tcPr>
          <w:p>
            <w:r/>
            <w:r>
              <w:rPr>
                <w:b w:val="0"/>
                <w:i w:val="0"/>
              </w:rPr>
              <w:t>42.022 €</w:t>
            </w:r>
          </w:p>
        </w:tc>
        <w:tc>
          <w:tcPr>
            <w:tcW w:type="dxa" w:w="1949"/>
          </w:tcPr>
          <w:p>
            <w:r/>
            <w:r>
              <w:rPr>
                <w:b w:val="0"/>
                <w:i w:val="0"/>
              </w:rPr>
              <w:t>10,2 %</w:t>
            </w:r>
          </w:p>
        </w:tc>
      </w:tr>
    </w:tbl>
    <w:p/>
    <w:p>
      <w:pPr>
        <w:jc w:val="center"/>
      </w:pPr>
      <w:r>
        <w:rPr>
          <w:i/>
          <w:color w:val="444444"/>
        </w:rPr>
        <w:t>Todas las cifras van sin IVA y el coste de ventas se proyecta con la regla única de margen, que es el supuesto conservador. Las dos líneas de IVA soportado que la hoja «PyG 3 Años» lleva como memoria (filas 34 y 35) no se imprimen aquí ni entran en la resta del resultado; su efecto sobre la caja está en la hoja de tesorería.</w:t>
      </w:r>
    </w:p>
    <w:p>
      <w:r>
        <w:rPr>
          <w:b/>
          <w:i w:val="0"/>
        </w:rPr>
        <w:t>La caja de los doce primeros meses (plan-financiero-3-anos-pasteleria.xlsx, hoja «Tesorería 12 meses»)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Concepto</w:t>
            </w:r>
          </w:p>
        </w:tc>
        <w:tc>
          <w:tcPr>
            <w:tcW w:type="dxa" w:w="1392"/>
          </w:tcPr>
          <w:p>
            <w:r/>
            <w:r>
              <w:rPr>
                <w:b/>
                <w:i w:val="0"/>
              </w:rPr>
              <w:t>Mes 1 (€)</w:t>
            </w:r>
          </w:p>
        </w:tc>
        <w:tc>
          <w:tcPr>
            <w:tcW w:type="dxa" w:w="1392"/>
          </w:tcPr>
          <w:p>
            <w:r/>
            <w:r>
              <w:rPr>
                <w:b/>
                <w:i w:val="0"/>
              </w:rPr>
              <w:t>Mes 3 (€)</w:t>
            </w:r>
          </w:p>
        </w:tc>
        <w:tc>
          <w:tcPr>
            <w:tcW w:type="dxa" w:w="1392"/>
          </w:tcPr>
          <w:p>
            <w:r/>
            <w:r>
              <w:rPr>
                <w:b/>
                <w:i w:val="0"/>
              </w:rPr>
              <w:t>Mes 6 (€)</w:t>
            </w:r>
          </w:p>
        </w:tc>
        <w:tc>
          <w:tcPr>
            <w:tcW w:type="dxa" w:w="1392"/>
          </w:tcPr>
          <w:p>
            <w:r/>
            <w:r>
              <w:rPr>
                <w:b/>
                <w:i w:val="0"/>
              </w:rPr>
              <w:t>Mes 9 (€)</w:t>
            </w:r>
          </w:p>
        </w:tc>
        <w:tc>
          <w:tcPr>
            <w:tcW w:type="dxa" w:w="1392"/>
          </w:tcPr>
          <w:p>
            <w:r/>
            <w:r>
              <w:rPr>
                <w:b/>
                <w:i w:val="0"/>
              </w:rPr>
              <w:t>Mes 12 (€)</w:t>
            </w:r>
          </w:p>
        </w:tc>
        <w:tc>
          <w:tcPr>
            <w:tcW w:type="dxa" w:w="1392"/>
          </w:tcPr>
          <w:p>
            <w:r/>
            <w:r>
              <w:rPr>
                <w:b/>
                <w:i w:val="0"/>
              </w:rPr>
              <w:t>Año (€)</w:t>
            </w:r>
          </w:p>
        </w:tc>
      </w:tr>
      <w:tr>
        <w:tc>
          <w:tcPr>
            <w:tcW w:type="dxa" w:w="1392"/>
          </w:tcPr>
          <w:p>
            <w:r/>
            <w:r>
              <w:rPr>
                <w:b w:val="0"/>
                <w:i w:val="0"/>
              </w:rPr>
              <w:t>Ventas cobradas (con el IVA repercutido dentro)</w:t>
            </w:r>
          </w:p>
        </w:tc>
        <w:tc>
          <w:tcPr>
            <w:tcW w:type="dxa" w:w="1392"/>
          </w:tcPr>
          <w:p>
            <w:r/>
            <w:r>
              <w:rPr>
                <w:b w:val="0"/>
                <w:i w:val="0"/>
              </w:rPr>
              <w:t>19.914 €</w:t>
            </w:r>
          </w:p>
        </w:tc>
        <w:tc>
          <w:tcPr>
            <w:tcW w:type="dxa" w:w="1392"/>
          </w:tcPr>
          <w:p>
            <w:r/>
            <w:r>
              <w:rPr>
                <w:b w:val="0"/>
                <w:i w:val="0"/>
              </w:rPr>
              <w:t>20.437 €</w:t>
            </w:r>
          </w:p>
        </w:tc>
        <w:tc>
          <w:tcPr>
            <w:tcW w:type="dxa" w:w="1392"/>
          </w:tcPr>
          <w:p>
            <w:r/>
            <w:r>
              <w:rPr>
                <w:b w:val="0"/>
                <w:i w:val="0"/>
              </w:rPr>
              <w:t>28.342 €</w:t>
            </w:r>
          </w:p>
        </w:tc>
        <w:tc>
          <w:tcPr>
            <w:tcW w:type="dxa" w:w="1392"/>
          </w:tcPr>
          <w:p>
            <w:r/>
            <w:r>
              <w:rPr>
                <w:b w:val="0"/>
                <w:i w:val="0"/>
              </w:rPr>
              <w:t>26.012 €</w:t>
            </w:r>
          </w:p>
        </w:tc>
        <w:tc>
          <w:tcPr>
            <w:tcW w:type="dxa" w:w="1392"/>
          </w:tcPr>
          <w:p>
            <w:r/>
            <w:r>
              <w:rPr>
                <w:b w:val="0"/>
                <w:i w:val="0"/>
              </w:rPr>
              <w:t>35.870 €</w:t>
            </w:r>
          </w:p>
        </w:tc>
        <w:tc>
          <w:tcPr>
            <w:tcW w:type="dxa" w:w="1392"/>
          </w:tcPr>
          <w:p>
            <w:r/>
            <w:r>
              <w:rPr>
                <w:b w:val="0"/>
                <w:i w:val="0"/>
              </w:rPr>
              <w:t>304.485 €</w:t>
            </w:r>
          </w:p>
        </w:tc>
      </w:tr>
      <w:tr>
        <w:tc>
          <w:tcPr>
            <w:tcW w:type="dxa" w:w="1392"/>
          </w:tcPr>
          <w:p>
            <w:r/>
            <w:r>
              <w:rPr>
                <w:b w:val="0"/>
                <w:i w:val="0"/>
              </w:rPr>
              <w:t>Compras y coste de ventas (IVA incluido)</w:t>
            </w:r>
          </w:p>
        </w:tc>
        <w:tc>
          <w:tcPr>
            <w:tcW w:type="dxa" w:w="1392"/>
          </w:tcPr>
          <w:p>
            <w:r/>
            <w:r>
              <w:rPr>
                <w:b w:val="0"/>
                <w:i w:val="0"/>
              </w:rPr>
              <w:t>0 €</w:t>
            </w:r>
          </w:p>
        </w:tc>
        <w:tc>
          <w:tcPr>
            <w:tcW w:type="dxa" w:w="1392"/>
          </w:tcPr>
          <w:p>
            <w:r/>
            <w:r>
              <w:rPr>
                <w:b w:val="0"/>
                <w:i w:val="0"/>
              </w:rPr>
              <w:t>-5.625 €</w:t>
            </w:r>
          </w:p>
        </w:tc>
        <w:tc>
          <w:tcPr>
            <w:tcW w:type="dxa" w:w="1392"/>
          </w:tcPr>
          <w:p>
            <w:r/>
            <w:r>
              <w:rPr>
                <w:b w:val="0"/>
                <w:i w:val="0"/>
              </w:rPr>
              <w:t>-9.203 €</w:t>
            </w:r>
          </w:p>
        </w:tc>
        <w:tc>
          <w:tcPr>
            <w:tcW w:type="dxa" w:w="1392"/>
          </w:tcPr>
          <w:p>
            <w:r/>
            <w:r>
              <w:rPr>
                <w:b w:val="0"/>
                <w:i w:val="0"/>
              </w:rPr>
              <w:t>-6.143 €</w:t>
            </w:r>
          </w:p>
        </w:tc>
        <w:tc>
          <w:tcPr>
            <w:tcW w:type="dxa" w:w="1392"/>
          </w:tcPr>
          <w:p>
            <w:r/>
            <w:r>
              <w:rPr>
                <w:b w:val="0"/>
                <w:i w:val="0"/>
              </w:rPr>
              <w:t>-10.207 €</w:t>
            </w:r>
          </w:p>
        </w:tc>
        <w:tc>
          <w:tcPr>
            <w:tcW w:type="dxa" w:w="1392"/>
          </w:tcPr>
          <w:p>
            <w:r/>
            <w:r>
              <w:rPr>
                <w:b w:val="0"/>
                <w:i w:val="0"/>
              </w:rPr>
              <w:t>-87.676 €</w:t>
            </w:r>
          </w:p>
        </w:tc>
      </w:tr>
      <w:tr>
        <w:tc>
          <w:tcPr>
            <w:tcW w:type="dxa" w:w="1392"/>
          </w:tcPr>
          <w:p>
            <w:r/>
            <w:r>
              <w:rPr>
                <w:b w:val="0"/>
                <w:i w:val="0"/>
              </w:rPr>
              <w:t>Costes fijos de explotación (IVA incluido)</w:t>
            </w:r>
          </w:p>
        </w:tc>
        <w:tc>
          <w:tcPr>
            <w:tcW w:type="dxa" w:w="1392"/>
          </w:tcPr>
          <w:p>
            <w:r/>
            <w:r>
              <w:rPr>
                <w:b w:val="0"/>
                <w:i w:val="0"/>
              </w:rPr>
              <w:t>-6.955 €</w:t>
            </w:r>
          </w:p>
        </w:tc>
        <w:tc>
          <w:tcPr>
            <w:tcW w:type="dxa" w:w="1392"/>
          </w:tcPr>
          <w:p>
            <w:r/>
            <w:r>
              <w:rPr>
                <w:b w:val="0"/>
                <w:i w:val="0"/>
              </w:rPr>
              <w:t>-6.955 €</w:t>
            </w:r>
          </w:p>
        </w:tc>
        <w:tc>
          <w:tcPr>
            <w:tcW w:type="dxa" w:w="1392"/>
          </w:tcPr>
          <w:p>
            <w:r/>
            <w:r>
              <w:rPr>
                <w:b w:val="0"/>
                <w:i w:val="0"/>
              </w:rPr>
              <w:t>-6.955 €</w:t>
            </w:r>
          </w:p>
        </w:tc>
        <w:tc>
          <w:tcPr>
            <w:tcW w:type="dxa" w:w="1392"/>
          </w:tcPr>
          <w:p>
            <w:r/>
            <w:r>
              <w:rPr>
                <w:b w:val="0"/>
                <w:i w:val="0"/>
              </w:rPr>
              <w:t>-6.955 €</w:t>
            </w:r>
          </w:p>
        </w:tc>
        <w:tc>
          <w:tcPr>
            <w:tcW w:type="dxa" w:w="1392"/>
          </w:tcPr>
          <w:p>
            <w:r/>
            <w:r>
              <w:rPr>
                <w:b w:val="0"/>
                <w:i w:val="0"/>
              </w:rPr>
              <w:t>-6.955 €</w:t>
            </w:r>
          </w:p>
        </w:tc>
        <w:tc>
          <w:tcPr>
            <w:tcW w:type="dxa" w:w="1392"/>
          </w:tcPr>
          <w:p>
            <w:r/>
            <w:r>
              <w:rPr>
                <w:b w:val="0"/>
                <w:i w:val="0"/>
              </w:rPr>
              <w:t>-83.456 €</w:t>
            </w:r>
          </w:p>
        </w:tc>
      </w:tr>
      <w:tr>
        <w:tc>
          <w:tcPr>
            <w:tcW w:type="dxa" w:w="1392"/>
          </w:tcPr>
          <w:p>
            <w:r/>
            <w:r>
              <w:rPr>
                <w:b w:val="0"/>
                <w:i w:val="0"/>
              </w:rPr>
              <w:t>Nóminas y Seguridad Social</w:t>
            </w:r>
          </w:p>
        </w:tc>
        <w:tc>
          <w:tcPr>
            <w:tcW w:type="dxa" w:w="1392"/>
          </w:tcPr>
          <w:p>
            <w:r/>
            <w:r>
              <w:rPr>
                <w:b w:val="0"/>
                <w:i w:val="0"/>
              </w:rPr>
              <w:t>-6.185 €</w:t>
            </w:r>
          </w:p>
        </w:tc>
        <w:tc>
          <w:tcPr>
            <w:tcW w:type="dxa" w:w="1392"/>
          </w:tcPr>
          <w:p>
            <w:r/>
            <w:r>
              <w:rPr>
                <w:b w:val="0"/>
                <w:i w:val="0"/>
              </w:rPr>
              <w:t>-12.370 €</w:t>
            </w:r>
          </w:p>
        </w:tc>
        <w:tc>
          <w:tcPr>
            <w:tcW w:type="dxa" w:w="1392"/>
          </w:tcPr>
          <w:p>
            <w:r/>
            <w:r>
              <w:rPr>
                <w:b w:val="0"/>
                <w:i w:val="0"/>
              </w:rPr>
              <w:t>-6.185 €</w:t>
            </w:r>
          </w:p>
        </w:tc>
        <w:tc>
          <w:tcPr>
            <w:tcW w:type="dxa" w:w="1392"/>
          </w:tcPr>
          <w:p>
            <w:r/>
            <w:r>
              <w:rPr>
                <w:b w:val="0"/>
                <w:i w:val="0"/>
              </w:rPr>
              <w:t>-6.185 €</w:t>
            </w:r>
          </w:p>
        </w:tc>
        <w:tc>
          <w:tcPr>
            <w:tcW w:type="dxa" w:w="1392"/>
          </w:tcPr>
          <w:p>
            <w:r/>
            <w:r>
              <w:rPr>
                <w:b w:val="0"/>
                <w:i w:val="0"/>
              </w:rPr>
              <w:t>-12.370 €</w:t>
            </w:r>
          </w:p>
        </w:tc>
        <w:tc>
          <w:tcPr>
            <w:tcW w:type="dxa" w:w="1392"/>
          </w:tcPr>
          <w:p>
            <w:r/>
            <w:r>
              <w:rPr>
                <w:b w:val="0"/>
                <w:i w:val="0"/>
              </w:rPr>
              <w:t>-92.776 €</w:t>
            </w:r>
          </w:p>
        </w:tc>
      </w:tr>
      <w:tr>
        <w:tc>
          <w:tcPr>
            <w:tcW w:type="dxa" w:w="1392"/>
          </w:tcPr>
          <w:p>
            <w:r/>
            <w:r>
              <w:rPr>
                <w:b w:val="0"/>
                <w:i w:val="0"/>
              </w:rPr>
              <w:t>Intereses del préstamo</w:t>
            </w:r>
          </w:p>
        </w:tc>
        <w:tc>
          <w:tcPr>
            <w:tcW w:type="dxa" w:w="1392"/>
          </w:tcPr>
          <w:p>
            <w:r/>
            <w:r>
              <w:rPr>
                <w:b w:val="0"/>
                <w:i w:val="0"/>
              </w:rPr>
              <w:t>-310 €</w:t>
            </w:r>
          </w:p>
        </w:tc>
        <w:tc>
          <w:tcPr>
            <w:tcW w:type="dxa" w:w="1392"/>
          </w:tcPr>
          <w:p>
            <w:r/>
            <w:r>
              <w:rPr>
                <w:b w:val="0"/>
                <w:i w:val="0"/>
              </w:rPr>
              <w:t>-310 €</w:t>
            </w:r>
          </w:p>
        </w:tc>
        <w:tc>
          <w:tcPr>
            <w:tcW w:type="dxa" w:w="1392"/>
          </w:tcPr>
          <w:p>
            <w:r/>
            <w:r>
              <w:rPr>
                <w:b w:val="0"/>
                <w:i w:val="0"/>
              </w:rPr>
              <w:t>-310 €</w:t>
            </w:r>
          </w:p>
        </w:tc>
        <w:tc>
          <w:tcPr>
            <w:tcW w:type="dxa" w:w="1392"/>
          </w:tcPr>
          <w:p>
            <w:r/>
            <w:r>
              <w:rPr>
                <w:b w:val="0"/>
                <w:i w:val="0"/>
              </w:rPr>
              <w:t>-304 €</w:t>
            </w:r>
          </w:p>
        </w:tc>
        <w:tc>
          <w:tcPr>
            <w:tcW w:type="dxa" w:w="1392"/>
          </w:tcPr>
          <w:p>
            <w:r/>
            <w:r>
              <w:rPr>
                <w:b w:val="0"/>
                <w:i w:val="0"/>
              </w:rPr>
              <w:t>-294 €</w:t>
            </w:r>
          </w:p>
        </w:tc>
        <w:tc>
          <w:tcPr>
            <w:tcW w:type="dxa" w:w="1392"/>
          </w:tcPr>
          <w:p>
            <w:r/>
            <w:r>
              <w:rPr>
                <w:b w:val="0"/>
                <w:i w:val="0"/>
              </w:rPr>
              <w:t>-3.671 €</w:t>
            </w:r>
          </w:p>
        </w:tc>
      </w:tr>
      <w:tr>
        <w:tc>
          <w:tcPr>
            <w:tcW w:type="dxa" w:w="1392"/>
          </w:tcPr>
          <w:p>
            <w:r/>
            <w:r>
              <w:rPr>
                <w:b w:val="0"/>
                <w:i w:val="0"/>
              </w:rPr>
              <w:t>Devolución de principal del préstamo</w:t>
            </w:r>
          </w:p>
        </w:tc>
        <w:tc>
          <w:tcPr>
            <w:tcW w:type="dxa" w:w="1392"/>
          </w:tcPr>
          <w:p>
            <w:r/>
            <w:r>
              <w:rPr>
                <w:b w:val="0"/>
                <w:i w:val="0"/>
              </w:rPr>
              <w:t>0 €</w:t>
            </w:r>
          </w:p>
        </w:tc>
        <w:tc>
          <w:tcPr>
            <w:tcW w:type="dxa" w:w="1392"/>
          </w:tcPr>
          <w:p>
            <w:r/>
            <w:r>
              <w:rPr>
                <w:b w:val="0"/>
                <w:i w:val="0"/>
              </w:rPr>
              <w:t>0 €</w:t>
            </w:r>
          </w:p>
        </w:tc>
        <w:tc>
          <w:tcPr>
            <w:tcW w:type="dxa" w:w="1392"/>
          </w:tcPr>
          <w:p>
            <w:r/>
            <w:r>
              <w:rPr>
                <w:b w:val="0"/>
                <w:i w:val="0"/>
              </w:rPr>
              <w:t>0 €</w:t>
            </w:r>
          </w:p>
        </w:tc>
        <w:tc>
          <w:tcPr>
            <w:tcW w:type="dxa" w:w="1392"/>
          </w:tcPr>
          <w:p>
            <w:r/>
            <w:r>
              <w:rPr>
                <w:b w:val="0"/>
                <w:i w:val="0"/>
              </w:rPr>
              <w:t>-633 €</w:t>
            </w:r>
          </w:p>
        </w:tc>
        <w:tc>
          <w:tcPr>
            <w:tcW w:type="dxa" w:w="1392"/>
          </w:tcPr>
          <w:p>
            <w:r/>
            <w:r>
              <w:rPr>
                <w:b w:val="0"/>
                <w:i w:val="0"/>
              </w:rPr>
              <w:t>-643 €</w:t>
            </w:r>
          </w:p>
        </w:tc>
        <w:tc>
          <w:tcPr>
            <w:tcW w:type="dxa" w:w="1392"/>
          </w:tcPr>
          <w:p>
            <w:r/>
            <w:r>
              <w:rPr>
                <w:b w:val="0"/>
                <w:i w:val="0"/>
              </w:rPr>
              <w:t>-3.808 €</w:t>
            </w:r>
          </w:p>
        </w:tc>
      </w:tr>
      <w:tr>
        <w:tc>
          <w:tcPr>
            <w:tcW w:type="dxa" w:w="1392"/>
          </w:tcPr>
          <w:p>
            <w:r/>
            <w:r>
              <w:rPr>
                <w:b w:val="0"/>
                <w:i w:val="0"/>
              </w:rPr>
              <w:t>IVA repercutido del mes (memoria)</w:t>
            </w:r>
          </w:p>
        </w:tc>
        <w:tc>
          <w:tcPr>
            <w:tcW w:type="dxa" w:w="1392"/>
          </w:tcPr>
          <w:p>
            <w:r/>
            <w:r>
              <w:rPr>
                <w:b w:val="0"/>
                <w:i w:val="0"/>
              </w:rPr>
              <w:t>1.740 €</w:t>
            </w:r>
          </w:p>
        </w:tc>
        <w:tc>
          <w:tcPr>
            <w:tcW w:type="dxa" w:w="1392"/>
          </w:tcPr>
          <w:p>
            <w:r/>
            <w:r>
              <w:rPr>
                <w:b w:val="0"/>
                <w:i w:val="0"/>
              </w:rPr>
              <w:t>1.672 €</w:t>
            </w:r>
          </w:p>
        </w:tc>
        <w:tc>
          <w:tcPr>
            <w:tcW w:type="dxa" w:w="1392"/>
          </w:tcPr>
          <w:p>
            <w:r/>
            <w:r>
              <w:rPr>
                <w:b w:val="0"/>
                <w:i w:val="0"/>
              </w:rPr>
              <w:t>2.290 €</w:t>
            </w:r>
          </w:p>
        </w:tc>
        <w:tc>
          <w:tcPr>
            <w:tcW w:type="dxa" w:w="1392"/>
          </w:tcPr>
          <w:p>
            <w:r/>
            <w:r>
              <w:rPr>
                <w:b w:val="0"/>
                <w:i w:val="0"/>
              </w:rPr>
              <w:t>2.148 €</w:t>
            </w:r>
          </w:p>
        </w:tc>
        <w:tc>
          <w:tcPr>
            <w:tcW w:type="dxa" w:w="1392"/>
          </w:tcPr>
          <w:p>
            <w:r/>
            <w:r>
              <w:rPr>
                <w:b w:val="0"/>
                <w:i w:val="0"/>
              </w:rPr>
              <w:t>2.927 €</w:t>
            </w:r>
          </w:p>
        </w:tc>
        <w:tc>
          <w:tcPr>
            <w:tcW w:type="dxa" w:w="1392"/>
          </w:tcPr>
          <w:p>
            <w:r/>
            <w:r>
              <w:rPr>
                <w:b w:val="0"/>
                <w:i w:val="0"/>
              </w:rPr>
              <w:t>24.827 €</w:t>
            </w:r>
          </w:p>
        </w:tc>
      </w:tr>
      <w:tr>
        <w:tc>
          <w:tcPr>
            <w:tcW w:type="dxa" w:w="1392"/>
          </w:tcPr>
          <w:p>
            <w:r/>
            <w:r>
              <w:rPr>
                <w:b w:val="0"/>
                <w:i w:val="0"/>
              </w:rPr>
              <w:t>IVA soportado del mes (memoria)</w:t>
            </w:r>
          </w:p>
        </w:tc>
        <w:tc>
          <w:tcPr>
            <w:tcW w:type="dxa" w:w="1392"/>
          </w:tcPr>
          <w:p>
            <w:r/>
            <w:r>
              <w:rPr>
                <w:b w:val="0"/>
                <w:i w:val="0"/>
              </w:rPr>
              <w:t>1.403 €</w:t>
            </w:r>
          </w:p>
        </w:tc>
        <w:tc>
          <w:tcPr>
            <w:tcW w:type="dxa" w:w="1392"/>
          </w:tcPr>
          <w:p>
            <w:r/>
            <w:r>
              <w:rPr>
                <w:b w:val="0"/>
                <w:i w:val="0"/>
              </w:rPr>
              <w:t>1.378 €</w:t>
            </w:r>
          </w:p>
        </w:tc>
        <w:tc>
          <w:tcPr>
            <w:tcW w:type="dxa" w:w="1392"/>
          </w:tcPr>
          <w:p>
            <w:r/>
            <w:r>
              <w:rPr>
                <w:b w:val="0"/>
                <w:i w:val="0"/>
              </w:rPr>
              <w:t>1.603 €</w:t>
            </w:r>
          </w:p>
        </w:tc>
        <w:tc>
          <w:tcPr>
            <w:tcW w:type="dxa" w:w="1392"/>
          </w:tcPr>
          <w:p>
            <w:r/>
            <w:r>
              <w:rPr>
                <w:b w:val="0"/>
                <w:i w:val="0"/>
              </w:rPr>
              <w:t>1.552 €</w:t>
            </w:r>
          </w:p>
        </w:tc>
        <w:tc>
          <w:tcPr>
            <w:tcW w:type="dxa" w:w="1392"/>
          </w:tcPr>
          <w:p>
            <w:r/>
            <w:r>
              <w:rPr>
                <w:b w:val="0"/>
                <w:i w:val="0"/>
              </w:rPr>
              <w:t>1.835 €</w:t>
            </w:r>
          </w:p>
        </w:tc>
        <w:tc>
          <w:tcPr>
            <w:tcW w:type="dxa" w:w="1392"/>
          </w:tcPr>
          <w:p>
            <w:r/>
            <w:r>
              <w:rPr>
                <w:b w:val="0"/>
                <w:i w:val="0"/>
              </w:rPr>
              <w:t>18.272 €</w:t>
            </w:r>
          </w:p>
        </w:tc>
      </w:tr>
      <w:tr>
        <w:tc>
          <w:tcPr>
            <w:tcW w:type="dxa" w:w="1392"/>
          </w:tcPr>
          <w:p>
            <w:r/>
            <w:r>
              <w:rPr>
                <w:b w:val="0"/>
                <w:i w:val="0"/>
              </w:rPr>
              <w:t>Pago del IVA (modelo 303)</w:t>
            </w:r>
          </w:p>
        </w:tc>
        <w:tc>
          <w:tcPr>
            <w:tcW w:type="dxa" w:w="1392"/>
          </w:tcPr>
          <w:p>
            <w:r/>
          </w:p>
        </w:tc>
        <w:tc>
          <w:tcPr>
            <w:tcW w:type="dxa" w:w="1392"/>
          </w:tcPr>
          <w:p>
            <w:r/>
          </w:p>
        </w:tc>
        <w:tc>
          <w:tcPr>
            <w:tcW w:type="dxa" w:w="1392"/>
          </w:tcPr>
          <w:p>
            <w:r/>
          </w:p>
        </w:tc>
        <w:tc>
          <w:tcPr>
            <w:tcW w:type="dxa" w:w="1392"/>
          </w:tcPr>
          <w:p>
            <w:r/>
          </w:p>
        </w:tc>
        <w:tc>
          <w:tcPr>
            <w:tcW w:type="dxa" w:w="1392"/>
          </w:tcPr>
          <w:p>
            <w:r/>
          </w:p>
        </w:tc>
        <w:tc>
          <w:tcPr>
            <w:tcW w:type="dxa" w:w="1392"/>
          </w:tcPr>
          <w:p>
            <w:r/>
            <w:r>
              <w:rPr>
                <w:b w:val="0"/>
                <w:i w:val="0"/>
              </w:rPr>
              <w:t>0 €</w:t>
            </w:r>
          </w:p>
        </w:tc>
      </w:tr>
      <w:tr>
        <w:tc>
          <w:tcPr>
            <w:tcW w:type="dxa" w:w="1392"/>
          </w:tcPr>
          <w:p>
            <w:r/>
            <w:r>
              <w:rPr>
                <w:b w:val="0"/>
                <w:i w:val="0"/>
              </w:rPr>
              <w:t>FLUJO DEL MES</w:t>
            </w:r>
          </w:p>
        </w:tc>
        <w:tc>
          <w:tcPr>
            <w:tcW w:type="dxa" w:w="1392"/>
          </w:tcPr>
          <w:p>
            <w:r/>
            <w:r>
              <w:rPr>
                <w:b w:val="0"/>
                <w:i w:val="0"/>
              </w:rPr>
              <w:t>6.464 €</w:t>
            </w:r>
          </w:p>
        </w:tc>
        <w:tc>
          <w:tcPr>
            <w:tcW w:type="dxa" w:w="1392"/>
          </w:tcPr>
          <w:p>
            <w:r/>
            <w:r>
              <w:rPr>
                <w:b w:val="0"/>
                <w:i w:val="0"/>
              </w:rPr>
              <w:t>-4.824 €</w:t>
            </w:r>
          </w:p>
        </w:tc>
        <w:tc>
          <w:tcPr>
            <w:tcW w:type="dxa" w:w="1392"/>
          </w:tcPr>
          <w:p>
            <w:r/>
            <w:r>
              <w:rPr>
                <w:b w:val="0"/>
                <w:i w:val="0"/>
              </w:rPr>
              <w:t>5.690 €</w:t>
            </w:r>
          </w:p>
        </w:tc>
        <w:tc>
          <w:tcPr>
            <w:tcW w:type="dxa" w:w="1392"/>
          </w:tcPr>
          <w:p>
            <w:r/>
            <w:r>
              <w:rPr>
                <w:b w:val="0"/>
                <w:i w:val="0"/>
              </w:rPr>
              <w:t>5.792 €</w:t>
            </w:r>
          </w:p>
        </w:tc>
        <w:tc>
          <w:tcPr>
            <w:tcW w:type="dxa" w:w="1392"/>
          </w:tcPr>
          <w:p>
            <w:r/>
            <w:r>
              <w:rPr>
                <w:b w:val="0"/>
                <w:i w:val="0"/>
              </w:rPr>
              <w:t>5.402 €</w:t>
            </w:r>
          </w:p>
        </w:tc>
        <w:tc>
          <w:tcPr>
            <w:tcW w:type="dxa" w:w="1392"/>
          </w:tcPr>
          <w:p>
            <w:r/>
            <w:r>
              <w:rPr>
                <w:b w:val="0"/>
                <w:i w:val="0"/>
              </w:rPr>
              <w:t>33.097 €</w:t>
            </w:r>
          </w:p>
        </w:tc>
      </w:tr>
      <w:tr>
        <w:tc>
          <w:tcPr>
            <w:tcW w:type="dxa" w:w="1392"/>
          </w:tcPr>
          <w:p>
            <w:r/>
            <w:r>
              <w:rPr>
                <w:b w:val="0"/>
                <w:i w:val="0"/>
              </w:rPr>
              <w:t>SALDO ACUMULADO DE CAJA</w:t>
            </w:r>
          </w:p>
        </w:tc>
        <w:tc>
          <w:tcPr>
            <w:tcW w:type="dxa" w:w="1392"/>
          </w:tcPr>
          <w:p>
            <w:r/>
            <w:r>
              <w:rPr>
                <w:b w:val="0"/>
                <w:i w:val="0"/>
              </w:rPr>
              <w:t>68.579 €</w:t>
            </w:r>
          </w:p>
        </w:tc>
        <w:tc>
          <w:tcPr>
            <w:tcW w:type="dxa" w:w="1392"/>
          </w:tcPr>
          <w:p>
            <w:r/>
            <w:r>
              <w:rPr>
                <w:b w:val="0"/>
                <w:i w:val="0"/>
              </w:rPr>
              <w:t>61.037 €</w:t>
            </w:r>
          </w:p>
        </w:tc>
        <w:tc>
          <w:tcPr>
            <w:tcW w:type="dxa" w:w="1392"/>
          </w:tcPr>
          <w:p>
            <w:r/>
            <w:r>
              <w:rPr>
                <w:b w:val="0"/>
                <w:i w:val="0"/>
              </w:rPr>
              <w:t>77.847 €</w:t>
            </w:r>
          </w:p>
        </w:tc>
        <w:tc>
          <w:tcPr>
            <w:tcW w:type="dxa" w:w="1392"/>
          </w:tcPr>
          <w:p>
            <w:r/>
            <w:r>
              <w:rPr>
                <w:b w:val="0"/>
                <w:i w:val="0"/>
              </w:rPr>
              <w:t>76.617 €</w:t>
            </w:r>
          </w:p>
        </w:tc>
        <w:tc>
          <w:tcPr>
            <w:tcW w:type="dxa" w:w="1392"/>
          </w:tcPr>
          <w:p>
            <w:r/>
            <w:r>
              <w:rPr>
                <w:b w:val="0"/>
                <w:i w:val="0"/>
              </w:rPr>
              <w:t>95.213 €</w:t>
            </w:r>
          </w:p>
        </w:tc>
        <w:tc>
          <w:tcPr>
            <w:tcW w:type="dxa" w:w="1392"/>
          </w:tcPr>
          <w:p>
            <w:r/>
          </w:p>
        </w:tc>
      </w:tr>
    </w:tbl>
    <w:p/>
    <w:p>
      <w:pPr>
        <w:jc w:val="center"/>
      </w:pPr>
      <w:r>
        <w:rPr>
          <w:i/>
          <w:color w:val="444444"/>
        </w:rPr>
        <w:t>La cuenta de resultados dice si el negocio gana; esta hoja dice si llega a fin de mes. El mes en el que la caja toca fondo es la pregunta que hace un banco. Las compras del mes 1 salen a cero porque el supuesto es pago a 30 días: la primera factura de materia prima se paga en el mes 2, y el pedido de arranque ya está dentro de la inversión inicial como packaging.</w:t>
      </w:r>
    </w:p>
    <w:p>
      <w:r>
        <w:br w:type="page"/>
      </w:r>
    </w:p>
    <w:p>
      <w:pPr>
        <w:pStyle w:val="Heading1"/>
      </w:pPr>
      <w:r>
        <w:t>6. Riesgos y Escenarios</w:t>
      </w:r>
    </w:p>
    <w:p>
      <w:pPr>
        <w:pStyle w:val="Heading2"/>
      </w:pPr>
      <w:r>
        <w:t>Los tres escenarios</w:t>
      </w:r>
    </w:p>
    <w:p>
      <w:r>
        <w:rPr>
          <w:b w:val="0"/>
          <w:i w:val="0"/>
        </w:rPr>
        <w:t>El modelo trabaja con tres fotografías del mismo negocio: mismo local, mismo obrador, misma plantilla, mismos precios. La diferencia está sólo en cuánto se vende cada mes. En el escenario pesimista los ingresos se quedan en 211.120 € y el resultado neto cae a -42.784 €: números rojos de verdad, no un mal mes puntual. En el optimista el resultado neto sube a 97.579 €, con la misma estructura de costes por debajo. El escenario realista queda entre los dos extremos, y es el que hay que leer para tomar decisiones: el pesimista y el optimista son los supuestos que marcan los límites del rango, "qué pasa si va mal" y "qué pasa si va muy bien", no la previsión con la que se monta el negocio. El cuadro de abajo desglosa los tres con la misma plantilla y los mismos costes fijos.</w:t>
      </w:r>
    </w:p>
    <w:p>
      <w:r>
        <w:rPr>
          <w:b w:val="0"/>
          <w:i w:val="0"/>
        </w:rPr>
        <w:t>Por qué el pesimista duele tanto: la plantilla es la misma en los tres escenarios. Jefe Pastelero, Pastelero, Ayudante y las dos personas de Dependiente Vitrina cobran igual si el mostrador vende mucho o poco, y el alquiler del local y la cuota del equipamiento tampoco bajan un euro. Por eso el coste de personal sobre ventas se dispara al 43,9 % en el escenario pesimista: no es que el equipo cueste más, es que las ventas con las que se reparte ese coste fijo son menos. Un negocio con estructura fija alta no amortigua una mala racha bajando gastos a la vez que bajan los ingresos: el golpe se lo lleva entero el resultado neto.</w:t>
      </w:r>
    </w:p>
    <w:p>
      <w:pPr>
        <w:pStyle w:val="Heading2"/>
      </w:pPr>
      <w:r>
        <w:t>Los riesgos de apertura y su mitigación</w:t>
      </w:r>
    </w:p>
    <w:p>
      <w:r>
        <w:rPr>
          <w:b w:val="0"/>
          <w:i w:val="0"/>
        </w:rPr>
        <w:t>Antes de facturar el primer euro hay cuatro riesgos que pueden retrasar la apertura semanas, y los cuatro tienen fecha:</w:t>
      </w:r>
    </w:p>
    <w:p>
      <w:pPr>
        <w:pStyle w:val="ListBullet"/>
      </w:pPr>
      <w:r>
        <w:rPr>
          <w:b w:val="0"/>
          <w:i w:val="0"/>
        </w:rPr>
        <w:t>Que el local elegido no admita salida de humos.</w:t>
      </w:r>
    </w:p>
    <w:p>
      <w:pPr>
        <w:pStyle w:val="ListBullet"/>
      </w:pPr>
      <w:r>
        <w:rPr>
          <w:b w:val="0"/>
          <w:i w:val="0"/>
        </w:rPr>
        <w:t>Que la licencia se retrase en el ayuntamiento.</w:t>
      </w:r>
    </w:p>
    <w:p>
      <w:pPr>
        <w:pStyle w:val="ListBullet"/>
      </w:pPr>
      <w:r>
        <w:rPr>
          <w:b w:val="0"/>
          <w:i w:val="0"/>
        </w:rPr>
        <w:t>Que el equipamiento llegue tarde al obrador.</w:t>
      </w:r>
    </w:p>
    <w:p>
      <w:pPr>
        <w:pStyle w:val="ListBullet"/>
      </w:pPr>
      <w:r>
        <w:rPr>
          <w:b w:val="0"/>
          <w:i w:val="0"/>
        </w:rPr>
        <w:t>Que la obra se desvíe del presupuesto inicial.</w:t>
      </w:r>
    </w:p>
    <w:p>
      <w:r>
        <w:rPr>
          <w:b w:val="0"/>
          <w:i w:val="0"/>
        </w:rPr>
        <w:t>La mitigación de los tres primeros pasa por el mismo sitio: la hoja de equipamiento y proveedores del pack, que recoge el plazo de entrega de cada máquina y deja ver cuál manda en el calendario de apertura. De todo el listado, el plazo más largo es el de la cámara de fermentación controlada, el roll-in: nueve semanas, y es la primera que hay que encargar. En este cronograma no gobierna la fecha de apertura -es el único hito con holgura- precisamente porque se pide en paralelo a la obra; el día que se pida tarde, pasa a gobernarla. El desvío de presupuesto de obra se sigue con la propia calculadora de inversión del pack, comparando cada partida contra lo presupuestado en vez de esperar a la factura final para descubrirlo.</w:t>
      </w:r>
    </w:p>
    <w:p>
      <w:pPr>
        <w:pStyle w:val="Heading2"/>
      </w:pPr>
      <w:r>
        <w:t>Los riesgos de explotación</w:t>
      </w:r>
    </w:p>
    <w:p>
      <w:r>
        <w:rPr>
          <w:b w:val="0"/>
          <w:i w:val="0"/>
        </w:rPr>
        <w:t>Ya con la persiana subida, los riesgos cambian de naturaleza. Cuatro pesan más que el resto:</w:t>
      </w:r>
    </w:p>
    <w:p>
      <w:pPr>
        <w:pStyle w:val="ListBullet"/>
      </w:pPr>
      <w:r>
        <w:rPr>
          <w:b w:val="0"/>
          <w:i w:val="0"/>
        </w:rPr>
        <w:t>Que la campaña grande no quepa en el obrador.</w:t>
      </w:r>
    </w:p>
    <w:p>
      <w:pPr>
        <w:pStyle w:val="ListBullet"/>
      </w:pPr>
      <w:r>
        <w:rPr>
          <w:b w:val="0"/>
          <w:i w:val="0"/>
        </w:rPr>
        <w:t>Que el coste de personal se coma el margen.</w:t>
      </w:r>
    </w:p>
    <w:p>
      <w:pPr>
        <w:pStyle w:val="ListBullet"/>
      </w:pPr>
      <w:r>
        <w:rPr>
          <w:b w:val="0"/>
          <w:i w:val="0"/>
        </w:rPr>
        <w:t>Que la materia prima suba de precio.</w:t>
      </w:r>
    </w:p>
    <w:p>
      <w:pPr>
        <w:pStyle w:val="ListBullet"/>
      </w:pPr>
      <w:r>
        <w:rPr>
          <w:b w:val="0"/>
          <w:i w:val="0"/>
        </w:rPr>
        <w:t>Que no se encuentre personal cualificado cuando hace falta.</w:t>
      </w:r>
    </w:p>
    <w:p>
      <w:r>
        <w:rPr>
          <w:b w:val="0"/>
          <w:i w:val="0"/>
        </w:rPr>
        <w:t>La hoja de capacidad frente a demanda de pico de la calculadora de estacionalidad marca 6 campañas que el obrador, tal como está dimensionado, no aguanta sin ajustar turnos o subcontratar parte de la producción: saberlo antes de la campaña evita prometer un volumen que luego no sale del horno. El coste de personal se vigila contra ese mismo 43,9 % del escenario pesimista: si la vitrina se acerca a esa cifra sin estar en el peor mes del año, es la señal de que el cuadrante está sobredimensionado para lo que se vende. De materia prima no hay un precio fijo que dar aquí, pero sí hay que tener presente el caso de Pastelerías Pomar, obrador familiar de cuarta generación con 47 empleados: su dueño explica que en temporada alta la producción no sube un poco, salta a un múltiplo muy superior al del resto del año (Matías, dueño de una pastelería en España: montar un obrador cuesta... y la rentabilidad - El..., 2025-11-21), y ese salto es justo el que puede dejar corto un obrador dimensionado sólo para el día a día. Para la falta de personal, la mitigación no es un número sino un calendario: abrir la búsqueda con margen respecto a la fecha de la campaña, no cuando la campaña ya ha empezado.</w:t>
      </w:r>
    </w:p>
    <w:p>
      <w:pPr>
        <w:pStyle w:val="Heading2"/>
      </w:pPr>
      <w:r>
        <w:t>El plan de contingencia</w:t>
      </w:r>
    </w:p>
    <w:p>
      <w:r>
        <w:rPr>
          <w:b w:val="0"/>
          <w:i w:val="0"/>
        </w:rPr>
        <w:t>Si el escenario pesimista llega a materializarse, las palancas se activan en este orden: primero se recortan las referencias de margen bajo de la carta, después se ajusta el cuadrante a la venta real, y sólo si con eso no basta se renegocia el plazo de la deuda. No se tocan las tres a la vez, y no se empieza por la deuda: es la palanca que menos margen de maniobra deja después de usarla.</w:t>
      </w:r>
    </w:p>
    <w:p>
      <w:r>
        <w:rPr>
          <w:b w:val="0"/>
          <w:i w:val="0"/>
        </w:rPr>
        <w:t>Todo lo anterior es un caso completo relleno para que se use como plantilla del propio negocio: ninguna de sus cifras es una previsión de los resultados de quien lo use, es el modelo con el que cada uno calcula los suyos.</w:t>
      </w:r>
    </w:p>
    <w:p>
      <w:r>
        <w:rPr>
          <w:b/>
          <w:i w:val="0"/>
        </w:rPr>
        <w:t>Los tres escenarios, con la misma plantilla y los mismos costes fijos (plan-financiero-3-anos-pasteleria.xlsx,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211.120 €</w:t>
            </w:r>
          </w:p>
        </w:tc>
        <w:tc>
          <w:tcPr>
            <w:tcW w:type="dxa" w:w="2436"/>
          </w:tcPr>
          <w:p>
            <w:r/>
            <w:r>
              <w:rPr>
                <w:b w:val="0"/>
                <w:i w:val="0"/>
              </w:rPr>
              <w:t>322.198 €</w:t>
            </w:r>
          </w:p>
        </w:tc>
        <w:tc>
          <w:tcPr>
            <w:tcW w:type="dxa" w:w="2436"/>
          </w:tcPr>
          <w:p>
            <w:r/>
            <w:r>
              <w:rPr>
                <w:b w:val="0"/>
                <w:i w:val="0"/>
              </w:rPr>
              <w:t>442.860 €</w:t>
            </w:r>
          </w:p>
        </w:tc>
      </w:tr>
      <w:tr>
        <w:tc>
          <w:tcPr>
            <w:tcW w:type="dxa" w:w="2436"/>
          </w:tcPr>
          <w:p>
            <w:r/>
            <w:r>
              <w:rPr>
                <w:b w:val="0"/>
                <w:i w:val="0"/>
              </w:rPr>
              <w:t>Coste de ventas (regla única del food cost)</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TOTAL COSTES VARIABLES</w:t>
            </w:r>
          </w:p>
        </w:tc>
        <w:tc>
          <w:tcPr>
            <w:tcW w:type="dxa" w:w="2436"/>
          </w:tcPr>
          <w:p>
            <w:r/>
            <w:r>
              <w:rPr>
                <w:b w:val="0"/>
                <w:i w:val="0"/>
              </w:rPr>
              <w:t>67.558 €</w:t>
            </w:r>
          </w:p>
        </w:tc>
        <w:tc>
          <w:tcPr>
            <w:tcW w:type="dxa" w:w="2436"/>
          </w:tcPr>
          <w:p>
            <w:r/>
            <w:r>
              <w:rPr>
                <w:b w:val="0"/>
                <w:i w:val="0"/>
              </w:rPr>
              <w:t>103.103 €</w:t>
            </w:r>
          </w:p>
        </w:tc>
        <w:tc>
          <w:tcPr>
            <w:tcW w:type="dxa" w:w="2436"/>
          </w:tcPr>
          <w:p>
            <w:r/>
            <w:r>
              <w:rPr>
                <w:b w:val="0"/>
                <w:i w:val="0"/>
              </w:rPr>
              <w:t>141.715 €</w:t>
            </w:r>
          </w:p>
        </w:tc>
      </w:tr>
      <w:tr>
        <w:tc>
          <w:tcPr>
            <w:tcW w:type="dxa" w:w="2436"/>
          </w:tcPr>
          <w:p>
            <w:r/>
            <w:r>
              <w:rPr>
                <w:b w:val="0"/>
                <w:i w:val="0"/>
              </w:rPr>
              <w:t>MARGEN BRUTO</w:t>
            </w:r>
          </w:p>
        </w:tc>
        <w:tc>
          <w:tcPr>
            <w:tcW w:type="dxa" w:w="2436"/>
          </w:tcPr>
          <w:p>
            <w:r/>
            <w:r>
              <w:rPr>
                <w:b w:val="0"/>
                <w:i w:val="0"/>
              </w:rPr>
              <w:t>143.562 €</w:t>
            </w:r>
          </w:p>
        </w:tc>
        <w:tc>
          <w:tcPr>
            <w:tcW w:type="dxa" w:w="2436"/>
          </w:tcPr>
          <w:p>
            <w:r/>
            <w:r>
              <w:rPr>
                <w:b w:val="0"/>
                <w:i w:val="0"/>
              </w:rPr>
              <w:t>219.095 €</w:t>
            </w:r>
          </w:p>
        </w:tc>
        <w:tc>
          <w:tcPr>
            <w:tcW w:type="dxa" w:w="2436"/>
          </w:tcPr>
          <w:p>
            <w:r/>
            <w:r>
              <w:rPr>
                <w:b w:val="0"/>
                <w:i w:val="0"/>
              </w:rPr>
              <w:t>301.145 €</w:t>
            </w:r>
          </w:p>
        </w:tc>
      </w:tr>
      <w:tr>
        <w:tc>
          <w:tcPr>
            <w:tcW w:type="dxa" w:w="2436"/>
          </w:tcPr>
          <w:p>
            <w:r/>
            <w:r>
              <w:rPr>
                <w:b w:val="0"/>
                <w:i w:val="0"/>
              </w:rPr>
              <w:t>COSTES FIJOS (los del año de crucero del P&amp;L)</w:t>
            </w:r>
          </w:p>
        </w:tc>
        <w:tc>
          <w:tcPr>
            <w:tcW w:type="dxa" w:w="2436"/>
          </w:tcPr>
          <w:p>
            <w:r/>
            <w:r>
              <w:rPr>
                <w:b w:val="0"/>
                <w:i w:val="0"/>
              </w:rPr>
              <w:t>186.346 €</w:t>
            </w:r>
          </w:p>
        </w:tc>
        <w:tc>
          <w:tcPr>
            <w:tcW w:type="dxa" w:w="2436"/>
          </w:tcPr>
          <w:p>
            <w:r/>
            <w:r>
              <w:rPr>
                <w:b w:val="0"/>
                <w:i w:val="0"/>
              </w:rPr>
              <w:t>186.346 €</w:t>
            </w:r>
          </w:p>
        </w:tc>
        <w:tc>
          <w:tcPr>
            <w:tcW w:type="dxa" w:w="2436"/>
          </w:tcPr>
          <w:p>
            <w:r/>
            <w:r>
              <w:rPr>
                <w:b w:val="0"/>
                <w:i w:val="0"/>
              </w:rPr>
              <w:t>186.346 €</w:t>
            </w:r>
          </w:p>
        </w:tc>
      </w:tr>
      <w:tr>
        <w:tc>
          <w:tcPr>
            <w:tcW w:type="dxa" w:w="2436"/>
          </w:tcPr>
          <w:p>
            <w:r/>
            <w:r>
              <w:rPr>
                <w:b w:val="0"/>
                <w:i w:val="0"/>
              </w:rPr>
              <w:t>RESULTADO ANTES DE IMPUESTOS</w:t>
            </w:r>
          </w:p>
        </w:tc>
        <w:tc>
          <w:tcPr>
            <w:tcW w:type="dxa" w:w="2436"/>
          </w:tcPr>
          <w:p>
            <w:r/>
            <w:r>
              <w:rPr>
                <w:b w:val="0"/>
                <w:i w:val="0"/>
              </w:rPr>
              <w:t>-42.784 €</w:t>
            </w:r>
          </w:p>
        </w:tc>
        <w:tc>
          <w:tcPr>
            <w:tcW w:type="dxa" w:w="2436"/>
          </w:tcPr>
          <w:p>
            <w:r/>
            <w:r>
              <w:rPr>
                <w:b w:val="0"/>
                <w:i w:val="0"/>
              </w:rPr>
              <w:t>32.749 €</w:t>
            </w:r>
          </w:p>
        </w:tc>
        <w:tc>
          <w:tcPr>
            <w:tcW w:type="dxa" w:w="2436"/>
          </w:tcPr>
          <w:p>
            <w:r/>
            <w:r>
              <w:rPr>
                <w:b w:val="0"/>
                <w:i w:val="0"/>
              </w:rPr>
              <w:t>114.799 €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4.912 €</w:t>
            </w:r>
          </w:p>
        </w:tc>
        <w:tc>
          <w:tcPr>
            <w:tcW w:type="dxa" w:w="2436"/>
          </w:tcPr>
          <w:p>
            <w:r/>
            <w:r>
              <w:rPr>
                <w:b w:val="0"/>
                <w:i w:val="0"/>
              </w:rPr>
              <w:t>17.220 €</w:t>
            </w:r>
          </w:p>
        </w:tc>
      </w:tr>
      <w:tr>
        <w:tc>
          <w:tcPr>
            <w:tcW w:type="dxa" w:w="2436"/>
          </w:tcPr>
          <w:p>
            <w:r/>
            <w:r>
              <w:rPr>
                <w:b w:val="0"/>
                <w:i w:val="0"/>
              </w:rPr>
              <w:t>RESULTADO NETO</w:t>
            </w:r>
          </w:p>
        </w:tc>
        <w:tc>
          <w:tcPr>
            <w:tcW w:type="dxa" w:w="2436"/>
          </w:tcPr>
          <w:p>
            <w:r/>
            <w:r>
              <w:rPr>
                <w:b w:val="0"/>
                <w:i w:val="0"/>
              </w:rPr>
              <w:t>-42.784 €</w:t>
            </w:r>
          </w:p>
        </w:tc>
        <w:tc>
          <w:tcPr>
            <w:tcW w:type="dxa" w:w="2436"/>
          </w:tcPr>
          <w:p>
            <w:r/>
            <w:r>
              <w:rPr>
                <w:b w:val="0"/>
                <w:i w:val="0"/>
              </w:rPr>
              <w:t>27.836 €</w:t>
            </w:r>
          </w:p>
        </w:tc>
        <w:tc>
          <w:tcPr>
            <w:tcW w:type="dxa" w:w="2436"/>
          </w:tcPr>
          <w:p>
            <w:r/>
            <w:r>
              <w:rPr>
                <w:b w:val="0"/>
                <w:i w:val="0"/>
              </w:rPr>
              <w:t>97.579 €</w:t>
            </w:r>
          </w:p>
        </w:tc>
      </w:tr>
      <w:tr>
        <w:tc>
          <w:tcPr>
            <w:tcW w:type="dxa" w:w="2436"/>
          </w:tcPr>
          <w:p>
            <w:r/>
            <w:r>
              <w:rPr>
                <w:b w:val="0"/>
                <w:i w:val="0"/>
              </w:rPr>
              <w:t>Margen neto (%)</w:t>
            </w:r>
          </w:p>
        </w:tc>
        <w:tc>
          <w:tcPr>
            <w:tcW w:type="dxa" w:w="2436"/>
          </w:tcPr>
          <w:p>
            <w:r/>
            <w:r>
              <w:rPr>
                <w:b w:val="0"/>
                <w:i w:val="0"/>
              </w:rPr>
              <w:t>-20,3 %</w:t>
            </w:r>
          </w:p>
        </w:tc>
        <w:tc>
          <w:tcPr>
            <w:tcW w:type="dxa" w:w="2436"/>
          </w:tcPr>
          <w:p>
            <w:r/>
            <w:r>
              <w:rPr>
                <w:b w:val="0"/>
                <w:i w:val="0"/>
              </w:rPr>
              <w:t>8,6 %</w:t>
            </w:r>
          </w:p>
        </w:tc>
        <w:tc>
          <w:tcPr>
            <w:tcW w:type="dxa" w:w="2436"/>
          </w:tcPr>
          <w:p>
            <w:r/>
            <w:r>
              <w:rPr>
                <w:b w:val="0"/>
                <w:i w:val="0"/>
              </w:rPr>
              <w:t>22,0 %</w:t>
            </w:r>
          </w:p>
        </w:tc>
      </w:tr>
    </w:tbl>
    <w:p/>
    <w:p>
      <w:pPr>
        <w:jc w:val="center"/>
      </w:pPr>
      <w:r>
        <w:rPr>
          <w:i/>
          <w:color w:val="444444"/>
        </w:rPr>
        <w:t>Los dos extremos son supuestos; la columna del medio lee el año de crucero del plan. Los costes fijos no cambian entre escenarios porque la plantilla es la misma.</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1.0.1 · septiembre de 2026 · aichef.pro/guia-pasteleria-obrador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Boletín Oficial de la Comunidad de Madrid, Diari Oficial de la Generalitat de Catalunya, Diari Oficial de la Generalitat Valenciana y el Código Técnico de la Edificación- el 10 de septiembre de 2026: cada afirmación legal lleva su norma y su artículo para que puedas comprobarla y para que sepas dónde mirar cuando cambie. Lo que depende de tu ayuntamiento -la ordenanza de humos, la de ruido, el planeamiento urbanístico, las tasas- cambia en cada uno de los municipios de España y aquí se trata como una pregunta que tienes que hacer, nunca como un dato. Las cuatro comunidades autónomas que aparecen en los cuadros son EJEMPLOS: comprueba el decreto de la tuya. Las superficies, importes, precios, gramajes, márgenes y plazos del caso que recorre el documento son valores de ejemplo de una pastelería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Modelo de una Pastelería</dc:title>
  <dc:subject>Bonus del pack Cómo Montar una Pastelería · Versión 1.0 · septiembre 2026</dc:subject>
  <dc:creator>AI Chef Pro</dc:creator>
  <cp:keywords/>
  <dc:description>AI Chef Pro · aichef.pro</dc:description>
  <cp:lastModifiedBy>AI Chef Pro</cp:lastModifiedBy>
  <cp:revision>1</cp:revision>
  <dcterms:created xsi:type="dcterms:W3CDTF">2026-10-30T23:16:31Z</dcterms:created>
  <dcterms:modified xsi:type="dcterms:W3CDTF">2026-10-30T23:16:31Z</dcterms:modified>
  <cp:category>Plantilla profesional</cp:category>
</cp:coreProperties>
</file>