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1A1A1A"/>
          <w:sz w:val="60"/>
        </w:rPr>
        <w:t>BONUS GUIDE</w:t>
      </w:r>
    </w:p>
    <w:p>
      <w:pPr>
        <w:spacing w:after="80"/>
        <w:jc w:val="center"/>
      </w:pPr>
      <w:r>
        <w:rPr>
          <w:rFonts w:ascii="Georgia" w:hAnsi="Georgia"/>
          <w:b w:val="0"/>
          <w:color w:val="C6A664"/>
          <w:sz w:val="48"/>
        </w:rPr>
        <w:t>US · UK · Canada · Australia</w:t>
      </w:r>
    </w:p>
    <w:p>
      <w:pPr>
        <w:jc w:val="center"/>
      </w:pPr>
      <w:r>
        <w:rPr>
          <w:rFonts w:ascii="Georgia" w:hAnsi="Georgia"/>
          <w:b w:val="0"/>
          <w:color w:val="C6A664"/>
          <w:sz w:val="56"/>
        </w:rPr>
        <w:t>Hospitality Equivalents Guide</w:t>
      </w:r>
    </w:p>
    <w:p>
      <w:pPr>
        <w:jc w:val="center"/>
      </w:pPr>
      <w:r>
        <w:rPr>
          <w:rFonts w:ascii="Georgia" w:hAnsi="Georgia"/>
          <w:b w:val="0"/>
          <w:color w:val="C6A664"/>
          <w:sz w:val="28"/>
        </w:rPr>
        <w:t>━━━━━━━━━━━━━━━━━━━━━━━━━━━━━━</w:t>
      </w:r>
    </w:p>
    <w:p>
      <w:pPr>
        <w:spacing w:before="480"/>
        <w:jc w:val="center"/>
      </w:pPr>
      <w:r>
        <w:rPr>
          <w:rFonts w:ascii="Calibri" w:hAnsi="Calibri"/>
          <w:b w:val="0"/>
          <w:color w:val="6B6B6B"/>
          <w:sz w:val="28"/>
        </w:rPr>
        <w:t>Use any AI Chef Pro kit in the US, UK, Canada and Australia</w:t>
      </w:r>
    </w:p>
    <w:p>
      <w:pPr>
        <w:spacing w:before="120"/>
        <w:jc w:val="center"/>
      </w:pPr>
      <w:r>
        <w:rPr>
          <w:rFonts w:ascii="Calibri" w:hAnsi="Calibri"/>
          <w:b/>
          <w:color w:val="1A1A1A"/>
          <w:sz w:val="24"/>
        </w:rPr>
        <w:t>Bonus included with every English edition</w:t>
      </w:r>
    </w:p>
    <w:p/>
    <w:p/>
    <w:p/>
    <w:p/>
    <w:p/>
    <w:p>
      <w:pPr>
        <w:jc w:val="center"/>
      </w:pPr>
      <w:r>
        <w:rPr>
          <w:rFonts w:ascii="Georgia" w:hAnsi="Georgia"/>
          <w:b/>
          <w:color w:val="1A1A1A"/>
          <w:sz w:val="28"/>
        </w:rPr>
        <w:t>AI Chef Pro</w:t>
      </w:r>
    </w:p>
    <w:p>
      <w:pPr>
        <w:jc w:val="center"/>
      </w:pPr>
      <w:r>
        <w:rPr>
          <w:rFonts w:ascii="Calibri" w:hAnsi="Calibri"/>
          <w:b w:val="0"/>
          <w:color w:val="C6A664"/>
          <w:sz w:val="22"/>
        </w:rPr>
        <w:t>aichef.pro</w:t>
      </w:r>
    </w:p>
    <w:p>
      <w:pPr>
        <w:jc w:val="center"/>
      </w:pPr>
      <w:r>
        <w:rPr>
          <w:rFonts w:ascii="Calibri" w:hAnsi="Calibri"/>
          <w:b w:val="0"/>
          <w:color w:val="6B6B6B"/>
          <w:sz w:val="22"/>
        </w:rPr>
        <w:t>Updated October 2026</w:t>
      </w:r>
    </w:p>
    <w:p>
      <w:r>
        <w:br w:type="page"/>
      </w:r>
    </w:p>
    <w:p>
      <w:pPr>
        <w:jc w:val="center"/>
      </w:pPr>
      <w:r>
        <w:rPr>
          <w:rFonts w:ascii="Georgia" w:hAnsi="Georgia"/>
          <w:b/>
          <w:color w:val="1A1A1A"/>
          <w:sz w:val="28"/>
        </w:rPr>
        <w:t>LEGAL NOTICE</w:t>
      </w:r>
    </w:p>
    <w:p>
      <w:pPr>
        <w:jc w:val="both"/>
      </w:pPr>
      <w:r>
        <w:rPr>
          <w:color w:val="6B6B6B"/>
          <w:sz w:val="18"/>
        </w:rPr>
        <w:t xml:space="preserve">This guide was prepared by </w:t>
      </w:r>
      <w:hyperlink r:id="rId10">
        <w:r>
          <w:rPr>
            <w:color w:val="8A6D2B"/>
            <w:u w:val="single"/>
            <w:sz w:val="18"/>
          </w:rPr>
          <w:t xml:space="preserve">John Guerrero</w:t>
        </w:r>
      </w:hyperlink>
      <w:r>
        <w:rPr>
          <w:color w:val="6B6B6B"/>
          <w:sz w:val="18"/>
        </w:rPr>
        <w:t xml:space="preserve"> for AI Chef Pro as a practical reference for restaurant, bar, cafe, bakery, catering and food truck operators. It is not legal, tax, employment or food safety advice. Rules change and they vary by state, province, territory, county, city and council: before you print a menu, sign a contract, run payroll or open your doors, check every figure with the official source listed in section 10, your accountant or your local authority. The legal figures in this guide were checked against official government sources in October 2026.</w:t>
      </w:r>
    </w:p>
    <w:p>
      <w:pPr>
        <w:spacing w:after="360"/>
        <w:jc w:val="center"/>
      </w:pPr>
      <w:r>
        <w:rPr>
          <w:rFonts w:ascii="Calibri" w:hAnsi="Calibri"/>
          <w:b w:val="0"/>
          <w:color w:val="C6A664"/>
          <w:sz w:val="18"/>
        </w:rPr>
        <w:t>© 2026 AI Chef Pro — aichef.pro</w:t>
      </w:r>
    </w:p>
    <w:p>
      <w:pPr>
        <w:spacing w:before="240"/>
        <w:jc w:val="center"/>
      </w:pPr>
      <w:r>
        <w:rPr>
          <w:rFonts w:ascii="Georgia" w:hAnsi="Georgia"/>
          <w:b/>
          <w:color w:val="1A1A1A"/>
          <w:sz w:val="44"/>
        </w:rPr>
        <w:t>CONTENTS</w:t>
      </w:r>
    </w:p>
    <w:p/>
    <w:p>
      <w:pPr>
        <w:spacing w:after="40"/>
      </w:pPr>
      <w:r>
        <w:rPr>
          <w:rFonts w:ascii="Georgia" w:hAnsi="Georgia"/>
          <w:color w:val="1A1A1A"/>
          <w:sz w:val="25"/>
        </w:rPr>
        <w:t>1.  How to Use This Guide with Your Kit</w:t>
      </w:r>
    </w:p>
    <w:p>
      <w:pPr>
        <w:spacing w:after="40"/>
      </w:pPr>
      <w:r>
        <w:rPr>
          <w:rFonts w:ascii="Georgia" w:hAnsi="Georgia"/>
          <w:color w:val="1A1A1A"/>
          <w:sz w:val="25"/>
        </w:rPr>
        <w:t>2.  Kitchen &amp; Menu Terms</w:t>
      </w:r>
    </w:p>
    <w:p>
      <w:pPr>
        <w:spacing w:after="40"/>
      </w:pPr>
      <w:r>
        <w:rPr>
          <w:rFonts w:ascii="Georgia" w:hAnsi="Georgia"/>
          <w:color w:val="1A1A1A"/>
          <w:sz w:val="25"/>
        </w:rPr>
        <w:t>3.  Management &amp; Finance Terms</w:t>
      </w:r>
    </w:p>
    <w:p>
      <w:pPr>
        <w:spacing w:after="40"/>
      </w:pPr>
      <w:r>
        <w:rPr>
          <w:rFonts w:ascii="Georgia" w:hAnsi="Georgia"/>
          <w:color w:val="1A1A1A"/>
          <w:sz w:val="25"/>
        </w:rPr>
        <w:t>4.  Money &amp; Tax</w:t>
      </w:r>
    </w:p>
    <w:p>
      <w:pPr>
        <w:spacing w:after="40"/>
      </w:pPr>
      <w:r>
        <w:rPr>
          <w:rFonts w:ascii="Georgia" w:hAnsi="Georgia"/>
          <w:color w:val="1A1A1A"/>
          <w:sz w:val="25"/>
        </w:rPr>
        <w:t>5.  Food Safety</w:t>
      </w:r>
    </w:p>
    <w:p>
      <w:pPr>
        <w:spacing w:after="40"/>
      </w:pPr>
      <w:r>
        <w:rPr>
          <w:rFonts w:ascii="Georgia" w:hAnsi="Georgia"/>
          <w:color w:val="1A1A1A"/>
          <w:sz w:val="25"/>
        </w:rPr>
        <w:t>6.  Staff &amp; Labor</w:t>
      </w:r>
    </w:p>
    <w:p>
      <w:pPr>
        <w:spacing w:after="40"/>
      </w:pPr>
      <w:r>
        <w:rPr>
          <w:rFonts w:ascii="Georgia" w:hAnsi="Georgia"/>
          <w:color w:val="1A1A1A"/>
          <w:sz w:val="25"/>
        </w:rPr>
        <w:t>7.  Alcohol</w:t>
      </w:r>
    </w:p>
    <w:p>
      <w:pPr>
        <w:spacing w:after="40"/>
      </w:pPr>
      <w:r>
        <w:rPr>
          <w:rFonts w:ascii="Georgia" w:hAnsi="Georgia"/>
          <w:color w:val="1A1A1A"/>
          <w:sz w:val="25"/>
        </w:rPr>
        <w:t>8.  Business Setup</w:t>
      </w:r>
    </w:p>
    <w:p>
      <w:pPr>
        <w:spacing w:after="40"/>
      </w:pPr>
      <w:r>
        <w:rPr>
          <w:rFonts w:ascii="Georgia" w:hAnsi="Georgia"/>
          <w:color w:val="1A1A1A"/>
          <w:sz w:val="25"/>
        </w:rPr>
        <w:t>9.  Units Cheat Sheet</w:t>
      </w:r>
    </w:p>
    <w:p>
      <w:pPr>
        <w:spacing w:after="40"/>
      </w:pPr>
      <w:r>
        <w:rPr>
          <w:rFonts w:ascii="Georgia" w:hAnsi="Georgia"/>
          <w:color w:val="1A1A1A"/>
          <w:sz w:val="25"/>
        </w:rPr>
        <w:t>10.  Where to Check</w:t>
      </w:r>
    </w:p>
    <w:p>
      <w:pPr>
        <w:spacing w:before="280"/>
      </w:pPr>
      <w:r>
        <w:rPr>
          <w:i/>
          <w:color w:val="6B6B6B"/>
          <w:sz w:val="20"/>
        </w:rPr>
        <w:t>How to read the tables: the first column says what the thing is; the next four columns give the word or the rule in the US, the UK, Canada and Australia. Local words appear in quotation marks.</w:t>
      </w:r>
    </w:p>
    <w:p>
      <w:pPr>
        <w:pStyle w:val="Heading1"/>
        <w:keepNext/>
        <w:pageBreakBefore/>
        <w:spacing w:before="0"/>
      </w:pPr>
      <w:r>
        <w:t>1. How to Use This Guide with Your Kit</w:t>
      </w:r>
    </w:p>
    <w:p>
      <w:pPr>
        <w:keepNext/>
      </w:pPr>
      <w:r>
        <w:rPr>
          <w:color w:val="C6A664"/>
          <w:sz w:val="16"/>
        </w:rPr>
        <w:t>━━━━━━━━━━━━━━━━━━━━━━━━━━━━━━━━━━━━━━━━━━━━━━━━━━</w:t>
      </w:r>
    </w:p>
    <w:p>
      <w:pPr>
        <w:spacing w:line="288" w:lineRule="auto"/>
      </w:pPr>
      <w:r>
        <w:t>Every AI Chef Pro English edition is written in US English with US defaults: prices in dollars, sales tax added on top of the menu price, temperatures in °F, weights in pounds and ounces, and overtime after 40 hours a week. That is the starting point, not a limit. The numbers that change from one country to another live in editable input cells (usually the green ones), so a restaurant owner in Manchester, Toronto or Melbourne can make the kit their own in a few minutes.</w:t>
      </w:r>
    </w:p>
    <w:p>
      <w:pPr>
        <w:spacing w:line="288" w:lineRule="auto"/>
      </w:pPr>
      <w:r>
        <w:t xml:space="preserve">This guide tells you </w:t>
      </w:r>
      <w:r>
        <w:rPr>
          <w:b/>
        </w:rPr>
        <w:t>what to type in those cells</w:t>
      </w:r>
      <w:r>
        <w:t xml:space="preserve"> and </w:t>
      </w:r>
      <w:r>
        <w:rPr>
          <w:b/>
        </w:rPr>
        <w:t>which words your team will use instead</w:t>
      </w:r>
      <w:r>
        <w:t>. Work through it in this order: money and tax first, then wages and employer costs, then units and temperatures, and finally the labels you want to rename.</w:t>
      </w:r>
    </w:p>
    <w:p>
      <w:pPr>
        <w:pStyle w:val="Heading2"/>
        <w:spacing w:before="280"/>
      </w:pPr>
      <w:r>
        <w:t>The cells to change, country by country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800"/>
        <w:gridCol w:w="1828"/>
        <w:gridCol w:w="1828"/>
        <w:gridCol w:w="1828"/>
        <w:gridCol w:w="1828"/>
      </w:tblGrid>
      <w:tr>
        <w:trPr>
          <w:tblHeader w:val="true"/>
          <w:cantSplit/>
        </w:trPr>
        <w:tc>
          <w:tcPr>
            <w:tcW w:type="dxa" w:w="1800"/>
            <w:shd w:val="clear" w:color="auto" w:fill="1A1A1A"/>
          </w:tcPr>
          <w:p>
            <w:pPr>
              <w:spacing w:before="0" w:after="0" w:line="240" w:lineRule="auto"/>
            </w:pPr>
            <w:r>
              <w:rPr>
                <w:b/>
                <w:color w:val="FFFFFF"/>
                <w:sz w:val="16"/>
              </w:rPr>
              <w:t>Input cell in the kit</w:t>
            </w:r>
          </w:p>
        </w:tc>
        <w:tc>
          <w:tcPr>
            <w:tcW w:type="dxa" w:w="1829"/>
            <w:shd w:val="clear" w:color="auto" w:fill="1A1A1A"/>
          </w:tcPr>
          <w:p>
            <w:pPr>
              <w:spacing w:before="0" w:after="0" w:line="240" w:lineRule="auto"/>
            </w:pPr>
            <w:r>
              <w:rPr>
                <w:b/>
                <w:color w:val="FFFFFF"/>
                <w:sz w:val="16"/>
              </w:rPr>
              <w:t>US (default)</w:t>
            </w:r>
          </w:p>
        </w:tc>
        <w:tc>
          <w:tcPr>
            <w:tcW w:type="dxa" w:w="1829"/>
            <w:shd w:val="clear" w:color="auto" w:fill="1A1A1A"/>
          </w:tcPr>
          <w:p>
            <w:pPr>
              <w:spacing w:before="0" w:after="0" w:line="240" w:lineRule="auto"/>
            </w:pPr>
            <w:r>
              <w:rPr>
                <w:b/>
                <w:color w:val="FFFFFF"/>
                <w:sz w:val="16"/>
              </w:rPr>
              <w:t>UK</w:t>
            </w:r>
          </w:p>
        </w:tc>
        <w:tc>
          <w:tcPr>
            <w:tcW w:type="dxa" w:w="1829"/>
            <w:shd w:val="clear" w:color="auto" w:fill="1A1A1A"/>
          </w:tcPr>
          <w:p>
            <w:pPr>
              <w:spacing w:before="0" w:after="0" w:line="240" w:lineRule="auto"/>
            </w:pPr>
            <w:r>
              <w:rPr>
                <w:b/>
                <w:color w:val="FFFFFF"/>
                <w:sz w:val="16"/>
              </w:rPr>
              <w:t>Canada</w:t>
            </w:r>
          </w:p>
        </w:tc>
        <w:tc>
          <w:tcPr>
            <w:tcW w:type="dxa" w:w="1829"/>
            <w:shd w:val="clear" w:color="auto" w:fill="1A1A1A"/>
          </w:tcPr>
          <w:p>
            <w:pPr>
              <w:spacing w:before="0" w:after="0" w:line="240" w:lineRule="auto"/>
            </w:pPr>
            <w:r>
              <w:rPr>
                <w:b/>
                <w:color w:val="FFFFFF"/>
                <w:sz w:val="16"/>
              </w:rPr>
              <w:t>Australia</w:t>
            </w:r>
          </w:p>
        </w:tc>
      </w:tr>
      <w:tr>
        <w:trPr>
          <w:cantSplit/>
        </w:trPr>
        <w:tc>
          <w:tcPr>
            <w:tcW w:type="dxa" w:w="1800"/>
            <w:shd w:val="clear" w:color="auto" w:fill="F3EBD8"/>
          </w:tcPr>
          <w:p>
            <w:pPr>
              <w:spacing w:before="0" w:after="0" w:line="240" w:lineRule="auto"/>
            </w:pPr>
            <w:r>
              <w:rPr>
                <w:b/>
                <w:color w:val="1A1A1A"/>
                <w:sz w:val="16"/>
              </w:rPr>
              <w:t>Currency</w:t>
            </w:r>
          </w:p>
        </w:tc>
        <w:tc>
          <w:tcPr>
            <w:tcW w:type="dxa" w:w="1829"/>
          </w:tcPr>
          <w:p>
            <w:pPr>
              <w:spacing w:before="0" w:after="0" w:line="240" w:lineRule="auto"/>
            </w:pPr>
            <w:r>
              <w:rPr>
                <w:color w:val="1A1A1A"/>
                <w:sz w:val="16"/>
              </w:rPr>
              <w:t>US dollars</w:t>
            </w:r>
          </w:p>
        </w:tc>
        <w:tc>
          <w:tcPr>
            <w:tcW w:type="dxa" w:w="1829"/>
          </w:tcPr>
          <w:p>
            <w:pPr>
              <w:spacing w:before="0" w:after="0" w:line="240" w:lineRule="auto"/>
            </w:pPr>
            <w:r>
              <w:rPr>
                <w:color w:val="1A1A1A"/>
                <w:sz w:val="16"/>
              </w:rPr>
              <w:t>Pounds sterling</w:t>
            </w:r>
          </w:p>
        </w:tc>
        <w:tc>
          <w:tcPr>
            <w:tcW w:type="dxa" w:w="1829"/>
          </w:tcPr>
          <w:p>
            <w:pPr>
              <w:spacing w:before="0" w:after="0" w:line="240" w:lineRule="auto"/>
            </w:pPr>
            <w:r>
              <w:rPr>
                <w:color w:val="1A1A1A"/>
                <w:sz w:val="16"/>
              </w:rPr>
              <w:t>Canadian dollars</w:t>
            </w:r>
          </w:p>
        </w:tc>
        <w:tc>
          <w:tcPr>
            <w:tcW w:type="dxa" w:w="1829"/>
          </w:tcPr>
          <w:p>
            <w:pPr>
              <w:spacing w:before="0" w:after="0" w:line="240" w:lineRule="auto"/>
            </w:pPr>
            <w:r>
              <w:rPr>
                <w:color w:val="1A1A1A"/>
                <w:sz w:val="16"/>
              </w:rPr>
              <w:t>Australian dollars</w:t>
            </w:r>
          </w:p>
        </w:tc>
      </w:tr>
      <w:tr>
        <w:trPr>
          <w:cantSplit/>
        </w:trPr>
        <w:tc>
          <w:tcPr>
            <w:tcW w:type="dxa" w:w="1800"/>
            <w:shd w:val="clear" w:color="auto" w:fill="F3EBD8"/>
          </w:tcPr>
          <w:p>
            <w:pPr>
              <w:spacing w:before="0" w:after="0" w:line="240" w:lineRule="auto"/>
            </w:pPr>
            <w:r>
              <w:rPr>
                <w:b/>
                <w:color w:val="1A1A1A"/>
                <w:sz w:val="16"/>
              </w:rPr>
              <w:t>Tax rate on sales</w:t>
            </w:r>
          </w:p>
        </w:tc>
        <w:tc>
          <w:tcPr>
            <w:tcW w:type="dxa" w:w="1829"/>
            <w:shd w:val="clear" w:color="auto" w:fill="FAF7F0"/>
          </w:tcPr>
          <w:p>
            <w:pPr>
              <w:spacing w:before="0" w:after="0" w:line="240" w:lineRule="auto"/>
            </w:pPr>
            <w:r>
              <w:rPr>
                <w:color w:val="1A1A1A"/>
                <w:sz w:val="16"/>
              </w:rPr>
              <w:t>Your state + local sales tax rate (0% if you only want pre-tax figures)</w:t>
            </w:r>
          </w:p>
        </w:tc>
        <w:tc>
          <w:tcPr>
            <w:tcW w:type="dxa" w:w="1829"/>
            <w:shd w:val="clear" w:color="auto" w:fill="FAF7F0"/>
          </w:tcPr>
          <w:p>
            <w:pPr>
              <w:spacing w:before="0" w:after="0" w:line="240" w:lineRule="auto"/>
            </w:pPr>
            <w:r>
              <w:rPr>
                <w:color w:val="1A1A1A"/>
                <w:sz w:val="16"/>
              </w:rPr>
              <w:t>20% VAT standard rate; most cold takeaway food is zero-rated (not soft drinks, confectionery or crisps)</w:t>
            </w:r>
          </w:p>
        </w:tc>
        <w:tc>
          <w:tcPr>
            <w:tcW w:type="dxa" w:w="1829"/>
            <w:shd w:val="clear" w:color="auto" w:fill="FAF7F0"/>
          </w:tcPr>
          <w:p>
            <w:pPr>
              <w:spacing w:before="0" w:after="0" w:line="240" w:lineRule="auto"/>
            </w:pPr>
            <w:r>
              <w:rPr>
                <w:color w:val="1A1A1A"/>
                <w:sz w:val="16"/>
              </w:rPr>
              <w:t>5% GST, or your province's single HST rate; add PST or QST where it applies</w:t>
            </w:r>
          </w:p>
        </w:tc>
        <w:tc>
          <w:tcPr>
            <w:tcW w:type="dxa" w:w="1829"/>
            <w:shd w:val="clear" w:color="auto" w:fill="FAF7F0"/>
          </w:tcPr>
          <w:p>
            <w:pPr>
              <w:spacing w:before="0" w:after="0" w:line="240" w:lineRule="auto"/>
            </w:pPr>
            <w:r>
              <w:rPr>
                <w:color w:val="1A1A1A"/>
                <w:sz w:val="16"/>
              </w:rPr>
              <w:t>10% GST</w:t>
            </w:r>
          </w:p>
        </w:tc>
      </w:tr>
      <w:tr>
        <w:trPr>
          <w:cantSplit/>
        </w:trPr>
        <w:tc>
          <w:tcPr>
            <w:tcW w:type="dxa" w:w="1800"/>
            <w:shd w:val="clear" w:color="auto" w:fill="F3EBD8"/>
          </w:tcPr>
          <w:p>
            <w:pPr>
              <w:spacing w:before="0" w:after="0" w:line="240" w:lineRule="auto"/>
            </w:pPr>
            <w:r>
              <w:rPr>
                <w:b/>
                <w:color w:val="1A1A1A"/>
                <w:sz w:val="16"/>
              </w:rPr>
              <w:t>Do menu prices include tax?</w:t>
            </w:r>
          </w:p>
        </w:tc>
        <w:tc>
          <w:tcPr>
            <w:tcW w:type="dxa" w:w="1829"/>
          </w:tcPr>
          <w:p>
            <w:pPr>
              <w:spacing w:before="0" w:after="0" w:line="240" w:lineRule="auto"/>
            </w:pPr>
            <w:r>
              <w:rPr>
                <w:color w:val="1A1A1A"/>
                <w:sz w:val="16"/>
              </w:rPr>
              <w:t>No: tax is added on the bill</w:t>
            </w:r>
          </w:p>
        </w:tc>
        <w:tc>
          <w:tcPr>
            <w:tcW w:type="dxa" w:w="1829"/>
          </w:tcPr>
          <w:p>
            <w:pPr>
              <w:spacing w:before="0" w:after="0" w:line="240" w:lineRule="auto"/>
            </w:pPr>
            <w:r>
              <w:rPr>
                <w:color w:val="1A1A1A"/>
                <w:sz w:val="16"/>
              </w:rPr>
              <w:t>Yes: displayed prices must include VAT</w:t>
            </w:r>
          </w:p>
        </w:tc>
        <w:tc>
          <w:tcPr>
            <w:tcW w:type="dxa" w:w="1829"/>
          </w:tcPr>
          <w:p>
            <w:pPr>
              <w:spacing w:before="0" w:after="0" w:line="240" w:lineRule="auto"/>
            </w:pPr>
            <w:r>
              <w:rPr>
                <w:color w:val="1A1A1A"/>
                <w:sz w:val="16"/>
              </w:rPr>
              <w:t>Usually no: tax is added on the bill</w:t>
            </w:r>
          </w:p>
        </w:tc>
        <w:tc>
          <w:tcPr>
            <w:tcW w:type="dxa" w:w="1829"/>
          </w:tcPr>
          <w:p>
            <w:pPr>
              <w:spacing w:before="0" w:after="0" w:line="240" w:lineRule="auto"/>
            </w:pPr>
            <w:r>
              <w:rPr>
                <w:color w:val="1A1A1A"/>
                <w:sz w:val="16"/>
              </w:rPr>
              <w:t>Yes: prices include GST</w:t>
            </w:r>
          </w:p>
        </w:tc>
      </w:tr>
      <w:tr>
        <w:trPr>
          <w:cantSplit/>
        </w:trPr>
        <w:tc>
          <w:tcPr>
            <w:tcW w:type="dxa" w:w="1800"/>
            <w:shd w:val="clear" w:color="auto" w:fill="F3EBD8"/>
          </w:tcPr>
          <w:p>
            <w:pPr>
              <w:spacing w:before="0" w:after="0" w:line="240" w:lineRule="auto"/>
            </w:pPr>
            <w:r>
              <w:rPr>
                <w:b/>
                <w:color w:val="1A1A1A"/>
                <w:sz w:val="16"/>
              </w:rPr>
              <w:t>Tax you get back on purchases</w:t>
            </w:r>
          </w:p>
        </w:tc>
        <w:tc>
          <w:tcPr>
            <w:tcW w:type="dxa" w:w="1829"/>
            <w:shd w:val="clear" w:color="auto" w:fill="FAF7F0"/>
          </w:tcPr>
          <w:p>
            <w:pPr>
              <w:spacing w:before="0" w:after="0" w:line="240" w:lineRule="auto"/>
            </w:pPr>
            <w:r>
              <w:rPr>
                <w:color w:val="1A1A1A"/>
                <w:sz w:val="16"/>
              </w:rPr>
              <w:t>None: sales tax you pay on supplies is a cost</w:t>
            </w:r>
          </w:p>
        </w:tc>
        <w:tc>
          <w:tcPr>
            <w:tcW w:type="dxa" w:w="1829"/>
            <w:shd w:val="clear" w:color="auto" w:fill="FAF7F0"/>
          </w:tcPr>
          <w:p>
            <w:pPr>
              <w:spacing w:before="0" w:after="0" w:line="240" w:lineRule="auto"/>
            </w:pPr>
            <w:r>
              <w:rPr>
                <w:color w:val="1A1A1A"/>
                <w:sz w:val="16"/>
              </w:rPr>
              <w:t>VAT you reclaim, if you are “VAT-registered”</w:t>
            </w:r>
          </w:p>
        </w:tc>
        <w:tc>
          <w:tcPr>
            <w:tcW w:type="dxa" w:w="1829"/>
            <w:shd w:val="clear" w:color="auto" w:fill="FAF7F0"/>
          </w:tcPr>
          <w:p>
            <w:pPr>
              <w:spacing w:before="0" w:after="0" w:line="240" w:lineRule="auto"/>
            </w:pPr>
            <w:r>
              <w:rPr>
                <w:color w:val="1A1A1A"/>
                <w:sz w:val="16"/>
              </w:rPr>
              <w:t>“Input tax credits” for GST/HST, if registered</w:t>
            </w:r>
          </w:p>
        </w:tc>
        <w:tc>
          <w:tcPr>
            <w:tcW w:type="dxa" w:w="1829"/>
            <w:shd w:val="clear" w:color="auto" w:fill="FAF7F0"/>
          </w:tcPr>
          <w:p>
            <w:pPr>
              <w:spacing w:before="0" w:after="0" w:line="240" w:lineRule="auto"/>
            </w:pPr>
            <w:r>
              <w:rPr>
                <w:color w:val="1A1A1A"/>
                <w:sz w:val="16"/>
              </w:rPr>
              <w:t>“GST credits”, if registered for GST</w:t>
            </w:r>
          </w:p>
        </w:tc>
      </w:tr>
      <w:tr>
        <w:trPr>
          <w:cantSplit/>
        </w:trPr>
        <w:tc>
          <w:tcPr>
            <w:tcW w:type="dxa" w:w="1800"/>
            <w:shd w:val="clear" w:color="auto" w:fill="F3EBD8"/>
          </w:tcPr>
          <w:p>
            <w:pPr>
              <w:spacing w:before="0" w:after="0" w:line="240" w:lineRule="auto"/>
            </w:pPr>
            <w:r>
              <w:rPr>
                <w:b/>
                <w:color w:val="1A1A1A"/>
                <w:sz w:val="16"/>
              </w:rPr>
              <w:t>Wages</w:t>
            </w:r>
          </w:p>
        </w:tc>
        <w:tc>
          <w:tcPr>
            <w:tcW w:type="dxa" w:w="1829"/>
          </w:tcPr>
          <w:p>
            <w:pPr>
              <w:spacing w:before="0" w:after="0" w:line="240" w:lineRule="auto"/>
            </w:pPr>
            <w:r>
              <w:rPr>
                <w:color w:val="1A1A1A"/>
                <w:sz w:val="16"/>
              </w:rPr>
              <w:t>Federal, state or local minimum wage, whichever is higher</w:t>
            </w:r>
          </w:p>
        </w:tc>
        <w:tc>
          <w:tcPr>
            <w:tcW w:type="dxa" w:w="1829"/>
          </w:tcPr>
          <w:p>
            <w:pPr>
              <w:spacing w:before="0" w:after="0" w:line="240" w:lineRule="auto"/>
            </w:pPr>
            <w:r>
              <w:rPr>
                <w:color w:val="1A1A1A"/>
                <w:sz w:val="16"/>
              </w:rPr>
              <w:t>“National Minimum Wage” or “National Living Wage” for the worker's age</w:t>
            </w:r>
          </w:p>
        </w:tc>
        <w:tc>
          <w:tcPr>
            <w:tcW w:type="dxa" w:w="1829"/>
          </w:tcPr>
          <w:p>
            <w:pPr>
              <w:spacing w:before="0" w:after="0" w:line="240" w:lineRule="auto"/>
            </w:pPr>
            <w:r>
              <w:rPr>
                <w:color w:val="1A1A1A"/>
                <w:sz w:val="16"/>
              </w:rPr>
              <w:t>Your province's minimum wage</w:t>
            </w:r>
          </w:p>
        </w:tc>
        <w:tc>
          <w:tcPr>
            <w:tcW w:type="dxa" w:w="1829"/>
          </w:tcPr>
          <w:p>
            <w:pPr>
              <w:spacing w:before="0" w:after="0" w:line="240" w:lineRule="auto"/>
            </w:pPr>
            <w:r>
              <w:rPr>
                <w:color w:val="1A1A1A"/>
                <w:sz w:val="16"/>
              </w:rPr>
              <w:t>The minimum rate in your Award (e.g. the Hospitality Award), plus the 25% “casual loading” for casual staff</w:t>
            </w:r>
          </w:p>
        </w:tc>
      </w:tr>
      <w:tr>
        <w:trPr>
          <w:cantSplit/>
        </w:trPr>
        <w:tc>
          <w:tcPr>
            <w:tcW w:type="dxa" w:w="1800"/>
            <w:shd w:val="clear" w:color="auto" w:fill="F3EBD8"/>
          </w:tcPr>
          <w:p>
            <w:pPr>
              <w:spacing w:before="0" w:after="0" w:line="240" w:lineRule="auto"/>
            </w:pPr>
            <w:r>
              <w:rPr>
                <w:b/>
                <w:color w:val="1A1A1A"/>
                <w:sz w:val="16"/>
              </w:rPr>
              <w:t>Employer cost on top of wages</w:t>
            </w:r>
          </w:p>
        </w:tc>
        <w:tc>
          <w:tcPr>
            <w:tcW w:type="dxa" w:w="1829"/>
            <w:shd w:val="clear" w:color="auto" w:fill="FAF7F0"/>
          </w:tcPr>
          <w:p>
            <w:pPr>
              <w:spacing w:before="0" w:after="0" w:line="240" w:lineRule="auto"/>
            </w:pPr>
            <w:r>
              <w:rPr>
                <w:color w:val="1A1A1A"/>
                <w:sz w:val="16"/>
              </w:rPr>
              <w:t>Social Security 6.2% + Medicare 1.45% + FUTA/SUTA + workers' comp</w:t>
            </w:r>
          </w:p>
        </w:tc>
        <w:tc>
          <w:tcPr>
            <w:tcW w:type="dxa" w:w="1829"/>
            <w:shd w:val="clear" w:color="auto" w:fill="FAF7F0"/>
          </w:tcPr>
          <w:p>
            <w:pPr>
              <w:spacing w:before="0" w:after="0" w:line="240" w:lineRule="auto"/>
            </w:pPr>
            <w:r>
              <w:rPr>
                <w:color w:val="1A1A1A"/>
                <w:sz w:val="16"/>
              </w:rPr>
              <w:t>Employer “National Insurance” + workplace pension + employers' liability insurance</w:t>
            </w:r>
          </w:p>
        </w:tc>
        <w:tc>
          <w:tcPr>
            <w:tcW w:type="dxa" w:w="1829"/>
            <w:shd w:val="clear" w:color="auto" w:fill="FAF7F0"/>
          </w:tcPr>
          <w:p>
            <w:pPr>
              <w:spacing w:before="0" w:after="0" w:line="240" w:lineRule="auto"/>
            </w:pPr>
            <w:r>
              <w:rPr>
                <w:color w:val="1A1A1A"/>
                <w:sz w:val="16"/>
              </w:rPr>
              <w:t>CPP (QPP in Quebec) + EI at 1.4 times the employee premium + workers' compensation</w:t>
            </w:r>
          </w:p>
        </w:tc>
        <w:tc>
          <w:tcPr>
            <w:tcW w:type="dxa" w:w="1829"/>
            <w:shd w:val="clear" w:color="auto" w:fill="FAF7F0"/>
          </w:tcPr>
          <w:p>
            <w:pPr>
              <w:spacing w:before="0" w:after="0" w:line="240" w:lineRule="auto"/>
            </w:pPr>
            <w:r>
              <w:rPr>
                <w:color w:val="1A1A1A"/>
                <w:sz w:val="16"/>
              </w:rPr>
              <w:t>“Superannuation guarantee” + workers' compensation</w:t>
            </w:r>
          </w:p>
        </w:tc>
      </w:tr>
      <w:tr>
        <w:trPr>
          <w:cantSplit/>
        </w:trPr>
        <w:tc>
          <w:tcPr>
            <w:tcW w:type="dxa" w:w="1800"/>
            <w:shd w:val="clear" w:color="auto" w:fill="F3EBD8"/>
          </w:tcPr>
          <w:p>
            <w:pPr>
              <w:spacing w:before="0" w:after="0" w:line="240" w:lineRule="auto"/>
            </w:pPr>
            <w:r>
              <w:rPr>
                <w:b/>
                <w:color w:val="1A1A1A"/>
                <w:sz w:val="16"/>
              </w:rPr>
              <w:t>Overtime rule</w:t>
            </w:r>
          </w:p>
        </w:tc>
        <w:tc>
          <w:tcPr>
            <w:tcW w:type="dxa" w:w="1829"/>
          </w:tcPr>
          <w:p>
            <w:pPr>
              <w:spacing w:before="0" w:after="0" w:line="240" w:lineRule="auto"/>
            </w:pPr>
            <w:r>
              <w:rPr>
                <w:color w:val="1A1A1A"/>
                <w:sz w:val="16"/>
              </w:rPr>
              <w:t>Over 40 hours a week at 1.5×</w:t>
            </w:r>
          </w:p>
        </w:tc>
        <w:tc>
          <w:tcPr>
            <w:tcW w:type="dxa" w:w="1829"/>
          </w:tcPr>
          <w:p>
            <w:pPr>
              <w:spacing w:before="0" w:after="0" w:line="240" w:lineRule="auto"/>
            </w:pPr>
            <w:r>
              <w:rPr>
                <w:color w:val="1A1A1A"/>
                <w:sz w:val="16"/>
              </w:rPr>
              <w:t>No legal overtime premium: use what your contracts say</w:t>
            </w:r>
          </w:p>
        </w:tc>
        <w:tc>
          <w:tcPr>
            <w:tcW w:type="dxa" w:w="1829"/>
          </w:tcPr>
          <w:p>
            <w:pPr>
              <w:spacing w:before="0" w:after="0" w:line="240" w:lineRule="auto"/>
            </w:pPr>
            <w:r>
              <w:rPr>
                <w:color w:val="1A1A1A"/>
                <w:sz w:val="16"/>
              </w:rPr>
              <w:t>Provincial: e.g. Ontario after 44 hours a week; British Columbia after 8 hours a day or 40 a week</w:t>
            </w:r>
          </w:p>
        </w:tc>
        <w:tc>
          <w:tcPr>
            <w:tcW w:type="dxa" w:w="1829"/>
          </w:tcPr>
          <w:p>
            <w:pPr>
              <w:spacing w:before="0" w:after="0" w:line="240" w:lineRule="auto"/>
            </w:pPr>
            <w:r>
              <w:rPr>
                <w:color w:val="1A1A1A"/>
                <w:sz w:val="16"/>
              </w:rPr>
              <w:t>Award overtime and “penalty rates” (evenings, weekends, public holidays)</w:t>
            </w:r>
          </w:p>
        </w:tc>
      </w:tr>
      <w:tr>
        <w:trPr>
          <w:cantSplit/>
        </w:trPr>
        <w:tc>
          <w:tcPr>
            <w:tcW w:type="dxa" w:w="1800"/>
            <w:shd w:val="clear" w:color="auto" w:fill="F3EBD8"/>
          </w:tcPr>
          <w:p>
            <w:pPr>
              <w:spacing w:before="0" w:after="0" w:line="240" w:lineRule="auto"/>
            </w:pPr>
            <w:r>
              <w:rPr>
                <w:b/>
                <w:color w:val="1A1A1A"/>
                <w:sz w:val="16"/>
              </w:rPr>
              <w:t>Units</w:t>
            </w:r>
          </w:p>
        </w:tc>
        <w:tc>
          <w:tcPr>
            <w:tcW w:type="dxa" w:w="1829"/>
            <w:shd w:val="clear" w:color="auto" w:fill="FAF7F0"/>
          </w:tcPr>
          <w:p>
            <w:pPr>
              <w:spacing w:before="0" w:after="0" w:line="240" w:lineRule="auto"/>
            </w:pPr>
            <w:r>
              <w:rPr>
                <w:color w:val="1A1A1A"/>
                <w:sz w:val="16"/>
              </w:rPr>
              <w:t>lb, oz, fl oz, qt, gal; °F</w:t>
            </w:r>
          </w:p>
        </w:tc>
        <w:tc>
          <w:tcPr>
            <w:tcW w:type="dxa" w:w="1829"/>
            <w:shd w:val="clear" w:color="auto" w:fill="FAF7F0"/>
          </w:tcPr>
          <w:p>
            <w:pPr>
              <w:spacing w:before="0" w:after="0" w:line="240" w:lineRule="auto"/>
            </w:pPr>
            <w:r>
              <w:rPr>
                <w:color w:val="1A1A1A"/>
                <w:sz w:val="16"/>
              </w:rPr>
              <w:t>Metric (g, kg, ml, L); °C; imperial pint for beer</w:t>
            </w:r>
          </w:p>
        </w:tc>
        <w:tc>
          <w:tcPr>
            <w:tcW w:type="dxa" w:w="1829"/>
            <w:shd w:val="clear" w:color="auto" w:fill="FAF7F0"/>
          </w:tcPr>
          <w:p>
            <w:pPr>
              <w:spacing w:before="0" w:after="0" w:line="240" w:lineRule="auto"/>
            </w:pPr>
            <w:r>
              <w:rPr>
                <w:color w:val="1A1A1A"/>
                <w:sz w:val="16"/>
              </w:rPr>
              <w:t>Metric (g, kg, ml, L); °C</w:t>
            </w:r>
          </w:p>
        </w:tc>
        <w:tc>
          <w:tcPr>
            <w:tcW w:type="dxa" w:w="1829"/>
            <w:shd w:val="clear" w:color="auto" w:fill="FAF7F0"/>
          </w:tcPr>
          <w:p>
            <w:pPr>
              <w:spacing w:before="0" w:after="0" w:line="240" w:lineRule="auto"/>
            </w:pPr>
            <w:r>
              <w:rPr>
                <w:color w:val="1A1A1A"/>
                <w:sz w:val="16"/>
              </w:rPr>
              <w:t>Metric (g, kg, ml, L); °C</w:t>
            </w:r>
          </w:p>
        </w:tc>
      </w:tr>
      <w:tr>
        <w:trPr>
          <w:cantSplit/>
        </w:trPr>
        <w:tc>
          <w:tcPr>
            <w:tcW w:type="dxa" w:w="1800"/>
            <w:shd w:val="clear" w:color="auto" w:fill="F3EBD8"/>
          </w:tcPr>
          <w:p>
            <w:pPr>
              <w:spacing w:before="0" w:after="0" w:line="240" w:lineRule="auto"/>
            </w:pPr>
            <w:r>
              <w:rPr>
                <w:b/>
                <w:color w:val="1A1A1A"/>
                <w:sz w:val="16"/>
              </w:rPr>
              <w:t>Floor area and distance</w:t>
            </w:r>
          </w:p>
        </w:tc>
        <w:tc>
          <w:tcPr>
            <w:tcW w:type="dxa" w:w="1829"/>
          </w:tcPr>
          <w:p>
            <w:pPr>
              <w:spacing w:before="0" w:after="0" w:line="240" w:lineRule="auto"/>
            </w:pPr>
            <w:r>
              <w:rPr>
                <w:color w:val="1A1A1A"/>
                <w:sz w:val="16"/>
              </w:rPr>
              <w:t>sq ft; miles</w:t>
            </w:r>
          </w:p>
        </w:tc>
        <w:tc>
          <w:tcPr>
            <w:tcW w:type="dxa" w:w="1829"/>
          </w:tcPr>
          <w:p>
            <w:pPr>
              <w:spacing w:before="0" w:after="0" w:line="240" w:lineRule="auto"/>
            </w:pPr>
            <w:r>
              <w:rPr>
                <w:color w:val="1A1A1A"/>
                <w:sz w:val="16"/>
              </w:rPr>
              <w:t>m² or sq ft; miles</w:t>
            </w:r>
          </w:p>
        </w:tc>
        <w:tc>
          <w:tcPr>
            <w:tcW w:type="dxa" w:w="1829"/>
          </w:tcPr>
          <w:p>
            <w:pPr>
              <w:spacing w:before="0" w:after="0" w:line="240" w:lineRule="auto"/>
            </w:pPr>
            <w:r>
              <w:rPr>
                <w:color w:val="1A1A1A"/>
                <w:sz w:val="16"/>
              </w:rPr>
              <w:t>m² or sq ft; km</w:t>
            </w:r>
          </w:p>
        </w:tc>
        <w:tc>
          <w:tcPr>
            <w:tcW w:type="dxa" w:w="1829"/>
          </w:tcPr>
          <w:p>
            <w:pPr>
              <w:spacing w:before="0" w:after="0" w:line="240" w:lineRule="auto"/>
            </w:pPr>
            <w:r>
              <w:rPr>
                <w:color w:val="1A1A1A"/>
                <w:sz w:val="16"/>
              </w:rPr>
              <w:t>m²; km</w:t>
            </w:r>
          </w:p>
        </w:tc>
      </w:tr>
    </w:tbl>
    <w:p>
      <w:pPr>
        <w:spacing w:after="40"/>
      </w:pPr>
    </w:p>
    <w:p>
      <w:pPr>
        <w:pStyle w:val="Heading2"/>
        <w:spacing w:before="280"/>
      </w:pPr>
      <w:r>
        <w:t>Kit-by-kit pointers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304"/>
        <w:gridCol w:w="6811"/>
      </w:tblGrid>
      <w:tr>
        <w:trPr>
          <w:tblHeader w:val="true"/>
          <w:cantSplit/>
        </w:trPr>
        <w:tc>
          <w:tcPr>
            <w:tcW w:type="dxa" w:w="2304"/>
            <w:shd w:val="clear" w:color="auto" w:fill="1A1A1A"/>
          </w:tcPr>
          <w:p>
            <w:pPr>
              <w:spacing w:before="0" w:after="0" w:line="240" w:lineRule="auto"/>
            </w:pPr>
            <w:r>
              <w:rPr>
                <w:b/>
                <w:color w:val="FFFFFF"/>
                <w:sz w:val="16"/>
              </w:rPr>
              <w:t>Kit</w:t>
            </w:r>
          </w:p>
        </w:tc>
        <w:tc>
          <w:tcPr>
            <w:tcW w:type="dxa" w:w="6811"/>
            <w:shd w:val="clear" w:color="auto" w:fill="1A1A1A"/>
          </w:tcPr>
          <w:p>
            <w:pPr>
              <w:spacing w:before="0" w:after="0" w:line="240" w:lineRule="auto"/>
            </w:pPr>
            <w:r>
              <w:rPr>
                <w:b/>
                <w:color w:val="FFFFFF"/>
                <w:sz w:val="16"/>
              </w:rPr>
              <w:t>What to adjust outside the US</w:t>
            </w:r>
          </w:p>
        </w:tc>
      </w:tr>
      <w:tr>
        <w:trPr>
          <w:cantSplit/>
        </w:trPr>
        <w:tc>
          <w:tcPr>
            <w:tcW w:type="dxa" w:w="2304"/>
            <w:shd w:val="clear" w:color="auto" w:fill="F3EBD8"/>
          </w:tcPr>
          <w:p>
            <w:pPr>
              <w:spacing w:before="0" w:after="0" w:line="240" w:lineRule="auto"/>
            </w:pPr>
            <w:r>
              <w:rPr>
                <w:b/>
                <w:color w:val="1A1A1A"/>
                <w:sz w:val="16"/>
              </w:rPr>
              <w:t>Food Cost Kit</w:t>
            </w:r>
          </w:p>
        </w:tc>
        <w:tc>
          <w:tcPr>
            <w:tcW w:type="dxa" w:w="6811"/>
          </w:tcPr>
          <w:p>
            <w:pPr>
              <w:spacing w:before="0" w:after="0" w:line="240" w:lineRule="auto"/>
            </w:pPr>
            <w:r>
              <w:rPr>
                <w:color w:val="1A1A1A"/>
                <w:sz w:val="16"/>
              </w:rPr>
              <w:t>Each cost card has a Tax rate cell (0% by default). Enter 20% for UK VAT or 10% for Australian GST and print the price including tax; in Canada, price before tax as in the US. The unit drop-down has kg, g, L, ml and cl; pt, qt, gal, cup and fl oz are US measures, so pick “imp pt” or work in ml. Every card also shows GP %, the figure UK kitchens use. In Canada, cost draft beer in “imp pt” or ml.</w:t>
            </w:r>
          </w:p>
        </w:tc>
      </w:tr>
      <w:tr>
        <w:trPr>
          <w:cantSplit/>
        </w:trPr>
        <w:tc>
          <w:tcPr>
            <w:tcW w:type="dxa" w:w="2304"/>
            <w:shd w:val="clear" w:color="auto" w:fill="F3EBD8"/>
          </w:tcPr>
          <w:p>
            <w:pPr>
              <w:spacing w:before="0" w:after="0" w:line="240" w:lineRule="auto"/>
            </w:pPr>
            <w:r>
              <w:rPr>
                <w:b/>
                <w:color w:val="1A1A1A"/>
                <w:sz w:val="16"/>
              </w:rPr>
              <w:t>HACCP Food Safety Kit</w:t>
            </w:r>
          </w:p>
        </w:tc>
        <w:tc>
          <w:tcPr>
            <w:tcW w:type="dxa" w:w="6811"/>
            <w:shd w:val="clear" w:color="auto" w:fill="FAF7F0"/>
          </w:tcPr>
          <w:p>
            <w:pPr>
              <w:spacing w:before="0" w:after="0" w:line="240" w:lineRule="auto"/>
            </w:pPr>
            <w:r>
              <w:rPr>
                <w:color w:val="1A1A1A"/>
                <w:sz w:val="16"/>
              </w:rPr>
              <w:t>The OK/ALERT limits are FDA Food Code values in °F, fixed in the formulas. Compare them with section 5 of this guide; the instructions add UK notes, and the allergen matrix keeps the 14 UK allergens.</w:t>
            </w:r>
          </w:p>
        </w:tc>
      </w:tr>
      <w:tr>
        <w:trPr>
          <w:cantSplit/>
        </w:trPr>
        <w:tc>
          <w:tcPr>
            <w:tcW w:type="dxa" w:w="2304"/>
            <w:shd w:val="clear" w:color="auto" w:fill="F3EBD8"/>
          </w:tcPr>
          <w:p>
            <w:pPr>
              <w:spacing w:before="0" w:after="0" w:line="240" w:lineRule="auto"/>
            </w:pPr>
            <w:r>
              <w:rPr>
                <w:b/>
                <w:color w:val="1A1A1A"/>
                <w:sz w:val="16"/>
              </w:rPr>
              <w:t>Restaurant Inventory Kit</w:t>
            </w:r>
          </w:p>
        </w:tc>
        <w:tc>
          <w:tcPr>
            <w:tcW w:type="dxa" w:w="6811"/>
          </w:tcPr>
          <w:p>
            <w:pPr>
              <w:spacing w:before="0" w:after="0" w:line="240" w:lineRule="auto"/>
            </w:pPr>
            <w:r>
              <w:rPr>
                <w:color w:val="1A1A1A"/>
                <w:sz w:val="16"/>
              </w:rPr>
              <w:t>Prices carry no currency symbol. Type your tax rates on the purchase order's Tax Rates tab (0% by default) and keep reclaimable tax out of food cost. The vendor list has a Tax ID column for a VAT number, business number or ABN. The receiving log checks °F temperatures against FDA limits.</w:t>
            </w:r>
          </w:p>
        </w:tc>
      </w:tr>
      <w:tr>
        <w:trPr>
          <w:cantSplit/>
        </w:trPr>
        <w:tc>
          <w:tcPr>
            <w:tcW w:type="dxa" w:w="2304"/>
            <w:shd w:val="clear" w:color="auto" w:fill="F3EBD8"/>
          </w:tcPr>
          <w:p>
            <w:pPr>
              <w:spacing w:before="0" w:after="0" w:line="240" w:lineRule="auto"/>
            </w:pPr>
            <w:r>
              <w:rPr>
                <w:b/>
                <w:color w:val="1A1A1A"/>
                <w:sz w:val="16"/>
              </w:rPr>
              <w:t>Staff Scheduling Kit</w:t>
            </w:r>
          </w:p>
        </w:tc>
        <w:tc>
          <w:tcPr>
            <w:tcW w:type="dxa" w:w="6811"/>
            <w:shd w:val="clear" w:color="auto" w:fill="FAF7F0"/>
          </w:tcPr>
          <w:p>
            <w:pPr>
              <w:spacing w:before="0" w:after="0" w:line="240" w:lineRule="auto"/>
            </w:pPr>
            <w:r>
              <w:rPr>
                <w:color w:val="1A1A1A"/>
                <w:sz w:val="16"/>
              </w:rPr>
              <w:t>Type 11 in the rest-between-shifts cell (UK), your province's weekly or daily overtime threshold (Canada) and 39 calendar days (5.6 weeks) in the PTO cell (UK). The kit flags weekly hours; it does not average the UK 48-hour week over 17 weeks, so track that separately. Put National Insurance, CPP and EI, or super in the employer cost cell. Australian Award penalty rates are not calculated: check Fair Work.</w:t>
            </w:r>
          </w:p>
        </w:tc>
      </w:tr>
      <w:tr>
        <w:trPr>
          <w:cantSplit/>
        </w:trPr>
        <w:tc>
          <w:tcPr>
            <w:tcW w:type="dxa" w:w="2304"/>
            <w:shd w:val="clear" w:color="auto" w:fill="F3EBD8"/>
          </w:tcPr>
          <w:p>
            <w:pPr>
              <w:spacing w:before="0" w:after="0" w:line="240" w:lineRule="auto"/>
            </w:pPr>
            <w:r>
              <w:rPr>
                <w:b/>
                <w:color w:val="1A1A1A"/>
                <w:sz w:val="16"/>
              </w:rPr>
              <w:t>Restaurant Financial Plan Kit</w:t>
            </w:r>
          </w:p>
        </w:tc>
        <w:tc>
          <w:tcPr>
            <w:tcW w:type="dxa" w:w="6811"/>
          </w:tcPr>
          <w:p>
            <w:pPr>
              <w:spacing w:before="0" w:after="0" w:line="240" w:lineRule="auto"/>
            </w:pPr>
            <w:r>
              <w:rPr>
                <w:color w:val="1A1A1A"/>
                <w:sz w:val="16"/>
              </w:rPr>
              <w:t>Sales tax, reclaimable tax and corporation tax are editable cells. The cash flow pays sales tax quarterly: move that row if you file monthly or yearly. Floor area is in sq ft (section 9 converts it).</w:t>
            </w:r>
          </w:p>
        </w:tc>
      </w:tr>
      <w:tr>
        <w:trPr>
          <w:cantSplit/>
        </w:trPr>
        <w:tc>
          <w:tcPr>
            <w:tcW w:type="dxa" w:w="2304"/>
            <w:shd w:val="clear" w:color="auto" w:fill="F3EBD8"/>
          </w:tcPr>
          <w:p>
            <w:pPr>
              <w:spacing w:before="0" w:after="0" w:line="240" w:lineRule="auto"/>
            </w:pPr>
            <w:r>
              <w:rPr>
                <w:b/>
                <w:color w:val="1A1A1A"/>
                <w:sz w:val="16"/>
              </w:rPr>
              <w:t>Business plan kits</w:t>
            </w:r>
          </w:p>
        </w:tc>
        <w:tc>
          <w:tcPr>
            <w:tcW w:type="dxa" w:w="6811"/>
            <w:shd w:val="clear" w:color="auto" w:fill="FAF7F0"/>
          </w:tcPr>
          <w:p>
            <w:pPr>
              <w:spacing w:before="0" w:after="0" w:line="240" w:lineRule="auto"/>
            </w:pPr>
            <w:r>
              <w:rPr>
                <w:color w:val="1A1A1A"/>
                <w:sz w:val="16"/>
              </w:rPr>
              <w:t>Tax rates and wages are editable cells, and each plan has UK notes. In the UK and Australia, type the average check without tax. The catering calculator counts miles: type kilometers and your cost per km instead of the IRS mileage rate. Outside the US, put business rates (UK) or outgoings (Australia) in the NNN/CAM line.</w:t>
            </w:r>
          </w:p>
        </w:tc>
      </w:tr>
      <w:tr>
        <w:trPr>
          <w:cantSplit/>
        </w:trPr>
        <w:tc>
          <w:tcPr>
            <w:tcW w:type="dxa" w:w="2304"/>
            <w:shd w:val="clear" w:color="auto" w:fill="F3EBD8"/>
          </w:tcPr>
          <w:p>
            <w:pPr>
              <w:spacing w:before="0" w:after="0" w:line="240" w:lineRule="auto"/>
            </w:pPr>
            <w:r>
              <w:rPr>
                <w:b/>
                <w:color w:val="1A1A1A"/>
                <w:sz w:val="16"/>
              </w:rPr>
              <w:t>AI prompts eBook</w:t>
            </w:r>
          </w:p>
        </w:tc>
        <w:tc>
          <w:tcPr>
            <w:tcW w:type="dxa" w:w="6811"/>
          </w:tcPr>
          <w:p>
            <w:pPr>
              <w:spacing w:before="0" w:after="0" w:line="240" w:lineRule="auto"/>
            </w:pPr>
            <w:r>
              <w:rPr>
                <w:color w:val="1A1A1A"/>
                <w:sz w:val="16"/>
              </w:rPr>
              <w:t>Add one line to any prompt, such as “Use British English, metric units and prices including VAT” (or GST for Australia, GST/HST for Canada).</w:t>
            </w:r>
          </w:p>
        </w:tc>
      </w:tr>
    </w:tbl>
    <w:p>
      <w:pPr>
        <w:spacing w:after="40"/>
      </w:pP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Golden rule.</w:t>
            </w:r>
            <w:r>
              <w:rPr>
                <w:sz w:val="19"/>
              </w:rPr>
              <w:t xml:space="preserve"> The legal figures in this guide are a reference, checked against official sources in October 2026. Rules change and many are set locally. Before you act on a number, open the link in section 10 or ask your accountant, your health inspector or your licensing office.</w:t>
            </w:r>
          </w:p>
        </w:tc>
      </w:tr>
    </w:tbl>
    <w:p>
      <w:pPr>
        <w:spacing w:after="40"/>
      </w:pPr>
    </w:p>
    <w:p>
      <w:pPr>
        <w:spacing w:line="288" w:lineRule="auto"/>
      </w:pPr>
      <w:r>
        <w:rPr>
          <w:b/>
        </w:rPr>
        <w:t>Renaming labels.</w:t>
      </w:r>
      <w:r>
        <w:t xml:space="preserve"> You can rename column headings and printed titles so they sound like your team (“rota”, “roster”, “stocktake”). Do not rename the values inside drop-down lists, such as units or categories: formulas look them up by their exact text.</w:t>
      </w:r>
    </w:p>
    <w:p>
      <w:pPr>
        <w:pStyle w:val="Heading1"/>
        <w:keepNext/>
        <w:pageBreakBefore w:val="0"/>
        <w:spacing w:before="440"/>
      </w:pPr>
      <w:r>
        <w:t>2. Kitchen &amp; Menu Terms</w:t>
      </w:r>
    </w:p>
    <w:p>
      <w:pPr>
        <w:keepNext/>
      </w:pPr>
      <w:r>
        <w:rPr>
          <w:color w:val="C6A664"/>
          <w:sz w:val="16"/>
        </w:rPr>
        <w:t>━━━━━━━━━━━━━━━━━━━━━━━━━━━━━━━━━━━━━━━━━━━━━━━━━━</w:t>
      </w:r>
    </w:p>
    <w:p>
      <w:pPr>
        <w:spacing w:line="288" w:lineRule="auto"/>
      </w:pPr>
      <w:r>
        <w:t>The kits use the US word. If your guests and your team say it differently, this is the word to use on your menu, your prep lists and your rota.</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872"/>
        <w:gridCol w:w="1814"/>
        <w:gridCol w:w="1814"/>
        <w:gridCol w:w="1814"/>
        <w:gridCol w:w="1800"/>
      </w:tblGrid>
      <w:tr>
        <w:trPr>
          <w:tblHeader w:val="true"/>
          <w:cantSplit/>
        </w:trPr>
        <w:tc>
          <w:tcPr>
            <w:tcW w:type="dxa" w:w="1872"/>
            <w:shd w:val="clear" w:color="auto" w:fill="1A1A1A"/>
          </w:tcPr>
          <w:p>
            <w:pPr>
              <w:spacing w:before="0" w:after="0" w:line="240" w:lineRule="auto"/>
            </w:pPr>
            <w:r>
              <w:rPr>
                <w:b/>
                <w:color w:val="FFFFFF"/>
                <w:sz w:val="16"/>
              </w:rPr>
              <w:t>What it is</w:t>
            </w:r>
          </w:p>
        </w:tc>
        <w:tc>
          <w:tcPr>
            <w:tcW w:type="dxa" w:w="1814"/>
            <w:shd w:val="clear" w:color="auto" w:fill="1A1A1A"/>
          </w:tcPr>
          <w:p>
            <w:pPr>
              <w:spacing w:before="0" w:after="0" w:line="240" w:lineRule="auto"/>
            </w:pPr>
            <w:r>
              <w:rPr>
                <w:b/>
                <w:color w:val="FFFFFF"/>
                <w:sz w:val="16"/>
              </w:rPr>
              <w:t>US</w:t>
            </w:r>
          </w:p>
        </w:tc>
        <w:tc>
          <w:tcPr>
            <w:tcW w:type="dxa" w:w="1814"/>
            <w:shd w:val="clear" w:color="auto" w:fill="1A1A1A"/>
          </w:tcPr>
          <w:p>
            <w:pPr>
              <w:spacing w:before="0" w:after="0" w:line="240" w:lineRule="auto"/>
            </w:pPr>
            <w:r>
              <w:rPr>
                <w:b/>
                <w:color w:val="FFFFFF"/>
                <w:sz w:val="16"/>
              </w:rPr>
              <w:t>UK</w:t>
            </w:r>
          </w:p>
        </w:tc>
        <w:tc>
          <w:tcPr>
            <w:tcW w:type="dxa" w:w="1814"/>
            <w:shd w:val="clear" w:color="auto" w:fill="1A1A1A"/>
          </w:tcPr>
          <w:p>
            <w:pPr>
              <w:spacing w:before="0" w:after="0" w:line="240" w:lineRule="auto"/>
            </w:pPr>
            <w:r>
              <w:rPr>
                <w:b/>
                <w:color w:val="FFFFFF"/>
                <w:sz w:val="16"/>
              </w:rPr>
              <w:t>Canada</w:t>
            </w:r>
          </w:p>
        </w:tc>
        <w:tc>
          <w:tcPr>
            <w:tcW w:type="dxa" w:w="1800"/>
            <w:shd w:val="clear" w:color="auto" w:fill="1A1A1A"/>
          </w:tcPr>
          <w:p>
            <w:pPr>
              <w:spacing w:before="0" w:after="0" w:line="240" w:lineRule="auto"/>
            </w:pPr>
            <w:r>
              <w:rPr>
                <w:b/>
                <w:color w:val="FFFFFF"/>
                <w:sz w:val="16"/>
              </w:rPr>
              <w:t>Australia</w:t>
            </w:r>
          </w:p>
        </w:tc>
      </w:tr>
      <w:tr>
        <w:trPr>
          <w:cantSplit/>
        </w:trPr>
        <w:tc>
          <w:tcPr>
            <w:tcW w:type="dxa" w:w="1872"/>
            <w:shd w:val="clear" w:color="auto" w:fill="F3EBD8"/>
          </w:tcPr>
          <w:p>
            <w:pPr>
              <w:spacing w:before="0" w:after="0" w:line="240" w:lineRule="auto"/>
            </w:pPr>
            <w:r>
              <w:rPr>
                <w:b/>
                <w:color w:val="1A1A1A"/>
                <w:sz w:val="16"/>
              </w:rPr>
              <w:t>First course</w:t>
            </w:r>
          </w:p>
        </w:tc>
        <w:tc>
          <w:tcPr>
            <w:tcW w:type="dxa" w:w="1814"/>
          </w:tcPr>
          <w:p>
            <w:pPr>
              <w:spacing w:before="0" w:after="0" w:line="240" w:lineRule="auto"/>
            </w:pPr>
            <w:r>
              <w:rPr>
                <w:color w:val="1A1A1A"/>
                <w:sz w:val="16"/>
              </w:rPr>
              <w:t>“appetizer”</w:t>
            </w:r>
          </w:p>
        </w:tc>
        <w:tc>
          <w:tcPr>
            <w:tcW w:type="dxa" w:w="1814"/>
          </w:tcPr>
          <w:p>
            <w:pPr>
              <w:spacing w:before="0" w:after="0" w:line="240" w:lineRule="auto"/>
            </w:pPr>
            <w:r>
              <w:rPr>
                <w:color w:val="1A1A1A"/>
                <w:sz w:val="16"/>
              </w:rPr>
              <w:t>“starter”</w:t>
            </w:r>
          </w:p>
        </w:tc>
        <w:tc>
          <w:tcPr>
            <w:tcW w:type="dxa" w:w="1814"/>
          </w:tcPr>
          <w:p>
            <w:pPr>
              <w:spacing w:before="0" w:after="0" w:line="240" w:lineRule="auto"/>
            </w:pPr>
            <w:r>
              <w:rPr>
                <w:color w:val="1A1A1A"/>
                <w:sz w:val="16"/>
              </w:rPr>
              <w:t>“appetizer”</w:t>
            </w:r>
          </w:p>
        </w:tc>
        <w:tc>
          <w:tcPr>
            <w:tcW w:type="dxa" w:w="1800"/>
          </w:tcPr>
          <w:p>
            <w:pPr>
              <w:spacing w:before="0" w:after="0" w:line="240" w:lineRule="auto"/>
            </w:pPr>
            <w:r>
              <w:rPr>
                <w:color w:val="1A1A1A"/>
                <w:sz w:val="16"/>
              </w:rPr>
              <w:t>“entrée”</w:t>
            </w:r>
          </w:p>
        </w:tc>
      </w:tr>
      <w:tr>
        <w:trPr>
          <w:cantSplit/>
        </w:trPr>
        <w:tc>
          <w:tcPr>
            <w:tcW w:type="dxa" w:w="1872"/>
            <w:shd w:val="clear" w:color="auto" w:fill="F3EBD8"/>
          </w:tcPr>
          <w:p>
            <w:pPr>
              <w:spacing w:before="0" w:after="0" w:line="240" w:lineRule="auto"/>
            </w:pPr>
            <w:r>
              <w:rPr>
                <w:b/>
                <w:color w:val="1A1A1A"/>
                <w:sz w:val="16"/>
              </w:rPr>
              <w:t>Main course</w:t>
            </w:r>
          </w:p>
        </w:tc>
        <w:tc>
          <w:tcPr>
            <w:tcW w:type="dxa" w:w="1814"/>
            <w:shd w:val="clear" w:color="auto" w:fill="FAF7F0"/>
          </w:tcPr>
          <w:p>
            <w:pPr>
              <w:spacing w:before="0" w:after="0" w:line="240" w:lineRule="auto"/>
            </w:pPr>
            <w:r>
              <w:rPr>
                <w:color w:val="1A1A1A"/>
                <w:sz w:val="16"/>
              </w:rPr>
              <w:t>“entrée” or “main course”</w:t>
            </w:r>
          </w:p>
        </w:tc>
        <w:tc>
          <w:tcPr>
            <w:tcW w:type="dxa" w:w="1814"/>
            <w:shd w:val="clear" w:color="auto" w:fill="FAF7F0"/>
          </w:tcPr>
          <w:p>
            <w:pPr>
              <w:spacing w:before="0" w:after="0" w:line="240" w:lineRule="auto"/>
            </w:pPr>
            <w:r>
              <w:rPr>
                <w:color w:val="1A1A1A"/>
                <w:sz w:val="16"/>
              </w:rPr>
              <w:t>“main” or “main course”</w:t>
            </w:r>
          </w:p>
        </w:tc>
        <w:tc>
          <w:tcPr>
            <w:tcW w:type="dxa" w:w="1814"/>
            <w:shd w:val="clear" w:color="auto" w:fill="FAF7F0"/>
          </w:tcPr>
          <w:p>
            <w:pPr>
              <w:spacing w:before="0" w:after="0" w:line="240" w:lineRule="auto"/>
            </w:pPr>
            <w:r>
              <w:rPr>
                <w:color w:val="1A1A1A"/>
                <w:sz w:val="16"/>
              </w:rPr>
              <w:t>“main course” (“entrée” also heard)</w:t>
            </w:r>
          </w:p>
        </w:tc>
        <w:tc>
          <w:tcPr>
            <w:tcW w:type="dxa" w:w="1800"/>
            <w:shd w:val="clear" w:color="auto" w:fill="FAF7F0"/>
          </w:tcPr>
          <w:p>
            <w:pPr>
              <w:spacing w:before="0" w:after="0" w:line="240" w:lineRule="auto"/>
            </w:pPr>
            <w:r>
              <w:rPr>
                <w:color w:val="1A1A1A"/>
                <w:sz w:val="16"/>
              </w:rPr>
              <w:t>“main”</w:t>
            </w:r>
          </w:p>
        </w:tc>
      </w:tr>
      <w:tr>
        <w:trPr>
          <w:cantSplit/>
        </w:trPr>
        <w:tc>
          <w:tcPr>
            <w:tcW w:type="dxa" w:w="1872"/>
            <w:shd w:val="clear" w:color="auto" w:fill="F3EBD8"/>
          </w:tcPr>
          <w:p>
            <w:pPr>
              <w:spacing w:before="0" w:after="0" w:line="240" w:lineRule="auto"/>
            </w:pPr>
            <w:r>
              <w:rPr>
                <w:b/>
                <w:color w:val="1A1A1A"/>
                <w:sz w:val="16"/>
              </w:rPr>
              <w:t>Fried potato strips</w:t>
            </w:r>
          </w:p>
        </w:tc>
        <w:tc>
          <w:tcPr>
            <w:tcW w:type="dxa" w:w="1814"/>
          </w:tcPr>
          <w:p>
            <w:pPr>
              <w:spacing w:before="0" w:after="0" w:line="240" w:lineRule="auto"/>
            </w:pPr>
            <w:r>
              <w:rPr>
                <w:color w:val="1A1A1A"/>
                <w:sz w:val="16"/>
              </w:rPr>
              <w:t>“fries” / “French fries”</w:t>
            </w:r>
          </w:p>
        </w:tc>
        <w:tc>
          <w:tcPr>
            <w:tcW w:type="dxa" w:w="1814"/>
          </w:tcPr>
          <w:p>
            <w:pPr>
              <w:spacing w:before="0" w:after="0" w:line="240" w:lineRule="auto"/>
            </w:pPr>
            <w:r>
              <w:rPr>
                <w:color w:val="1A1A1A"/>
                <w:sz w:val="16"/>
              </w:rPr>
              <w:t>“chips”</w:t>
            </w:r>
          </w:p>
        </w:tc>
        <w:tc>
          <w:tcPr>
            <w:tcW w:type="dxa" w:w="1814"/>
          </w:tcPr>
          <w:p>
            <w:pPr>
              <w:spacing w:before="0" w:after="0" w:line="240" w:lineRule="auto"/>
            </w:pPr>
            <w:r>
              <w:rPr>
                <w:color w:val="1A1A1A"/>
                <w:sz w:val="16"/>
              </w:rPr>
              <w:t>“fries”</w:t>
            </w:r>
          </w:p>
        </w:tc>
        <w:tc>
          <w:tcPr>
            <w:tcW w:type="dxa" w:w="1800"/>
          </w:tcPr>
          <w:p>
            <w:pPr>
              <w:spacing w:before="0" w:after="0" w:line="240" w:lineRule="auto"/>
            </w:pPr>
            <w:r>
              <w:rPr>
                <w:color w:val="1A1A1A"/>
                <w:sz w:val="16"/>
              </w:rPr>
              <w:t>“chips” / “hot chips”</w:t>
            </w:r>
          </w:p>
        </w:tc>
      </w:tr>
      <w:tr>
        <w:trPr>
          <w:cantSplit/>
        </w:trPr>
        <w:tc>
          <w:tcPr>
            <w:tcW w:type="dxa" w:w="1872"/>
            <w:shd w:val="clear" w:color="auto" w:fill="F3EBD8"/>
          </w:tcPr>
          <w:p>
            <w:pPr>
              <w:spacing w:before="0" w:after="0" w:line="240" w:lineRule="auto"/>
            </w:pPr>
            <w:r>
              <w:rPr>
                <w:b/>
                <w:color w:val="1A1A1A"/>
                <w:sz w:val="16"/>
              </w:rPr>
              <w:t>Thin packet potato snack</w:t>
            </w:r>
          </w:p>
        </w:tc>
        <w:tc>
          <w:tcPr>
            <w:tcW w:type="dxa" w:w="1814"/>
            <w:shd w:val="clear" w:color="auto" w:fill="FAF7F0"/>
          </w:tcPr>
          <w:p>
            <w:pPr>
              <w:spacing w:before="0" w:after="0" w:line="240" w:lineRule="auto"/>
            </w:pPr>
            <w:r>
              <w:rPr>
                <w:color w:val="1A1A1A"/>
                <w:sz w:val="16"/>
              </w:rPr>
              <w:t>“chips”</w:t>
            </w:r>
          </w:p>
        </w:tc>
        <w:tc>
          <w:tcPr>
            <w:tcW w:type="dxa" w:w="1814"/>
            <w:shd w:val="clear" w:color="auto" w:fill="FAF7F0"/>
          </w:tcPr>
          <w:p>
            <w:pPr>
              <w:spacing w:before="0" w:after="0" w:line="240" w:lineRule="auto"/>
            </w:pPr>
            <w:r>
              <w:rPr>
                <w:color w:val="1A1A1A"/>
                <w:sz w:val="16"/>
              </w:rPr>
              <w:t>“crisps”</w:t>
            </w:r>
          </w:p>
        </w:tc>
        <w:tc>
          <w:tcPr>
            <w:tcW w:type="dxa" w:w="1814"/>
            <w:shd w:val="clear" w:color="auto" w:fill="FAF7F0"/>
          </w:tcPr>
          <w:p>
            <w:pPr>
              <w:spacing w:before="0" w:after="0" w:line="240" w:lineRule="auto"/>
            </w:pPr>
            <w:r>
              <w:rPr>
                <w:color w:val="1A1A1A"/>
                <w:sz w:val="16"/>
              </w:rPr>
              <w:t>“chips”</w:t>
            </w:r>
          </w:p>
        </w:tc>
        <w:tc>
          <w:tcPr>
            <w:tcW w:type="dxa" w:w="1800"/>
            <w:shd w:val="clear" w:color="auto" w:fill="FAF7F0"/>
          </w:tcPr>
          <w:p>
            <w:pPr>
              <w:spacing w:before="0" w:after="0" w:line="240" w:lineRule="auto"/>
            </w:pPr>
            <w:r>
              <w:rPr>
                <w:color w:val="1A1A1A"/>
                <w:sz w:val="16"/>
              </w:rPr>
              <w:t>“chips”</w:t>
            </w:r>
          </w:p>
        </w:tc>
      </w:tr>
      <w:tr>
        <w:trPr>
          <w:cantSplit/>
        </w:trPr>
        <w:tc>
          <w:tcPr>
            <w:tcW w:type="dxa" w:w="1872"/>
            <w:shd w:val="clear" w:color="auto" w:fill="F3EBD8"/>
          </w:tcPr>
          <w:p>
            <w:pPr>
              <w:spacing w:before="0" w:after="0" w:line="240" w:lineRule="auto"/>
            </w:pPr>
            <w:r>
              <w:rPr>
                <w:b/>
                <w:color w:val="1A1A1A"/>
                <w:sz w:val="16"/>
              </w:rPr>
              <w:t>Eggplant</w:t>
            </w:r>
          </w:p>
        </w:tc>
        <w:tc>
          <w:tcPr>
            <w:tcW w:type="dxa" w:w="1814"/>
          </w:tcPr>
          <w:p>
            <w:pPr>
              <w:spacing w:before="0" w:after="0" w:line="240" w:lineRule="auto"/>
            </w:pPr>
            <w:r>
              <w:rPr>
                <w:color w:val="1A1A1A"/>
                <w:sz w:val="16"/>
              </w:rPr>
              <w:t>“eggplant”</w:t>
            </w:r>
          </w:p>
        </w:tc>
        <w:tc>
          <w:tcPr>
            <w:tcW w:type="dxa" w:w="1814"/>
          </w:tcPr>
          <w:p>
            <w:pPr>
              <w:spacing w:before="0" w:after="0" w:line="240" w:lineRule="auto"/>
            </w:pPr>
            <w:r>
              <w:rPr>
                <w:color w:val="1A1A1A"/>
                <w:sz w:val="16"/>
              </w:rPr>
              <w:t>“aubergine”</w:t>
            </w:r>
          </w:p>
        </w:tc>
        <w:tc>
          <w:tcPr>
            <w:tcW w:type="dxa" w:w="1814"/>
          </w:tcPr>
          <w:p>
            <w:pPr>
              <w:spacing w:before="0" w:after="0" w:line="240" w:lineRule="auto"/>
            </w:pPr>
            <w:r>
              <w:rPr>
                <w:color w:val="1A1A1A"/>
                <w:sz w:val="16"/>
              </w:rPr>
              <w:t>“eggplant”</w:t>
            </w:r>
          </w:p>
        </w:tc>
        <w:tc>
          <w:tcPr>
            <w:tcW w:type="dxa" w:w="1800"/>
          </w:tcPr>
          <w:p>
            <w:pPr>
              <w:spacing w:before="0" w:after="0" w:line="240" w:lineRule="auto"/>
            </w:pPr>
            <w:r>
              <w:rPr>
                <w:color w:val="1A1A1A"/>
                <w:sz w:val="16"/>
              </w:rPr>
              <w:t>“eggplant”</w:t>
            </w:r>
          </w:p>
        </w:tc>
      </w:tr>
      <w:tr>
        <w:trPr>
          <w:cantSplit/>
        </w:trPr>
        <w:tc>
          <w:tcPr>
            <w:tcW w:type="dxa" w:w="1872"/>
            <w:shd w:val="clear" w:color="auto" w:fill="F3EBD8"/>
          </w:tcPr>
          <w:p>
            <w:pPr>
              <w:spacing w:before="0" w:after="0" w:line="240" w:lineRule="auto"/>
            </w:pPr>
            <w:r>
              <w:rPr>
                <w:b/>
                <w:color w:val="1A1A1A"/>
                <w:sz w:val="16"/>
              </w:rPr>
              <w:t>Zucchini</w:t>
            </w:r>
          </w:p>
        </w:tc>
        <w:tc>
          <w:tcPr>
            <w:tcW w:type="dxa" w:w="1814"/>
            <w:shd w:val="clear" w:color="auto" w:fill="FAF7F0"/>
          </w:tcPr>
          <w:p>
            <w:pPr>
              <w:spacing w:before="0" w:after="0" w:line="240" w:lineRule="auto"/>
            </w:pPr>
            <w:r>
              <w:rPr>
                <w:color w:val="1A1A1A"/>
                <w:sz w:val="16"/>
              </w:rPr>
              <w:t>“zucchini”</w:t>
            </w:r>
          </w:p>
        </w:tc>
        <w:tc>
          <w:tcPr>
            <w:tcW w:type="dxa" w:w="1814"/>
            <w:shd w:val="clear" w:color="auto" w:fill="FAF7F0"/>
          </w:tcPr>
          <w:p>
            <w:pPr>
              <w:spacing w:before="0" w:after="0" w:line="240" w:lineRule="auto"/>
            </w:pPr>
            <w:r>
              <w:rPr>
                <w:color w:val="1A1A1A"/>
                <w:sz w:val="16"/>
              </w:rPr>
              <w:t>“courgette”</w:t>
            </w:r>
          </w:p>
        </w:tc>
        <w:tc>
          <w:tcPr>
            <w:tcW w:type="dxa" w:w="1814"/>
            <w:shd w:val="clear" w:color="auto" w:fill="FAF7F0"/>
          </w:tcPr>
          <w:p>
            <w:pPr>
              <w:spacing w:before="0" w:after="0" w:line="240" w:lineRule="auto"/>
            </w:pPr>
            <w:r>
              <w:rPr>
                <w:color w:val="1A1A1A"/>
                <w:sz w:val="16"/>
              </w:rPr>
              <w:t>“zucchini”</w:t>
            </w:r>
          </w:p>
        </w:tc>
        <w:tc>
          <w:tcPr>
            <w:tcW w:type="dxa" w:w="1800"/>
            <w:shd w:val="clear" w:color="auto" w:fill="FAF7F0"/>
          </w:tcPr>
          <w:p>
            <w:pPr>
              <w:spacing w:before="0" w:after="0" w:line="240" w:lineRule="auto"/>
            </w:pPr>
            <w:r>
              <w:rPr>
                <w:color w:val="1A1A1A"/>
                <w:sz w:val="16"/>
              </w:rPr>
              <w:t>“zucchini”</w:t>
            </w:r>
          </w:p>
        </w:tc>
      </w:tr>
      <w:tr>
        <w:trPr>
          <w:cantSplit/>
        </w:trPr>
        <w:tc>
          <w:tcPr>
            <w:tcW w:type="dxa" w:w="1872"/>
            <w:shd w:val="clear" w:color="auto" w:fill="F3EBD8"/>
          </w:tcPr>
          <w:p>
            <w:pPr>
              <w:spacing w:before="0" w:after="0" w:line="240" w:lineRule="auto"/>
            </w:pPr>
            <w:r>
              <w:rPr>
                <w:b/>
                <w:color w:val="1A1A1A"/>
                <w:sz w:val="16"/>
              </w:rPr>
              <w:t>Fresh leaves of the coriander plant</w:t>
            </w:r>
          </w:p>
        </w:tc>
        <w:tc>
          <w:tcPr>
            <w:tcW w:type="dxa" w:w="1814"/>
          </w:tcPr>
          <w:p>
            <w:pPr>
              <w:spacing w:before="0" w:after="0" w:line="240" w:lineRule="auto"/>
            </w:pPr>
            <w:r>
              <w:rPr>
                <w:color w:val="1A1A1A"/>
                <w:sz w:val="16"/>
              </w:rPr>
              <w:t>“cilantro”</w:t>
            </w:r>
          </w:p>
        </w:tc>
        <w:tc>
          <w:tcPr>
            <w:tcW w:type="dxa" w:w="1814"/>
          </w:tcPr>
          <w:p>
            <w:pPr>
              <w:spacing w:before="0" w:after="0" w:line="240" w:lineRule="auto"/>
            </w:pPr>
            <w:r>
              <w:rPr>
                <w:color w:val="1A1A1A"/>
                <w:sz w:val="16"/>
              </w:rPr>
              <w:t>“coriander”</w:t>
            </w:r>
          </w:p>
        </w:tc>
        <w:tc>
          <w:tcPr>
            <w:tcW w:type="dxa" w:w="1814"/>
          </w:tcPr>
          <w:p>
            <w:pPr>
              <w:spacing w:before="0" w:after="0" w:line="240" w:lineRule="auto"/>
            </w:pPr>
            <w:r>
              <w:rPr>
                <w:color w:val="1A1A1A"/>
                <w:sz w:val="16"/>
              </w:rPr>
              <w:t>“cilantro” or “coriander”</w:t>
            </w:r>
          </w:p>
        </w:tc>
        <w:tc>
          <w:tcPr>
            <w:tcW w:type="dxa" w:w="1800"/>
          </w:tcPr>
          <w:p>
            <w:pPr>
              <w:spacing w:before="0" w:after="0" w:line="240" w:lineRule="auto"/>
            </w:pPr>
            <w:r>
              <w:rPr>
                <w:color w:val="1A1A1A"/>
                <w:sz w:val="16"/>
              </w:rPr>
              <w:t>“coriander”</w:t>
            </w:r>
          </w:p>
        </w:tc>
      </w:tr>
      <w:tr>
        <w:trPr>
          <w:cantSplit/>
        </w:trPr>
        <w:tc>
          <w:tcPr>
            <w:tcW w:type="dxa" w:w="1872"/>
            <w:shd w:val="clear" w:color="auto" w:fill="F3EBD8"/>
          </w:tcPr>
          <w:p>
            <w:pPr>
              <w:spacing w:before="0" w:after="0" w:line="240" w:lineRule="auto"/>
            </w:pPr>
            <w:r>
              <w:rPr>
                <w:b/>
                <w:color w:val="1A1A1A"/>
                <w:sz w:val="16"/>
              </w:rPr>
              <w:t>Green onion</w:t>
            </w:r>
          </w:p>
        </w:tc>
        <w:tc>
          <w:tcPr>
            <w:tcW w:type="dxa" w:w="1814"/>
            <w:shd w:val="clear" w:color="auto" w:fill="FAF7F0"/>
          </w:tcPr>
          <w:p>
            <w:pPr>
              <w:spacing w:before="0" w:after="0" w:line="240" w:lineRule="auto"/>
            </w:pPr>
            <w:r>
              <w:rPr>
                <w:color w:val="1A1A1A"/>
                <w:sz w:val="16"/>
              </w:rPr>
              <w:t>“scallion” / “green onion”</w:t>
            </w:r>
          </w:p>
        </w:tc>
        <w:tc>
          <w:tcPr>
            <w:tcW w:type="dxa" w:w="1814"/>
            <w:shd w:val="clear" w:color="auto" w:fill="FAF7F0"/>
          </w:tcPr>
          <w:p>
            <w:pPr>
              <w:spacing w:before="0" w:after="0" w:line="240" w:lineRule="auto"/>
            </w:pPr>
            <w:r>
              <w:rPr>
                <w:color w:val="1A1A1A"/>
                <w:sz w:val="16"/>
              </w:rPr>
              <w:t>“spring onion”</w:t>
            </w:r>
          </w:p>
        </w:tc>
        <w:tc>
          <w:tcPr>
            <w:tcW w:type="dxa" w:w="1814"/>
            <w:shd w:val="clear" w:color="auto" w:fill="FAF7F0"/>
          </w:tcPr>
          <w:p>
            <w:pPr>
              <w:spacing w:before="0" w:after="0" w:line="240" w:lineRule="auto"/>
            </w:pPr>
            <w:r>
              <w:rPr>
                <w:color w:val="1A1A1A"/>
                <w:sz w:val="16"/>
              </w:rPr>
              <w:t>“green onion”</w:t>
            </w:r>
          </w:p>
        </w:tc>
        <w:tc>
          <w:tcPr>
            <w:tcW w:type="dxa" w:w="1800"/>
            <w:shd w:val="clear" w:color="auto" w:fill="FAF7F0"/>
          </w:tcPr>
          <w:p>
            <w:pPr>
              <w:spacing w:before="0" w:after="0" w:line="240" w:lineRule="auto"/>
            </w:pPr>
            <w:r>
              <w:rPr>
                <w:color w:val="1A1A1A"/>
                <w:sz w:val="16"/>
              </w:rPr>
              <w:t>“spring onion” (“shallots” in NSW)</w:t>
            </w:r>
          </w:p>
        </w:tc>
      </w:tr>
      <w:tr>
        <w:trPr>
          <w:cantSplit/>
        </w:trPr>
        <w:tc>
          <w:tcPr>
            <w:tcW w:type="dxa" w:w="1872"/>
            <w:shd w:val="clear" w:color="auto" w:fill="F3EBD8"/>
          </w:tcPr>
          <w:p>
            <w:pPr>
              <w:spacing w:before="0" w:after="0" w:line="240" w:lineRule="auto"/>
            </w:pPr>
            <w:r>
              <w:rPr>
                <w:b/>
                <w:color w:val="1A1A1A"/>
                <w:sz w:val="16"/>
              </w:rPr>
              <w:t>Peppery salad leaf</w:t>
            </w:r>
          </w:p>
        </w:tc>
        <w:tc>
          <w:tcPr>
            <w:tcW w:type="dxa" w:w="1814"/>
          </w:tcPr>
          <w:p>
            <w:pPr>
              <w:spacing w:before="0" w:after="0" w:line="240" w:lineRule="auto"/>
            </w:pPr>
            <w:r>
              <w:rPr>
                <w:color w:val="1A1A1A"/>
                <w:sz w:val="16"/>
              </w:rPr>
              <w:t>“arugula”</w:t>
            </w:r>
          </w:p>
        </w:tc>
        <w:tc>
          <w:tcPr>
            <w:tcW w:type="dxa" w:w="1814"/>
          </w:tcPr>
          <w:p>
            <w:pPr>
              <w:spacing w:before="0" w:after="0" w:line="240" w:lineRule="auto"/>
            </w:pPr>
            <w:r>
              <w:rPr>
                <w:color w:val="1A1A1A"/>
                <w:sz w:val="16"/>
              </w:rPr>
              <w:t>“rocket”</w:t>
            </w:r>
          </w:p>
        </w:tc>
        <w:tc>
          <w:tcPr>
            <w:tcW w:type="dxa" w:w="1814"/>
          </w:tcPr>
          <w:p>
            <w:pPr>
              <w:spacing w:before="0" w:after="0" w:line="240" w:lineRule="auto"/>
            </w:pPr>
            <w:r>
              <w:rPr>
                <w:color w:val="1A1A1A"/>
                <w:sz w:val="16"/>
              </w:rPr>
              <w:t>“arugula”</w:t>
            </w:r>
          </w:p>
        </w:tc>
        <w:tc>
          <w:tcPr>
            <w:tcW w:type="dxa" w:w="1800"/>
          </w:tcPr>
          <w:p>
            <w:pPr>
              <w:spacing w:before="0" w:after="0" w:line="240" w:lineRule="auto"/>
            </w:pPr>
            <w:r>
              <w:rPr>
                <w:color w:val="1A1A1A"/>
                <w:sz w:val="16"/>
              </w:rPr>
              <w:t>“rocket”</w:t>
            </w:r>
          </w:p>
        </w:tc>
      </w:tr>
      <w:tr>
        <w:trPr>
          <w:cantSplit/>
        </w:trPr>
        <w:tc>
          <w:tcPr>
            <w:tcW w:type="dxa" w:w="1872"/>
            <w:shd w:val="clear" w:color="auto" w:fill="F3EBD8"/>
          </w:tcPr>
          <w:p>
            <w:pPr>
              <w:spacing w:before="0" w:after="0" w:line="240" w:lineRule="auto"/>
            </w:pPr>
            <w:r>
              <w:rPr>
                <w:b/>
                <w:color w:val="1A1A1A"/>
                <w:sz w:val="16"/>
              </w:rPr>
              <w:t>Shrimp</w:t>
            </w:r>
          </w:p>
        </w:tc>
        <w:tc>
          <w:tcPr>
            <w:tcW w:type="dxa" w:w="1814"/>
            <w:shd w:val="clear" w:color="auto" w:fill="FAF7F0"/>
          </w:tcPr>
          <w:p>
            <w:pPr>
              <w:spacing w:before="0" w:after="0" w:line="240" w:lineRule="auto"/>
            </w:pPr>
            <w:r>
              <w:rPr>
                <w:color w:val="1A1A1A"/>
                <w:sz w:val="16"/>
              </w:rPr>
              <w:t>“shrimp”</w:t>
            </w:r>
          </w:p>
        </w:tc>
        <w:tc>
          <w:tcPr>
            <w:tcW w:type="dxa" w:w="1814"/>
            <w:shd w:val="clear" w:color="auto" w:fill="FAF7F0"/>
          </w:tcPr>
          <w:p>
            <w:pPr>
              <w:spacing w:before="0" w:after="0" w:line="240" w:lineRule="auto"/>
            </w:pPr>
            <w:r>
              <w:rPr>
                <w:color w:val="1A1A1A"/>
                <w:sz w:val="16"/>
              </w:rPr>
              <w:t>“prawns”</w:t>
            </w:r>
          </w:p>
        </w:tc>
        <w:tc>
          <w:tcPr>
            <w:tcW w:type="dxa" w:w="1814"/>
            <w:shd w:val="clear" w:color="auto" w:fill="FAF7F0"/>
          </w:tcPr>
          <w:p>
            <w:pPr>
              <w:spacing w:before="0" w:after="0" w:line="240" w:lineRule="auto"/>
            </w:pPr>
            <w:r>
              <w:rPr>
                <w:color w:val="1A1A1A"/>
                <w:sz w:val="16"/>
              </w:rPr>
              <w:t>“shrimp”</w:t>
            </w:r>
          </w:p>
        </w:tc>
        <w:tc>
          <w:tcPr>
            <w:tcW w:type="dxa" w:w="1800"/>
            <w:shd w:val="clear" w:color="auto" w:fill="FAF7F0"/>
          </w:tcPr>
          <w:p>
            <w:pPr>
              <w:spacing w:before="0" w:after="0" w:line="240" w:lineRule="auto"/>
            </w:pPr>
            <w:r>
              <w:rPr>
                <w:color w:val="1A1A1A"/>
                <w:sz w:val="16"/>
              </w:rPr>
              <w:t>“prawns”</w:t>
            </w:r>
          </w:p>
        </w:tc>
      </w:tr>
      <w:tr>
        <w:trPr>
          <w:cantSplit/>
        </w:trPr>
        <w:tc>
          <w:tcPr>
            <w:tcW w:type="dxa" w:w="1872"/>
            <w:shd w:val="clear" w:color="auto" w:fill="F3EBD8"/>
          </w:tcPr>
          <w:p>
            <w:pPr>
              <w:spacing w:before="0" w:after="0" w:line="240" w:lineRule="auto"/>
            </w:pPr>
            <w:r>
              <w:rPr>
                <w:b/>
                <w:color w:val="1A1A1A"/>
                <w:sz w:val="16"/>
              </w:rPr>
              <w:t>Ground beef</w:t>
            </w:r>
          </w:p>
        </w:tc>
        <w:tc>
          <w:tcPr>
            <w:tcW w:type="dxa" w:w="1814"/>
          </w:tcPr>
          <w:p>
            <w:pPr>
              <w:spacing w:before="0" w:after="0" w:line="240" w:lineRule="auto"/>
            </w:pPr>
            <w:r>
              <w:rPr>
                <w:color w:val="1A1A1A"/>
                <w:sz w:val="16"/>
              </w:rPr>
              <w:t>“ground beef”</w:t>
            </w:r>
          </w:p>
        </w:tc>
        <w:tc>
          <w:tcPr>
            <w:tcW w:type="dxa" w:w="1814"/>
          </w:tcPr>
          <w:p>
            <w:pPr>
              <w:spacing w:before="0" w:after="0" w:line="240" w:lineRule="auto"/>
            </w:pPr>
            <w:r>
              <w:rPr>
                <w:color w:val="1A1A1A"/>
                <w:sz w:val="16"/>
              </w:rPr>
              <w:t>“beef mince”</w:t>
            </w:r>
          </w:p>
        </w:tc>
        <w:tc>
          <w:tcPr>
            <w:tcW w:type="dxa" w:w="1814"/>
          </w:tcPr>
          <w:p>
            <w:pPr>
              <w:spacing w:before="0" w:after="0" w:line="240" w:lineRule="auto"/>
            </w:pPr>
            <w:r>
              <w:rPr>
                <w:color w:val="1A1A1A"/>
                <w:sz w:val="16"/>
              </w:rPr>
              <w:t>“ground beef”</w:t>
            </w:r>
          </w:p>
        </w:tc>
        <w:tc>
          <w:tcPr>
            <w:tcW w:type="dxa" w:w="1800"/>
          </w:tcPr>
          <w:p>
            <w:pPr>
              <w:spacing w:before="0" w:after="0" w:line="240" w:lineRule="auto"/>
            </w:pPr>
            <w:r>
              <w:rPr>
                <w:color w:val="1A1A1A"/>
                <w:sz w:val="16"/>
              </w:rPr>
              <w:t>“beef mince”</w:t>
            </w:r>
          </w:p>
        </w:tc>
      </w:tr>
      <w:tr>
        <w:trPr>
          <w:cantSplit/>
        </w:trPr>
        <w:tc>
          <w:tcPr>
            <w:tcW w:type="dxa" w:w="1872"/>
            <w:shd w:val="clear" w:color="auto" w:fill="F3EBD8"/>
          </w:tcPr>
          <w:p>
            <w:pPr>
              <w:spacing w:before="0" w:after="0" w:line="240" w:lineRule="auto"/>
            </w:pPr>
            <w:r>
              <w:rPr>
                <w:b/>
                <w:color w:val="1A1A1A"/>
                <w:sz w:val="16"/>
              </w:rPr>
              <w:t>All-purpose flour</w:t>
            </w:r>
          </w:p>
        </w:tc>
        <w:tc>
          <w:tcPr>
            <w:tcW w:type="dxa" w:w="1814"/>
            <w:shd w:val="clear" w:color="auto" w:fill="FAF7F0"/>
          </w:tcPr>
          <w:p>
            <w:pPr>
              <w:spacing w:before="0" w:after="0" w:line="240" w:lineRule="auto"/>
            </w:pPr>
            <w:r>
              <w:rPr>
                <w:color w:val="1A1A1A"/>
                <w:sz w:val="16"/>
              </w:rPr>
              <w:t>“all-purpose flour”</w:t>
            </w:r>
          </w:p>
        </w:tc>
        <w:tc>
          <w:tcPr>
            <w:tcW w:type="dxa" w:w="1814"/>
            <w:shd w:val="clear" w:color="auto" w:fill="FAF7F0"/>
          </w:tcPr>
          <w:p>
            <w:pPr>
              <w:spacing w:before="0" w:after="0" w:line="240" w:lineRule="auto"/>
            </w:pPr>
            <w:r>
              <w:rPr>
                <w:color w:val="1A1A1A"/>
                <w:sz w:val="16"/>
              </w:rPr>
              <w:t>“plain flour”</w:t>
            </w:r>
          </w:p>
        </w:tc>
        <w:tc>
          <w:tcPr>
            <w:tcW w:type="dxa" w:w="1814"/>
            <w:shd w:val="clear" w:color="auto" w:fill="FAF7F0"/>
          </w:tcPr>
          <w:p>
            <w:pPr>
              <w:spacing w:before="0" w:after="0" w:line="240" w:lineRule="auto"/>
            </w:pPr>
            <w:r>
              <w:rPr>
                <w:color w:val="1A1A1A"/>
                <w:sz w:val="16"/>
              </w:rPr>
              <w:t>“all-purpose flour”</w:t>
            </w:r>
          </w:p>
        </w:tc>
        <w:tc>
          <w:tcPr>
            <w:tcW w:type="dxa" w:w="1800"/>
            <w:shd w:val="clear" w:color="auto" w:fill="FAF7F0"/>
          </w:tcPr>
          <w:p>
            <w:pPr>
              <w:spacing w:before="0" w:after="0" w:line="240" w:lineRule="auto"/>
            </w:pPr>
            <w:r>
              <w:rPr>
                <w:color w:val="1A1A1A"/>
                <w:sz w:val="16"/>
              </w:rPr>
              <w:t>“plain flour”</w:t>
            </w:r>
          </w:p>
        </w:tc>
      </w:tr>
      <w:tr>
        <w:trPr>
          <w:cantSplit/>
        </w:trPr>
        <w:tc>
          <w:tcPr>
            <w:tcW w:type="dxa" w:w="1872"/>
            <w:shd w:val="clear" w:color="auto" w:fill="F3EBD8"/>
          </w:tcPr>
          <w:p>
            <w:pPr>
              <w:spacing w:before="0" w:after="0" w:line="240" w:lineRule="auto"/>
            </w:pPr>
            <w:r>
              <w:rPr>
                <w:b/>
                <w:color w:val="1A1A1A"/>
                <w:sz w:val="16"/>
              </w:rPr>
              <w:t>Powdered sugar</w:t>
            </w:r>
          </w:p>
        </w:tc>
        <w:tc>
          <w:tcPr>
            <w:tcW w:type="dxa" w:w="1814"/>
          </w:tcPr>
          <w:p>
            <w:pPr>
              <w:spacing w:before="0" w:after="0" w:line="240" w:lineRule="auto"/>
            </w:pPr>
            <w:r>
              <w:rPr>
                <w:color w:val="1A1A1A"/>
                <w:sz w:val="16"/>
              </w:rPr>
              <w:t>“powdered” / “confectioners' sugar”</w:t>
            </w:r>
          </w:p>
        </w:tc>
        <w:tc>
          <w:tcPr>
            <w:tcW w:type="dxa" w:w="1814"/>
          </w:tcPr>
          <w:p>
            <w:pPr>
              <w:spacing w:before="0" w:after="0" w:line="240" w:lineRule="auto"/>
            </w:pPr>
            <w:r>
              <w:rPr>
                <w:color w:val="1A1A1A"/>
                <w:sz w:val="16"/>
              </w:rPr>
              <w:t>“icing sugar”</w:t>
            </w:r>
          </w:p>
        </w:tc>
        <w:tc>
          <w:tcPr>
            <w:tcW w:type="dxa" w:w="1814"/>
          </w:tcPr>
          <w:p>
            <w:pPr>
              <w:spacing w:before="0" w:after="0" w:line="240" w:lineRule="auto"/>
            </w:pPr>
            <w:r>
              <w:rPr>
                <w:color w:val="1A1A1A"/>
                <w:sz w:val="16"/>
              </w:rPr>
              <w:t>“icing sugar”</w:t>
            </w:r>
          </w:p>
        </w:tc>
        <w:tc>
          <w:tcPr>
            <w:tcW w:type="dxa" w:w="1800"/>
          </w:tcPr>
          <w:p>
            <w:pPr>
              <w:spacing w:before="0" w:after="0" w:line="240" w:lineRule="auto"/>
            </w:pPr>
            <w:r>
              <w:rPr>
                <w:color w:val="1A1A1A"/>
                <w:sz w:val="16"/>
              </w:rPr>
              <w:t>“icing sugar”</w:t>
            </w:r>
          </w:p>
        </w:tc>
      </w:tr>
      <w:tr>
        <w:trPr>
          <w:cantSplit/>
        </w:trPr>
        <w:tc>
          <w:tcPr>
            <w:tcW w:type="dxa" w:w="1872"/>
            <w:shd w:val="clear" w:color="auto" w:fill="F3EBD8"/>
          </w:tcPr>
          <w:p>
            <w:pPr>
              <w:spacing w:before="0" w:after="0" w:line="240" w:lineRule="auto"/>
            </w:pPr>
            <w:r>
              <w:rPr>
                <w:b/>
                <w:color w:val="1A1A1A"/>
                <w:sz w:val="16"/>
              </w:rPr>
              <w:t>Superfine sugar</w:t>
            </w:r>
          </w:p>
        </w:tc>
        <w:tc>
          <w:tcPr>
            <w:tcW w:type="dxa" w:w="1814"/>
            <w:shd w:val="clear" w:color="auto" w:fill="FAF7F0"/>
          </w:tcPr>
          <w:p>
            <w:pPr>
              <w:spacing w:before="0" w:after="0" w:line="240" w:lineRule="auto"/>
            </w:pPr>
            <w:r>
              <w:rPr>
                <w:color w:val="1A1A1A"/>
                <w:sz w:val="16"/>
              </w:rPr>
              <w:t>“superfine sugar”</w:t>
            </w:r>
          </w:p>
        </w:tc>
        <w:tc>
          <w:tcPr>
            <w:tcW w:type="dxa" w:w="1814"/>
            <w:shd w:val="clear" w:color="auto" w:fill="FAF7F0"/>
          </w:tcPr>
          <w:p>
            <w:pPr>
              <w:spacing w:before="0" w:after="0" w:line="240" w:lineRule="auto"/>
            </w:pPr>
            <w:r>
              <w:rPr>
                <w:color w:val="1A1A1A"/>
                <w:sz w:val="16"/>
              </w:rPr>
              <w:t>“caster sugar”</w:t>
            </w:r>
          </w:p>
        </w:tc>
        <w:tc>
          <w:tcPr>
            <w:tcW w:type="dxa" w:w="1814"/>
            <w:shd w:val="clear" w:color="auto" w:fill="FAF7F0"/>
          </w:tcPr>
          <w:p>
            <w:pPr>
              <w:spacing w:before="0" w:after="0" w:line="240" w:lineRule="auto"/>
            </w:pPr>
            <w:r>
              <w:rPr>
                <w:color w:val="1A1A1A"/>
                <w:sz w:val="16"/>
              </w:rPr>
              <w:t>“superfine sugar”</w:t>
            </w:r>
          </w:p>
        </w:tc>
        <w:tc>
          <w:tcPr>
            <w:tcW w:type="dxa" w:w="1800"/>
            <w:shd w:val="clear" w:color="auto" w:fill="FAF7F0"/>
          </w:tcPr>
          <w:p>
            <w:pPr>
              <w:spacing w:before="0" w:after="0" w:line="240" w:lineRule="auto"/>
            </w:pPr>
            <w:r>
              <w:rPr>
                <w:color w:val="1A1A1A"/>
                <w:sz w:val="16"/>
              </w:rPr>
              <w:t>“caster sugar”</w:t>
            </w:r>
          </w:p>
        </w:tc>
      </w:tr>
      <w:tr>
        <w:trPr>
          <w:cantSplit/>
        </w:trPr>
        <w:tc>
          <w:tcPr>
            <w:tcW w:type="dxa" w:w="1872"/>
            <w:shd w:val="clear" w:color="auto" w:fill="F3EBD8"/>
          </w:tcPr>
          <w:p>
            <w:pPr>
              <w:spacing w:before="0" w:after="0" w:line="240" w:lineRule="auto"/>
            </w:pPr>
            <w:r>
              <w:rPr>
                <w:b/>
                <w:color w:val="1A1A1A"/>
                <w:sz w:val="16"/>
              </w:rPr>
              <w:t>Cream for whipping</w:t>
            </w:r>
          </w:p>
        </w:tc>
        <w:tc>
          <w:tcPr>
            <w:tcW w:type="dxa" w:w="1814"/>
          </w:tcPr>
          <w:p>
            <w:pPr>
              <w:spacing w:before="0" w:after="0" w:line="240" w:lineRule="auto"/>
            </w:pPr>
            <w:r>
              <w:rPr>
                <w:color w:val="1A1A1A"/>
                <w:sz w:val="16"/>
              </w:rPr>
              <w:t>“heavy cream”</w:t>
            </w:r>
          </w:p>
        </w:tc>
        <w:tc>
          <w:tcPr>
            <w:tcW w:type="dxa" w:w="1814"/>
          </w:tcPr>
          <w:p>
            <w:pPr>
              <w:spacing w:before="0" w:after="0" w:line="240" w:lineRule="auto"/>
            </w:pPr>
            <w:r>
              <w:rPr>
                <w:color w:val="1A1A1A"/>
                <w:sz w:val="16"/>
              </w:rPr>
              <w:t>“double cream” or “whipping cream”</w:t>
            </w:r>
          </w:p>
        </w:tc>
        <w:tc>
          <w:tcPr>
            <w:tcW w:type="dxa" w:w="1814"/>
          </w:tcPr>
          <w:p>
            <w:pPr>
              <w:spacing w:before="0" w:after="0" w:line="240" w:lineRule="auto"/>
            </w:pPr>
            <w:r>
              <w:rPr>
                <w:color w:val="1A1A1A"/>
                <w:sz w:val="16"/>
              </w:rPr>
              <w:t>“whipping cream”</w:t>
            </w:r>
          </w:p>
        </w:tc>
        <w:tc>
          <w:tcPr>
            <w:tcW w:type="dxa" w:w="1800"/>
          </w:tcPr>
          <w:p>
            <w:pPr>
              <w:spacing w:before="0" w:after="0" w:line="240" w:lineRule="auto"/>
            </w:pPr>
            <w:r>
              <w:rPr>
                <w:color w:val="1A1A1A"/>
                <w:sz w:val="16"/>
              </w:rPr>
              <w:t>“thickened cream” or “pure cream”</w:t>
            </w:r>
          </w:p>
        </w:tc>
      </w:tr>
      <w:tr>
        <w:trPr>
          <w:cantSplit/>
        </w:trPr>
        <w:tc>
          <w:tcPr>
            <w:tcW w:type="dxa" w:w="1872"/>
            <w:shd w:val="clear" w:color="auto" w:fill="F3EBD8"/>
          </w:tcPr>
          <w:p>
            <w:pPr>
              <w:spacing w:before="0" w:after="0" w:line="240" w:lineRule="auto"/>
            </w:pPr>
            <w:r>
              <w:rPr>
                <w:b/>
                <w:color w:val="1A1A1A"/>
                <w:sz w:val="16"/>
              </w:rPr>
              <w:t>Sweet baked cookie</w:t>
            </w:r>
          </w:p>
        </w:tc>
        <w:tc>
          <w:tcPr>
            <w:tcW w:type="dxa" w:w="1814"/>
            <w:shd w:val="clear" w:color="auto" w:fill="FAF7F0"/>
          </w:tcPr>
          <w:p>
            <w:pPr>
              <w:spacing w:before="0" w:after="0" w:line="240" w:lineRule="auto"/>
            </w:pPr>
            <w:r>
              <w:rPr>
                <w:color w:val="1A1A1A"/>
                <w:sz w:val="16"/>
              </w:rPr>
              <w:t>“cookie”</w:t>
            </w:r>
          </w:p>
        </w:tc>
        <w:tc>
          <w:tcPr>
            <w:tcW w:type="dxa" w:w="1814"/>
            <w:shd w:val="clear" w:color="auto" w:fill="FAF7F0"/>
          </w:tcPr>
          <w:p>
            <w:pPr>
              <w:spacing w:before="0" w:after="0" w:line="240" w:lineRule="auto"/>
            </w:pPr>
            <w:r>
              <w:rPr>
                <w:color w:val="1A1A1A"/>
                <w:sz w:val="16"/>
              </w:rPr>
              <w:t>“biscuit”</w:t>
            </w:r>
          </w:p>
        </w:tc>
        <w:tc>
          <w:tcPr>
            <w:tcW w:type="dxa" w:w="1814"/>
            <w:shd w:val="clear" w:color="auto" w:fill="FAF7F0"/>
          </w:tcPr>
          <w:p>
            <w:pPr>
              <w:spacing w:before="0" w:after="0" w:line="240" w:lineRule="auto"/>
            </w:pPr>
            <w:r>
              <w:rPr>
                <w:color w:val="1A1A1A"/>
                <w:sz w:val="16"/>
              </w:rPr>
              <w:t>“cookie”</w:t>
            </w:r>
          </w:p>
        </w:tc>
        <w:tc>
          <w:tcPr>
            <w:tcW w:type="dxa" w:w="1800"/>
            <w:shd w:val="clear" w:color="auto" w:fill="FAF7F0"/>
          </w:tcPr>
          <w:p>
            <w:pPr>
              <w:spacing w:before="0" w:after="0" w:line="240" w:lineRule="auto"/>
            </w:pPr>
            <w:r>
              <w:rPr>
                <w:color w:val="1A1A1A"/>
                <w:sz w:val="16"/>
              </w:rPr>
              <w:t>“biscuit”</w:t>
            </w:r>
          </w:p>
        </w:tc>
      </w:tr>
      <w:tr>
        <w:trPr>
          <w:cantSplit/>
        </w:trPr>
        <w:tc>
          <w:tcPr>
            <w:tcW w:type="dxa" w:w="1872"/>
            <w:shd w:val="clear" w:color="auto" w:fill="F3EBD8"/>
          </w:tcPr>
          <w:p>
            <w:pPr>
              <w:spacing w:before="0" w:after="0" w:line="240" w:lineRule="auto"/>
            </w:pPr>
            <w:r>
              <w:rPr>
                <w:b/>
                <w:color w:val="1A1A1A"/>
                <w:sz w:val="16"/>
              </w:rPr>
              <w:t>Food to take away</w:t>
            </w:r>
          </w:p>
        </w:tc>
        <w:tc>
          <w:tcPr>
            <w:tcW w:type="dxa" w:w="1814"/>
          </w:tcPr>
          <w:p>
            <w:pPr>
              <w:spacing w:before="0" w:after="0" w:line="240" w:lineRule="auto"/>
            </w:pPr>
            <w:r>
              <w:rPr>
                <w:color w:val="1A1A1A"/>
                <w:sz w:val="16"/>
              </w:rPr>
              <w:t>“takeout” / “to go”</w:t>
            </w:r>
          </w:p>
        </w:tc>
        <w:tc>
          <w:tcPr>
            <w:tcW w:type="dxa" w:w="1814"/>
          </w:tcPr>
          <w:p>
            <w:pPr>
              <w:spacing w:before="0" w:after="0" w:line="240" w:lineRule="auto"/>
            </w:pPr>
            <w:r>
              <w:rPr>
                <w:color w:val="1A1A1A"/>
                <w:sz w:val="16"/>
              </w:rPr>
              <w:t>“takeaway”</w:t>
            </w:r>
          </w:p>
        </w:tc>
        <w:tc>
          <w:tcPr>
            <w:tcW w:type="dxa" w:w="1814"/>
          </w:tcPr>
          <w:p>
            <w:pPr>
              <w:spacing w:before="0" w:after="0" w:line="240" w:lineRule="auto"/>
            </w:pPr>
            <w:r>
              <w:rPr>
                <w:color w:val="1A1A1A"/>
                <w:sz w:val="16"/>
              </w:rPr>
              <w:t>“takeout”</w:t>
            </w:r>
          </w:p>
        </w:tc>
        <w:tc>
          <w:tcPr>
            <w:tcW w:type="dxa" w:w="1800"/>
          </w:tcPr>
          <w:p>
            <w:pPr>
              <w:spacing w:before="0" w:after="0" w:line="240" w:lineRule="auto"/>
            </w:pPr>
            <w:r>
              <w:rPr>
                <w:color w:val="1A1A1A"/>
                <w:sz w:val="16"/>
              </w:rPr>
              <w:t>“takeaway”</w:t>
            </w:r>
          </w:p>
        </w:tc>
      </w:tr>
      <w:tr>
        <w:trPr>
          <w:cantSplit/>
        </w:trPr>
        <w:tc>
          <w:tcPr>
            <w:tcW w:type="dxa" w:w="1872"/>
            <w:shd w:val="clear" w:color="auto" w:fill="F3EBD8"/>
          </w:tcPr>
          <w:p>
            <w:pPr>
              <w:spacing w:before="0" w:after="0" w:line="240" w:lineRule="auto"/>
            </w:pPr>
            <w:r>
              <w:rPr>
                <w:b/>
                <w:color w:val="1A1A1A"/>
                <w:sz w:val="16"/>
              </w:rPr>
              <w:t>What the guest pays at the end</w:t>
            </w:r>
          </w:p>
        </w:tc>
        <w:tc>
          <w:tcPr>
            <w:tcW w:type="dxa" w:w="1814"/>
            <w:shd w:val="clear" w:color="auto" w:fill="FAF7F0"/>
          </w:tcPr>
          <w:p>
            <w:pPr>
              <w:spacing w:before="0" w:after="0" w:line="240" w:lineRule="auto"/>
            </w:pPr>
            <w:r>
              <w:rPr>
                <w:color w:val="1A1A1A"/>
                <w:sz w:val="16"/>
              </w:rPr>
              <w:t>“check”</w:t>
            </w:r>
          </w:p>
        </w:tc>
        <w:tc>
          <w:tcPr>
            <w:tcW w:type="dxa" w:w="1814"/>
            <w:shd w:val="clear" w:color="auto" w:fill="FAF7F0"/>
          </w:tcPr>
          <w:p>
            <w:pPr>
              <w:spacing w:before="0" w:after="0" w:line="240" w:lineRule="auto"/>
            </w:pPr>
            <w:r>
              <w:rPr>
                <w:color w:val="1A1A1A"/>
                <w:sz w:val="16"/>
              </w:rPr>
              <w:t>“bill”</w:t>
            </w:r>
          </w:p>
        </w:tc>
        <w:tc>
          <w:tcPr>
            <w:tcW w:type="dxa" w:w="1814"/>
            <w:shd w:val="clear" w:color="auto" w:fill="FAF7F0"/>
          </w:tcPr>
          <w:p>
            <w:pPr>
              <w:spacing w:before="0" w:after="0" w:line="240" w:lineRule="auto"/>
            </w:pPr>
            <w:r>
              <w:rPr>
                <w:color w:val="1A1A1A"/>
                <w:sz w:val="16"/>
              </w:rPr>
              <w:t>“bill” (“check” also heard)</w:t>
            </w:r>
          </w:p>
        </w:tc>
        <w:tc>
          <w:tcPr>
            <w:tcW w:type="dxa" w:w="1800"/>
            <w:shd w:val="clear" w:color="auto" w:fill="FAF7F0"/>
          </w:tcPr>
          <w:p>
            <w:pPr>
              <w:spacing w:before="0" w:after="0" w:line="240" w:lineRule="auto"/>
            </w:pPr>
            <w:r>
              <w:rPr>
                <w:color w:val="1A1A1A"/>
                <w:sz w:val="16"/>
              </w:rPr>
              <w:t>“bill”</w:t>
            </w:r>
          </w:p>
        </w:tc>
      </w:tr>
      <w:tr>
        <w:trPr>
          <w:cantSplit/>
        </w:trPr>
        <w:tc>
          <w:tcPr>
            <w:tcW w:type="dxa" w:w="1872"/>
            <w:shd w:val="clear" w:color="auto" w:fill="F3EBD8"/>
          </w:tcPr>
          <w:p>
            <w:pPr>
              <w:spacing w:before="0" w:after="0" w:line="240" w:lineRule="auto"/>
            </w:pPr>
            <w:r>
              <w:rPr>
                <w:b/>
                <w:color w:val="1A1A1A"/>
                <w:sz w:val="16"/>
              </w:rPr>
              <w:t>Person who serves tables</w:t>
            </w:r>
          </w:p>
        </w:tc>
        <w:tc>
          <w:tcPr>
            <w:tcW w:type="dxa" w:w="1814"/>
          </w:tcPr>
          <w:p>
            <w:pPr>
              <w:spacing w:before="0" w:after="0" w:line="240" w:lineRule="auto"/>
            </w:pPr>
            <w:r>
              <w:rPr>
                <w:color w:val="1A1A1A"/>
                <w:sz w:val="16"/>
              </w:rPr>
              <w:t>“server”</w:t>
            </w:r>
          </w:p>
        </w:tc>
        <w:tc>
          <w:tcPr>
            <w:tcW w:type="dxa" w:w="1814"/>
          </w:tcPr>
          <w:p>
            <w:pPr>
              <w:spacing w:before="0" w:after="0" w:line="240" w:lineRule="auto"/>
            </w:pPr>
            <w:r>
              <w:rPr>
                <w:color w:val="1A1A1A"/>
                <w:sz w:val="16"/>
              </w:rPr>
              <w:t>“waiter” / “waiting staff”</w:t>
            </w:r>
          </w:p>
        </w:tc>
        <w:tc>
          <w:tcPr>
            <w:tcW w:type="dxa" w:w="1814"/>
          </w:tcPr>
          <w:p>
            <w:pPr>
              <w:spacing w:before="0" w:after="0" w:line="240" w:lineRule="auto"/>
            </w:pPr>
            <w:r>
              <w:rPr>
                <w:color w:val="1A1A1A"/>
                <w:sz w:val="16"/>
              </w:rPr>
              <w:t>“server”</w:t>
            </w:r>
          </w:p>
        </w:tc>
        <w:tc>
          <w:tcPr>
            <w:tcW w:type="dxa" w:w="1800"/>
          </w:tcPr>
          <w:p>
            <w:pPr>
              <w:spacing w:before="0" w:after="0" w:line="240" w:lineRule="auto"/>
            </w:pPr>
            <w:r>
              <w:rPr>
                <w:color w:val="1A1A1A"/>
                <w:sz w:val="16"/>
              </w:rPr>
              <w:t>“waiter” / “wait staff”</w:t>
            </w:r>
          </w:p>
        </w:tc>
      </w:tr>
      <w:tr>
        <w:trPr>
          <w:cantSplit/>
        </w:trPr>
        <w:tc>
          <w:tcPr>
            <w:tcW w:type="dxa" w:w="1872"/>
            <w:shd w:val="clear" w:color="auto" w:fill="F3EBD8"/>
          </w:tcPr>
          <w:p>
            <w:pPr>
              <w:spacing w:before="0" w:after="0" w:line="240" w:lineRule="auto"/>
            </w:pPr>
            <w:r>
              <w:rPr>
                <w:b/>
                <w:color w:val="1A1A1A"/>
                <w:sz w:val="16"/>
              </w:rPr>
              <w:t>Cook on a station</w:t>
            </w:r>
          </w:p>
        </w:tc>
        <w:tc>
          <w:tcPr>
            <w:tcW w:type="dxa" w:w="1814"/>
            <w:shd w:val="clear" w:color="auto" w:fill="FAF7F0"/>
          </w:tcPr>
          <w:p>
            <w:pPr>
              <w:spacing w:before="0" w:after="0" w:line="240" w:lineRule="auto"/>
            </w:pPr>
            <w:r>
              <w:rPr>
                <w:color w:val="1A1A1A"/>
                <w:sz w:val="16"/>
              </w:rPr>
              <w:t>“line cook”</w:t>
            </w:r>
          </w:p>
        </w:tc>
        <w:tc>
          <w:tcPr>
            <w:tcW w:type="dxa" w:w="1814"/>
            <w:shd w:val="clear" w:color="auto" w:fill="FAF7F0"/>
          </w:tcPr>
          <w:p>
            <w:pPr>
              <w:spacing w:before="0" w:after="0" w:line="240" w:lineRule="auto"/>
            </w:pPr>
            <w:r>
              <w:rPr>
                <w:color w:val="1A1A1A"/>
                <w:sz w:val="16"/>
              </w:rPr>
              <w:t>“chef de partie” / “commis chef”</w:t>
            </w:r>
          </w:p>
        </w:tc>
        <w:tc>
          <w:tcPr>
            <w:tcW w:type="dxa" w:w="1814"/>
            <w:shd w:val="clear" w:color="auto" w:fill="FAF7F0"/>
          </w:tcPr>
          <w:p>
            <w:pPr>
              <w:spacing w:before="0" w:after="0" w:line="240" w:lineRule="auto"/>
            </w:pPr>
            <w:r>
              <w:rPr>
                <w:color w:val="1A1A1A"/>
                <w:sz w:val="16"/>
              </w:rPr>
              <w:t>“line cook”</w:t>
            </w:r>
          </w:p>
        </w:tc>
        <w:tc>
          <w:tcPr>
            <w:tcW w:type="dxa" w:w="1800"/>
            <w:shd w:val="clear" w:color="auto" w:fill="FAF7F0"/>
          </w:tcPr>
          <w:p>
            <w:pPr>
              <w:spacing w:before="0" w:after="0" w:line="240" w:lineRule="auto"/>
            </w:pPr>
            <w:r>
              <w:rPr>
                <w:color w:val="1A1A1A"/>
                <w:sz w:val="16"/>
              </w:rPr>
              <w:t>“chef de partie” / “cook”</w:t>
            </w:r>
          </w:p>
        </w:tc>
      </w:tr>
      <w:tr>
        <w:trPr>
          <w:cantSplit/>
        </w:trPr>
        <w:tc>
          <w:tcPr>
            <w:tcW w:type="dxa" w:w="1872"/>
            <w:shd w:val="clear" w:color="auto" w:fill="F3EBD8"/>
          </w:tcPr>
          <w:p>
            <w:pPr>
              <w:spacing w:before="0" w:after="0" w:line="240" w:lineRule="auto"/>
            </w:pPr>
            <w:r>
              <w:rPr>
                <w:b/>
                <w:color w:val="1A1A1A"/>
                <w:sz w:val="16"/>
              </w:rPr>
              <w:t>Person who washes up</w:t>
            </w:r>
          </w:p>
        </w:tc>
        <w:tc>
          <w:tcPr>
            <w:tcW w:type="dxa" w:w="1814"/>
          </w:tcPr>
          <w:p>
            <w:pPr>
              <w:spacing w:before="0" w:after="0" w:line="240" w:lineRule="auto"/>
            </w:pPr>
            <w:r>
              <w:rPr>
                <w:color w:val="1A1A1A"/>
                <w:sz w:val="16"/>
              </w:rPr>
              <w:t>“dishwasher”</w:t>
            </w:r>
          </w:p>
        </w:tc>
        <w:tc>
          <w:tcPr>
            <w:tcW w:type="dxa" w:w="1814"/>
          </w:tcPr>
          <w:p>
            <w:pPr>
              <w:spacing w:before="0" w:after="0" w:line="240" w:lineRule="auto"/>
            </w:pPr>
            <w:r>
              <w:rPr>
                <w:color w:val="1A1A1A"/>
                <w:sz w:val="16"/>
              </w:rPr>
              <w:t>“kitchen porter” (KP)</w:t>
            </w:r>
          </w:p>
        </w:tc>
        <w:tc>
          <w:tcPr>
            <w:tcW w:type="dxa" w:w="1814"/>
          </w:tcPr>
          <w:p>
            <w:pPr>
              <w:spacing w:before="0" w:after="0" w:line="240" w:lineRule="auto"/>
            </w:pPr>
            <w:r>
              <w:rPr>
                <w:color w:val="1A1A1A"/>
                <w:sz w:val="16"/>
              </w:rPr>
              <w:t>“dishwasher”</w:t>
            </w:r>
          </w:p>
        </w:tc>
        <w:tc>
          <w:tcPr>
            <w:tcW w:type="dxa" w:w="1800"/>
          </w:tcPr>
          <w:p>
            <w:pPr>
              <w:spacing w:before="0" w:after="0" w:line="240" w:lineRule="auto"/>
            </w:pPr>
            <w:r>
              <w:rPr>
                <w:color w:val="1A1A1A"/>
                <w:sz w:val="16"/>
              </w:rPr>
              <w:t>“kitchen hand”</w:t>
            </w:r>
          </w:p>
        </w:tc>
      </w:tr>
      <w:tr>
        <w:trPr>
          <w:cantSplit/>
        </w:trPr>
        <w:tc>
          <w:tcPr>
            <w:tcW w:type="dxa" w:w="1872"/>
            <w:shd w:val="clear" w:color="auto" w:fill="F3EBD8"/>
          </w:tcPr>
          <w:p>
            <w:pPr>
              <w:spacing w:before="0" w:after="0" w:line="240" w:lineRule="auto"/>
            </w:pPr>
            <w:r>
              <w:rPr>
                <w:b/>
                <w:color w:val="1A1A1A"/>
                <w:sz w:val="16"/>
              </w:rPr>
              <w:t>Beer from the tap</w:t>
            </w:r>
          </w:p>
        </w:tc>
        <w:tc>
          <w:tcPr>
            <w:tcW w:type="dxa" w:w="1814"/>
            <w:shd w:val="clear" w:color="auto" w:fill="FAF7F0"/>
          </w:tcPr>
          <w:p>
            <w:pPr>
              <w:spacing w:before="0" w:after="0" w:line="240" w:lineRule="auto"/>
            </w:pPr>
            <w:r>
              <w:rPr>
                <w:color w:val="1A1A1A"/>
                <w:sz w:val="16"/>
              </w:rPr>
              <w:t>“draft beer”</w:t>
            </w:r>
          </w:p>
        </w:tc>
        <w:tc>
          <w:tcPr>
            <w:tcW w:type="dxa" w:w="1814"/>
            <w:shd w:val="clear" w:color="auto" w:fill="FAF7F0"/>
          </w:tcPr>
          <w:p>
            <w:pPr>
              <w:spacing w:before="0" w:after="0" w:line="240" w:lineRule="auto"/>
            </w:pPr>
            <w:r>
              <w:rPr>
                <w:color w:val="1A1A1A"/>
                <w:sz w:val="16"/>
              </w:rPr>
              <w:t>“draught beer”</w:t>
            </w:r>
          </w:p>
        </w:tc>
        <w:tc>
          <w:tcPr>
            <w:tcW w:type="dxa" w:w="1814"/>
            <w:shd w:val="clear" w:color="auto" w:fill="FAF7F0"/>
          </w:tcPr>
          <w:p>
            <w:pPr>
              <w:spacing w:before="0" w:after="0" w:line="240" w:lineRule="auto"/>
            </w:pPr>
            <w:r>
              <w:rPr>
                <w:color w:val="1A1A1A"/>
                <w:sz w:val="16"/>
              </w:rPr>
              <w:t>“draft beer”</w:t>
            </w:r>
          </w:p>
        </w:tc>
        <w:tc>
          <w:tcPr>
            <w:tcW w:type="dxa" w:w="1800"/>
            <w:shd w:val="clear" w:color="auto" w:fill="FAF7F0"/>
          </w:tcPr>
          <w:p>
            <w:pPr>
              <w:spacing w:before="0" w:after="0" w:line="240" w:lineRule="auto"/>
            </w:pPr>
            <w:r>
              <w:rPr>
                <w:color w:val="1A1A1A"/>
                <w:sz w:val="16"/>
              </w:rPr>
              <w:t>“tap beer” / “draught”</w:t>
            </w:r>
          </w:p>
        </w:tc>
      </w:tr>
      <w:tr>
        <w:trPr>
          <w:cantSplit/>
        </w:trPr>
        <w:tc>
          <w:tcPr>
            <w:tcW w:type="dxa" w:w="1872"/>
            <w:shd w:val="clear" w:color="auto" w:fill="F3EBD8"/>
          </w:tcPr>
          <w:p>
            <w:pPr>
              <w:spacing w:before="0" w:after="0" w:line="240" w:lineRule="auto"/>
            </w:pPr>
            <w:r>
              <w:rPr>
                <w:b/>
                <w:color w:val="1A1A1A"/>
                <w:sz w:val="16"/>
              </w:rPr>
              <w:t>Shop that sells bottles to take home</w:t>
            </w:r>
          </w:p>
        </w:tc>
        <w:tc>
          <w:tcPr>
            <w:tcW w:type="dxa" w:w="1814"/>
          </w:tcPr>
          <w:p>
            <w:pPr>
              <w:spacing w:before="0" w:after="0" w:line="240" w:lineRule="auto"/>
            </w:pPr>
            <w:r>
              <w:rPr>
                <w:color w:val="1A1A1A"/>
                <w:sz w:val="16"/>
              </w:rPr>
              <w:t>“liquor store”</w:t>
            </w:r>
          </w:p>
        </w:tc>
        <w:tc>
          <w:tcPr>
            <w:tcW w:type="dxa" w:w="1814"/>
          </w:tcPr>
          <w:p>
            <w:pPr>
              <w:spacing w:before="0" w:after="0" w:line="240" w:lineRule="auto"/>
            </w:pPr>
            <w:r>
              <w:rPr>
                <w:color w:val="1A1A1A"/>
                <w:sz w:val="16"/>
              </w:rPr>
              <w:t>“off-licence”</w:t>
            </w:r>
          </w:p>
        </w:tc>
        <w:tc>
          <w:tcPr>
            <w:tcW w:type="dxa" w:w="1814"/>
          </w:tcPr>
          <w:p>
            <w:pPr>
              <w:spacing w:before="0" w:after="0" w:line="240" w:lineRule="auto"/>
            </w:pPr>
            <w:r>
              <w:rPr>
                <w:color w:val="1A1A1A"/>
                <w:sz w:val="16"/>
              </w:rPr>
              <w:t>“liquor store”</w:t>
            </w:r>
          </w:p>
        </w:tc>
        <w:tc>
          <w:tcPr>
            <w:tcW w:type="dxa" w:w="1800"/>
          </w:tcPr>
          <w:p>
            <w:pPr>
              <w:spacing w:before="0" w:after="0" w:line="240" w:lineRule="auto"/>
            </w:pPr>
            <w:r>
              <w:rPr>
                <w:color w:val="1A1A1A"/>
                <w:sz w:val="16"/>
              </w:rPr>
              <w:t>“bottle shop”</w:t>
            </w:r>
          </w:p>
        </w:tc>
      </w:tr>
      <w:tr>
        <w:trPr>
          <w:cantSplit/>
        </w:trPr>
        <w:tc>
          <w:tcPr>
            <w:tcW w:type="dxa" w:w="1872"/>
            <w:shd w:val="clear" w:color="auto" w:fill="F3EBD8"/>
          </w:tcPr>
          <w:p>
            <w:pPr>
              <w:spacing w:before="0" w:after="0" w:line="240" w:lineRule="auto"/>
            </w:pPr>
            <w:r>
              <w:rPr>
                <w:b/>
                <w:color w:val="1A1A1A"/>
                <w:sz w:val="16"/>
              </w:rPr>
              <w:t>Customer toilets</w:t>
            </w:r>
          </w:p>
        </w:tc>
        <w:tc>
          <w:tcPr>
            <w:tcW w:type="dxa" w:w="1814"/>
            <w:shd w:val="clear" w:color="auto" w:fill="FAF7F0"/>
          </w:tcPr>
          <w:p>
            <w:pPr>
              <w:spacing w:before="0" w:after="0" w:line="240" w:lineRule="auto"/>
            </w:pPr>
            <w:r>
              <w:rPr>
                <w:color w:val="1A1A1A"/>
                <w:sz w:val="16"/>
              </w:rPr>
              <w:t>“restroom”</w:t>
            </w:r>
          </w:p>
        </w:tc>
        <w:tc>
          <w:tcPr>
            <w:tcW w:type="dxa" w:w="1814"/>
            <w:shd w:val="clear" w:color="auto" w:fill="FAF7F0"/>
          </w:tcPr>
          <w:p>
            <w:pPr>
              <w:spacing w:before="0" w:after="0" w:line="240" w:lineRule="auto"/>
            </w:pPr>
            <w:r>
              <w:rPr>
                <w:color w:val="1A1A1A"/>
                <w:sz w:val="16"/>
              </w:rPr>
              <w:t>“toilets”</w:t>
            </w:r>
          </w:p>
        </w:tc>
        <w:tc>
          <w:tcPr>
            <w:tcW w:type="dxa" w:w="1814"/>
            <w:shd w:val="clear" w:color="auto" w:fill="FAF7F0"/>
          </w:tcPr>
          <w:p>
            <w:pPr>
              <w:spacing w:before="0" w:after="0" w:line="240" w:lineRule="auto"/>
            </w:pPr>
            <w:r>
              <w:rPr>
                <w:color w:val="1A1A1A"/>
                <w:sz w:val="16"/>
              </w:rPr>
              <w:t>“washroom”</w:t>
            </w:r>
          </w:p>
        </w:tc>
        <w:tc>
          <w:tcPr>
            <w:tcW w:type="dxa" w:w="1800"/>
            <w:shd w:val="clear" w:color="auto" w:fill="FAF7F0"/>
          </w:tcPr>
          <w:p>
            <w:pPr>
              <w:spacing w:before="0" w:after="0" w:line="240" w:lineRule="auto"/>
            </w:pPr>
            <w:r>
              <w:rPr>
                <w:color w:val="1A1A1A"/>
                <w:sz w:val="16"/>
              </w:rPr>
              <w:t>“toilets”</w:t>
            </w:r>
          </w:p>
        </w:tc>
      </w:tr>
      <w:tr>
        <w:trPr>
          <w:cantSplit/>
        </w:trPr>
        <w:tc>
          <w:tcPr>
            <w:tcW w:type="dxa" w:w="1872"/>
            <w:shd w:val="clear" w:color="auto" w:fill="F3EBD8"/>
          </w:tcPr>
          <w:p>
            <w:pPr>
              <w:spacing w:before="0" w:after="0" w:line="240" w:lineRule="auto"/>
            </w:pPr>
            <w:r>
              <w:rPr>
                <w:b/>
                <w:color w:val="1A1A1A"/>
                <w:sz w:val="16"/>
              </w:rPr>
              <w:t>Plastic film for wrapping food</w:t>
            </w:r>
          </w:p>
        </w:tc>
        <w:tc>
          <w:tcPr>
            <w:tcW w:type="dxa" w:w="1814"/>
          </w:tcPr>
          <w:p>
            <w:pPr>
              <w:spacing w:before="0" w:after="0" w:line="240" w:lineRule="auto"/>
            </w:pPr>
            <w:r>
              <w:rPr>
                <w:color w:val="1A1A1A"/>
                <w:sz w:val="16"/>
              </w:rPr>
              <w:t>“plastic wrap”</w:t>
            </w:r>
          </w:p>
        </w:tc>
        <w:tc>
          <w:tcPr>
            <w:tcW w:type="dxa" w:w="1814"/>
          </w:tcPr>
          <w:p>
            <w:pPr>
              <w:spacing w:before="0" w:after="0" w:line="240" w:lineRule="auto"/>
            </w:pPr>
            <w:r>
              <w:rPr>
                <w:color w:val="1A1A1A"/>
                <w:sz w:val="16"/>
              </w:rPr>
              <w:t>“cling film”</w:t>
            </w:r>
          </w:p>
        </w:tc>
        <w:tc>
          <w:tcPr>
            <w:tcW w:type="dxa" w:w="1814"/>
          </w:tcPr>
          <w:p>
            <w:pPr>
              <w:spacing w:before="0" w:after="0" w:line="240" w:lineRule="auto"/>
            </w:pPr>
            <w:r>
              <w:rPr>
                <w:color w:val="1A1A1A"/>
                <w:sz w:val="16"/>
              </w:rPr>
              <w:t>“plastic wrap”</w:t>
            </w:r>
          </w:p>
        </w:tc>
        <w:tc>
          <w:tcPr>
            <w:tcW w:type="dxa" w:w="1800"/>
          </w:tcPr>
          <w:p>
            <w:pPr>
              <w:spacing w:before="0" w:after="0" w:line="240" w:lineRule="auto"/>
            </w:pPr>
            <w:r>
              <w:rPr>
                <w:color w:val="1A1A1A"/>
                <w:sz w:val="16"/>
              </w:rPr>
              <w:t>“cling wrap”</w:t>
            </w:r>
          </w:p>
        </w:tc>
      </w:tr>
      <w:tr>
        <w:trPr>
          <w:cantSplit/>
        </w:trPr>
        <w:tc>
          <w:tcPr>
            <w:tcW w:type="dxa" w:w="1872"/>
            <w:shd w:val="clear" w:color="auto" w:fill="F3EBD8"/>
          </w:tcPr>
          <w:p>
            <w:pPr>
              <w:spacing w:before="0" w:after="0" w:line="240" w:lineRule="auto"/>
            </w:pPr>
            <w:r>
              <w:rPr>
                <w:b/>
                <w:color w:val="1A1A1A"/>
                <w:sz w:val="16"/>
              </w:rPr>
              <w:t>Flat oven tray</w:t>
            </w:r>
          </w:p>
        </w:tc>
        <w:tc>
          <w:tcPr>
            <w:tcW w:type="dxa" w:w="1814"/>
            <w:shd w:val="clear" w:color="auto" w:fill="FAF7F0"/>
          </w:tcPr>
          <w:p>
            <w:pPr>
              <w:spacing w:before="0" w:after="0" w:line="240" w:lineRule="auto"/>
            </w:pPr>
            <w:r>
              <w:rPr>
                <w:color w:val="1A1A1A"/>
                <w:sz w:val="16"/>
              </w:rPr>
              <w:t>“sheet pan”</w:t>
            </w:r>
          </w:p>
        </w:tc>
        <w:tc>
          <w:tcPr>
            <w:tcW w:type="dxa" w:w="1814"/>
            <w:shd w:val="clear" w:color="auto" w:fill="FAF7F0"/>
          </w:tcPr>
          <w:p>
            <w:pPr>
              <w:spacing w:before="0" w:after="0" w:line="240" w:lineRule="auto"/>
            </w:pPr>
            <w:r>
              <w:rPr>
                <w:color w:val="1A1A1A"/>
                <w:sz w:val="16"/>
              </w:rPr>
              <w:t>“baking tray”</w:t>
            </w:r>
          </w:p>
        </w:tc>
        <w:tc>
          <w:tcPr>
            <w:tcW w:type="dxa" w:w="1814"/>
            <w:shd w:val="clear" w:color="auto" w:fill="FAF7F0"/>
          </w:tcPr>
          <w:p>
            <w:pPr>
              <w:spacing w:before="0" w:after="0" w:line="240" w:lineRule="auto"/>
            </w:pPr>
            <w:r>
              <w:rPr>
                <w:color w:val="1A1A1A"/>
                <w:sz w:val="16"/>
              </w:rPr>
              <w:t>“baking sheet”</w:t>
            </w:r>
          </w:p>
        </w:tc>
        <w:tc>
          <w:tcPr>
            <w:tcW w:type="dxa" w:w="1800"/>
            <w:shd w:val="clear" w:color="auto" w:fill="FAF7F0"/>
          </w:tcPr>
          <w:p>
            <w:pPr>
              <w:spacing w:before="0" w:after="0" w:line="240" w:lineRule="auto"/>
            </w:pPr>
            <w:r>
              <w:rPr>
                <w:color w:val="1A1A1A"/>
                <w:sz w:val="16"/>
              </w:rPr>
              <w:t>“baking tray”</w:t>
            </w:r>
          </w:p>
        </w:tc>
      </w:tr>
      <w:tr>
        <w:trPr>
          <w:cantSplit/>
        </w:trPr>
        <w:tc>
          <w:tcPr>
            <w:tcW w:type="dxa" w:w="1872"/>
            <w:shd w:val="clear" w:color="auto" w:fill="F3EBD8"/>
          </w:tcPr>
          <w:p>
            <w:pPr>
              <w:spacing w:before="0" w:after="0" w:line="240" w:lineRule="auto"/>
            </w:pPr>
            <w:r>
              <w:rPr>
                <w:b/>
                <w:color w:val="1A1A1A"/>
                <w:sz w:val="16"/>
              </w:rPr>
              <w:t>Walk-in cold store</w:t>
            </w:r>
          </w:p>
        </w:tc>
        <w:tc>
          <w:tcPr>
            <w:tcW w:type="dxa" w:w="1814"/>
          </w:tcPr>
          <w:p>
            <w:pPr>
              <w:spacing w:before="0" w:after="0" w:line="240" w:lineRule="auto"/>
            </w:pPr>
            <w:r>
              <w:rPr>
                <w:color w:val="1A1A1A"/>
                <w:sz w:val="16"/>
              </w:rPr>
              <w:t>“walk-in cooler”</w:t>
            </w:r>
          </w:p>
        </w:tc>
        <w:tc>
          <w:tcPr>
            <w:tcW w:type="dxa" w:w="1814"/>
          </w:tcPr>
          <w:p>
            <w:pPr>
              <w:spacing w:before="0" w:after="0" w:line="240" w:lineRule="auto"/>
            </w:pPr>
            <w:r>
              <w:rPr>
                <w:color w:val="1A1A1A"/>
                <w:sz w:val="16"/>
              </w:rPr>
              <w:t>“walk-in fridge” / “cold room”</w:t>
            </w:r>
          </w:p>
        </w:tc>
        <w:tc>
          <w:tcPr>
            <w:tcW w:type="dxa" w:w="1814"/>
          </w:tcPr>
          <w:p>
            <w:pPr>
              <w:spacing w:before="0" w:after="0" w:line="240" w:lineRule="auto"/>
            </w:pPr>
            <w:r>
              <w:rPr>
                <w:color w:val="1A1A1A"/>
                <w:sz w:val="16"/>
              </w:rPr>
              <w:t>“walk-in cooler”</w:t>
            </w:r>
          </w:p>
        </w:tc>
        <w:tc>
          <w:tcPr>
            <w:tcW w:type="dxa" w:w="1800"/>
          </w:tcPr>
          <w:p>
            <w:pPr>
              <w:spacing w:before="0" w:after="0" w:line="240" w:lineRule="auto"/>
            </w:pPr>
            <w:r>
              <w:rPr>
                <w:color w:val="1A1A1A"/>
                <w:sz w:val="16"/>
              </w:rPr>
              <w:t>“cool room”</w:t>
            </w:r>
          </w:p>
        </w:tc>
      </w:tr>
    </w:tbl>
    <w:p>
      <w:pPr>
        <w:spacing w:after="40"/>
      </w:pP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The entrée trap.</w:t>
            </w:r>
            <w:r>
              <w:rPr>
                <w:sz w:val="19"/>
              </w:rPr>
              <w:t xml:space="preserve"> On a US menu, the entrée is the main course. In Australia, and on many British menus that use French terms, the entrée is the starter. If a kit says “Appetizer / Entrée” and you trade in Australia, relabel it “Entrée / Main” before you print anything, or guests will expect a full plate.</w:t>
            </w:r>
          </w:p>
        </w:tc>
      </w:tr>
    </w:tbl>
    <w:p>
      <w:pPr>
        <w:spacing w:after="40"/>
      </w:pPr>
    </w:p>
    <w:p>
      <w:pPr>
        <w:spacing w:line="288" w:lineRule="auto"/>
      </w:pPr>
      <w:r>
        <w:rPr>
          <w:b/>
        </w:rPr>
        <w:t>Same everywhere.</w:t>
      </w:r>
      <w:r>
        <w:t xml:space="preserve"> “Back of house” (BOH: kitchen, dish area, storage) and “front of house” (FOH: dining room, bar, host stand) are understood in all four countries, and so are “covers” for guests served, “mise en place” and “prep list”. US kitchen slang such as “86” (sold out) travels less well: explain it to new staff.</w:t>
      </w:r>
    </w:p>
    <w:p>
      <w:pPr>
        <w:pStyle w:val="Heading1"/>
        <w:keepNext/>
        <w:pageBreakBefore w:val="0"/>
        <w:spacing w:before="440"/>
      </w:pPr>
      <w:r>
        <w:t>3. Management &amp; Finance Terms</w:t>
      </w:r>
    </w:p>
    <w:p>
      <w:pPr>
        <w:keepNext/>
      </w:pPr>
      <w:r>
        <w:rPr>
          <w:color w:val="C6A664"/>
          <w:sz w:val="16"/>
        </w:rPr>
        <w:t>━━━━━━━━━━━━━━━━━━━━━━━━━━━━━━━━━━━━━━━━━━━━━━━━━━</w:t>
      </w:r>
    </w:p>
    <w:p>
      <w:pPr>
        <w:spacing w:line="288" w:lineRule="auto"/>
      </w:pPr>
      <w:r>
        <w:t>Back-office words change more than kitchen words. The table below covers the ones that appear in the kits' tabs, reports and instructions.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872"/>
        <w:gridCol w:w="1814"/>
        <w:gridCol w:w="1814"/>
        <w:gridCol w:w="1814"/>
        <w:gridCol w:w="1800"/>
      </w:tblGrid>
      <w:tr>
        <w:trPr>
          <w:tblHeader w:val="true"/>
          <w:cantSplit/>
        </w:trPr>
        <w:tc>
          <w:tcPr>
            <w:tcW w:type="dxa" w:w="1872"/>
            <w:shd w:val="clear" w:color="auto" w:fill="1A1A1A"/>
          </w:tcPr>
          <w:p>
            <w:pPr>
              <w:spacing w:before="0" w:after="0" w:line="240" w:lineRule="auto"/>
            </w:pPr>
            <w:r>
              <w:rPr>
                <w:b/>
                <w:color w:val="FFFFFF"/>
                <w:sz w:val="16"/>
              </w:rPr>
              <w:t>What it is</w:t>
            </w:r>
          </w:p>
        </w:tc>
        <w:tc>
          <w:tcPr>
            <w:tcW w:type="dxa" w:w="1814"/>
            <w:shd w:val="clear" w:color="auto" w:fill="1A1A1A"/>
          </w:tcPr>
          <w:p>
            <w:pPr>
              <w:spacing w:before="0" w:after="0" w:line="240" w:lineRule="auto"/>
            </w:pPr>
            <w:r>
              <w:rPr>
                <w:b/>
                <w:color w:val="FFFFFF"/>
                <w:sz w:val="16"/>
              </w:rPr>
              <w:t>US</w:t>
            </w:r>
          </w:p>
        </w:tc>
        <w:tc>
          <w:tcPr>
            <w:tcW w:type="dxa" w:w="1814"/>
            <w:shd w:val="clear" w:color="auto" w:fill="1A1A1A"/>
          </w:tcPr>
          <w:p>
            <w:pPr>
              <w:spacing w:before="0" w:after="0" w:line="240" w:lineRule="auto"/>
            </w:pPr>
            <w:r>
              <w:rPr>
                <w:b/>
                <w:color w:val="FFFFFF"/>
                <w:sz w:val="16"/>
              </w:rPr>
              <w:t>UK</w:t>
            </w:r>
          </w:p>
        </w:tc>
        <w:tc>
          <w:tcPr>
            <w:tcW w:type="dxa" w:w="1814"/>
            <w:shd w:val="clear" w:color="auto" w:fill="1A1A1A"/>
          </w:tcPr>
          <w:p>
            <w:pPr>
              <w:spacing w:before="0" w:after="0" w:line="240" w:lineRule="auto"/>
            </w:pPr>
            <w:r>
              <w:rPr>
                <w:b/>
                <w:color w:val="FFFFFF"/>
                <w:sz w:val="16"/>
              </w:rPr>
              <w:t>Canada</w:t>
            </w:r>
          </w:p>
        </w:tc>
        <w:tc>
          <w:tcPr>
            <w:tcW w:type="dxa" w:w="1800"/>
            <w:shd w:val="clear" w:color="auto" w:fill="1A1A1A"/>
          </w:tcPr>
          <w:p>
            <w:pPr>
              <w:spacing w:before="0" w:after="0" w:line="240" w:lineRule="auto"/>
            </w:pPr>
            <w:r>
              <w:rPr>
                <w:b/>
                <w:color w:val="FFFFFF"/>
                <w:sz w:val="16"/>
              </w:rPr>
              <w:t>Australia</w:t>
            </w:r>
          </w:p>
        </w:tc>
      </w:tr>
      <w:tr>
        <w:trPr>
          <w:cantSplit/>
        </w:trPr>
        <w:tc>
          <w:tcPr>
            <w:tcW w:type="dxa" w:w="1872"/>
            <w:shd w:val="clear" w:color="auto" w:fill="F3EBD8"/>
          </w:tcPr>
          <w:p>
            <w:pPr>
              <w:spacing w:before="0" w:after="0" w:line="240" w:lineRule="auto"/>
            </w:pPr>
            <w:r>
              <w:rPr>
                <w:b/>
                <w:color w:val="1A1A1A"/>
                <w:sz w:val="16"/>
              </w:rPr>
              <w:t>Kitchen margin metric</w:t>
            </w:r>
          </w:p>
        </w:tc>
        <w:tc>
          <w:tcPr>
            <w:tcW w:type="dxa" w:w="1814"/>
          </w:tcPr>
          <w:p>
            <w:pPr>
              <w:spacing w:before="0" w:after="0" w:line="240" w:lineRule="auto"/>
            </w:pPr>
            <w:r>
              <w:rPr>
                <w:color w:val="1A1A1A"/>
                <w:sz w:val="16"/>
              </w:rPr>
              <w:t>“food cost %” (food cost ÷ food sales)</w:t>
            </w:r>
          </w:p>
        </w:tc>
        <w:tc>
          <w:tcPr>
            <w:tcW w:type="dxa" w:w="1814"/>
          </w:tcPr>
          <w:p>
            <w:pPr>
              <w:spacing w:before="0" w:after="0" w:line="240" w:lineRule="auto"/>
            </w:pPr>
            <w:r>
              <w:rPr>
                <w:color w:val="1A1A1A"/>
                <w:sz w:val="16"/>
              </w:rPr>
              <w:t>“GP %” (gross profit = 100% − food cost %, on sales without VAT)</w:t>
            </w:r>
          </w:p>
        </w:tc>
        <w:tc>
          <w:tcPr>
            <w:tcW w:type="dxa" w:w="1814"/>
          </w:tcPr>
          <w:p>
            <w:pPr>
              <w:spacing w:before="0" w:after="0" w:line="240" w:lineRule="auto"/>
            </w:pPr>
            <w:r>
              <w:rPr>
                <w:color w:val="1A1A1A"/>
                <w:sz w:val="16"/>
              </w:rPr>
              <w:t>“food cost %”</w:t>
            </w:r>
          </w:p>
        </w:tc>
        <w:tc>
          <w:tcPr>
            <w:tcW w:type="dxa" w:w="1800"/>
          </w:tcPr>
          <w:p>
            <w:pPr>
              <w:spacing w:before="0" w:after="0" w:line="240" w:lineRule="auto"/>
            </w:pPr>
            <w:r>
              <w:rPr>
                <w:color w:val="1A1A1A"/>
                <w:sz w:val="16"/>
              </w:rPr>
              <w:t>“food cost %”; “GP %” also common</w:t>
            </w:r>
          </w:p>
        </w:tc>
      </w:tr>
      <w:tr>
        <w:trPr>
          <w:cantSplit/>
        </w:trPr>
        <w:tc>
          <w:tcPr>
            <w:tcW w:type="dxa" w:w="1872"/>
            <w:shd w:val="clear" w:color="auto" w:fill="F3EBD8"/>
          </w:tcPr>
          <w:p>
            <w:pPr>
              <w:spacing w:before="0" w:after="0" w:line="240" w:lineRule="auto"/>
            </w:pPr>
            <w:r>
              <w:rPr>
                <w:b/>
                <w:color w:val="1A1A1A"/>
                <w:sz w:val="16"/>
              </w:rPr>
              <w:t>Weekly staff plan</w:t>
            </w:r>
          </w:p>
        </w:tc>
        <w:tc>
          <w:tcPr>
            <w:tcW w:type="dxa" w:w="1814"/>
            <w:shd w:val="clear" w:color="auto" w:fill="FAF7F0"/>
          </w:tcPr>
          <w:p>
            <w:pPr>
              <w:spacing w:before="0" w:after="0" w:line="240" w:lineRule="auto"/>
            </w:pPr>
            <w:r>
              <w:rPr>
                <w:color w:val="1A1A1A"/>
                <w:sz w:val="16"/>
              </w:rPr>
              <w:t>“schedule”</w:t>
            </w:r>
          </w:p>
        </w:tc>
        <w:tc>
          <w:tcPr>
            <w:tcW w:type="dxa" w:w="1814"/>
            <w:shd w:val="clear" w:color="auto" w:fill="FAF7F0"/>
          </w:tcPr>
          <w:p>
            <w:pPr>
              <w:spacing w:before="0" w:after="0" w:line="240" w:lineRule="auto"/>
            </w:pPr>
            <w:r>
              <w:rPr>
                <w:color w:val="1A1A1A"/>
                <w:sz w:val="16"/>
              </w:rPr>
              <w:t>“rota”</w:t>
            </w:r>
          </w:p>
        </w:tc>
        <w:tc>
          <w:tcPr>
            <w:tcW w:type="dxa" w:w="1814"/>
            <w:shd w:val="clear" w:color="auto" w:fill="FAF7F0"/>
          </w:tcPr>
          <w:p>
            <w:pPr>
              <w:spacing w:before="0" w:after="0" w:line="240" w:lineRule="auto"/>
            </w:pPr>
            <w:r>
              <w:rPr>
                <w:color w:val="1A1A1A"/>
                <w:sz w:val="16"/>
              </w:rPr>
              <w:t>“schedule”</w:t>
            </w:r>
          </w:p>
        </w:tc>
        <w:tc>
          <w:tcPr>
            <w:tcW w:type="dxa" w:w="1800"/>
            <w:shd w:val="clear" w:color="auto" w:fill="FAF7F0"/>
          </w:tcPr>
          <w:p>
            <w:pPr>
              <w:spacing w:before="0" w:after="0" w:line="240" w:lineRule="auto"/>
            </w:pPr>
            <w:r>
              <w:rPr>
                <w:color w:val="1A1A1A"/>
                <w:sz w:val="16"/>
              </w:rPr>
              <w:t>“roster”</w:t>
            </w:r>
          </w:p>
        </w:tc>
      </w:tr>
      <w:tr>
        <w:trPr>
          <w:cantSplit/>
        </w:trPr>
        <w:tc>
          <w:tcPr>
            <w:tcW w:type="dxa" w:w="1872"/>
            <w:shd w:val="clear" w:color="auto" w:fill="F3EBD8"/>
          </w:tcPr>
          <w:p>
            <w:pPr>
              <w:spacing w:before="0" w:after="0" w:line="240" w:lineRule="auto"/>
            </w:pPr>
            <w:r>
              <w:rPr>
                <w:b/>
                <w:color w:val="1A1A1A"/>
                <w:sz w:val="16"/>
              </w:rPr>
              <w:t>Counting what is on the shelves</w:t>
            </w:r>
          </w:p>
        </w:tc>
        <w:tc>
          <w:tcPr>
            <w:tcW w:type="dxa" w:w="1814"/>
          </w:tcPr>
          <w:p>
            <w:pPr>
              <w:spacing w:before="0" w:after="0" w:line="240" w:lineRule="auto"/>
            </w:pPr>
            <w:r>
              <w:rPr>
                <w:color w:val="1A1A1A"/>
                <w:sz w:val="16"/>
              </w:rPr>
              <w:t>“inventory count”</w:t>
            </w:r>
          </w:p>
        </w:tc>
        <w:tc>
          <w:tcPr>
            <w:tcW w:type="dxa" w:w="1814"/>
          </w:tcPr>
          <w:p>
            <w:pPr>
              <w:spacing w:before="0" w:after="0" w:line="240" w:lineRule="auto"/>
            </w:pPr>
            <w:r>
              <w:rPr>
                <w:color w:val="1A1A1A"/>
                <w:sz w:val="16"/>
              </w:rPr>
              <w:t>“stocktake”</w:t>
            </w:r>
          </w:p>
        </w:tc>
        <w:tc>
          <w:tcPr>
            <w:tcW w:type="dxa" w:w="1814"/>
          </w:tcPr>
          <w:p>
            <w:pPr>
              <w:spacing w:before="0" w:after="0" w:line="240" w:lineRule="auto"/>
            </w:pPr>
            <w:r>
              <w:rPr>
                <w:color w:val="1A1A1A"/>
                <w:sz w:val="16"/>
              </w:rPr>
              <w:t>“inventory count”</w:t>
            </w:r>
          </w:p>
        </w:tc>
        <w:tc>
          <w:tcPr>
            <w:tcW w:type="dxa" w:w="1800"/>
          </w:tcPr>
          <w:p>
            <w:pPr>
              <w:spacing w:before="0" w:after="0" w:line="240" w:lineRule="auto"/>
            </w:pPr>
            <w:r>
              <w:rPr>
                <w:color w:val="1A1A1A"/>
                <w:sz w:val="16"/>
              </w:rPr>
              <w:t>“stocktake”</w:t>
            </w:r>
          </w:p>
        </w:tc>
      </w:tr>
      <w:tr>
        <w:trPr>
          <w:cantSplit/>
        </w:trPr>
        <w:tc>
          <w:tcPr>
            <w:tcW w:type="dxa" w:w="1872"/>
            <w:shd w:val="clear" w:color="auto" w:fill="F3EBD8"/>
          </w:tcPr>
          <w:p>
            <w:pPr>
              <w:spacing w:before="0" w:after="0" w:line="240" w:lineRule="auto"/>
            </w:pPr>
            <w:r>
              <w:rPr>
                <w:b/>
                <w:color w:val="1A1A1A"/>
                <w:sz w:val="16"/>
              </w:rPr>
              <w:t>Goods on hand</w:t>
            </w:r>
          </w:p>
        </w:tc>
        <w:tc>
          <w:tcPr>
            <w:tcW w:type="dxa" w:w="1814"/>
            <w:shd w:val="clear" w:color="auto" w:fill="FAF7F0"/>
          </w:tcPr>
          <w:p>
            <w:pPr>
              <w:spacing w:before="0" w:after="0" w:line="240" w:lineRule="auto"/>
            </w:pPr>
            <w:r>
              <w:rPr>
                <w:color w:val="1A1A1A"/>
                <w:sz w:val="16"/>
              </w:rPr>
              <w:t>“inventory”</w:t>
            </w:r>
          </w:p>
        </w:tc>
        <w:tc>
          <w:tcPr>
            <w:tcW w:type="dxa" w:w="1814"/>
            <w:shd w:val="clear" w:color="auto" w:fill="FAF7F0"/>
          </w:tcPr>
          <w:p>
            <w:pPr>
              <w:spacing w:before="0" w:after="0" w:line="240" w:lineRule="auto"/>
            </w:pPr>
            <w:r>
              <w:rPr>
                <w:color w:val="1A1A1A"/>
                <w:sz w:val="16"/>
              </w:rPr>
              <w:t>“stock”</w:t>
            </w:r>
          </w:p>
        </w:tc>
        <w:tc>
          <w:tcPr>
            <w:tcW w:type="dxa" w:w="1814"/>
            <w:shd w:val="clear" w:color="auto" w:fill="FAF7F0"/>
          </w:tcPr>
          <w:p>
            <w:pPr>
              <w:spacing w:before="0" w:after="0" w:line="240" w:lineRule="auto"/>
            </w:pPr>
            <w:r>
              <w:rPr>
                <w:color w:val="1A1A1A"/>
                <w:sz w:val="16"/>
              </w:rPr>
              <w:t>“inventory”</w:t>
            </w:r>
          </w:p>
        </w:tc>
        <w:tc>
          <w:tcPr>
            <w:tcW w:type="dxa" w:w="1800"/>
            <w:shd w:val="clear" w:color="auto" w:fill="FAF7F0"/>
          </w:tcPr>
          <w:p>
            <w:pPr>
              <w:spacing w:before="0" w:after="0" w:line="240" w:lineRule="auto"/>
            </w:pPr>
            <w:r>
              <w:rPr>
                <w:color w:val="1A1A1A"/>
                <w:sz w:val="16"/>
              </w:rPr>
              <w:t>“stock”</w:t>
            </w:r>
          </w:p>
        </w:tc>
      </w:tr>
      <w:tr>
        <w:trPr>
          <w:cantSplit/>
        </w:trPr>
        <w:tc>
          <w:tcPr>
            <w:tcW w:type="dxa" w:w="1872"/>
            <w:shd w:val="clear" w:color="auto" w:fill="F3EBD8"/>
          </w:tcPr>
          <w:p>
            <w:pPr>
              <w:spacing w:before="0" w:after="0" w:line="240" w:lineRule="auto"/>
            </w:pPr>
            <w:r>
              <w:rPr>
                <w:b/>
                <w:color w:val="1A1A1A"/>
                <w:sz w:val="16"/>
              </w:rPr>
              <w:t>Minimum quantity to keep</w:t>
            </w:r>
          </w:p>
        </w:tc>
        <w:tc>
          <w:tcPr>
            <w:tcW w:type="dxa" w:w="1814"/>
          </w:tcPr>
          <w:p>
            <w:pPr>
              <w:spacing w:before="0" w:after="0" w:line="240" w:lineRule="auto"/>
            </w:pPr>
            <w:r>
              <w:rPr>
                <w:color w:val="1A1A1A"/>
                <w:sz w:val="16"/>
              </w:rPr>
              <w:t>“par level”</w:t>
            </w:r>
          </w:p>
        </w:tc>
        <w:tc>
          <w:tcPr>
            <w:tcW w:type="dxa" w:w="1814"/>
          </w:tcPr>
          <w:p>
            <w:pPr>
              <w:spacing w:before="0" w:after="0" w:line="240" w:lineRule="auto"/>
            </w:pPr>
            <w:r>
              <w:rPr>
                <w:color w:val="1A1A1A"/>
                <w:sz w:val="16"/>
              </w:rPr>
              <w:t>“par level” / “minimum stock level”</w:t>
            </w:r>
          </w:p>
        </w:tc>
        <w:tc>
          <w:tcPr>
            <w:tcW w:type="dxa" w:w="1814"/>
          </w:tcPr>
          <w:p>
            <w:pPr>
              <w:spacing w:before="0" w:after="0" w:line="240" w:lineRule="auto"/>
            </w:pPr>
            <w:r>
              <w:rPr>
                <w:color w:val="1A1A1A"/>
                <w:sz w:val="16"/>
              </w:rPr>
              <w:t>“par level”</w:t>
            </w:r>
          </w:p>
        </w:tc>
        <w:tc>
          <w:tcPr>
            <w:tcW w:type="dxa" w:w="1800"/>
          </w:tcPr>
          <w:p>
            <w:pPr>
              <w:spacing w:before="0" w:after="0" w:line="240" w:lineRule="auto"/>
            </w:pPr>
            <w:r>
              <w:rPr>
                <w:color w:val="1A1A1A"/>
                <w:sz w:val="16"/>
              </w:rPr>
              <w:t>“par level”</w:t>
            </w:r>
          </w:p>
        </w:tc>
      </w:tr>
      <w:tr>
        <w:trPr>
          <w:cantSplit/>
        </w:trPr>
        <w:tc>
          <w:tcPr>
            <w:tcW w:type="dxa" w:w="1872"/>
            <w:shd w:val="clear" w:color="auto" w:fill="F3EBD8"/>
          </w:tcPr>
          <w:p>
            <w:pPr>
              <w:spacing w:before="0" w:after="0" w:line="240" w:lineRule="auto"/>
            </w:pPr>
            <w:r>
              <w:rPr>
                <w:b/>
                <w:color w:val="1A1A1A"/>
                <w:sz w:val="16"/>
              </w:rPr>
              <w:t>Profit report</w:t>
            </w:r>
          </w:p>
        </w:tc>
        <w:tc>
          <w:tcPr>
            <w:tcW w:type="dxa" w:w="1814"/>
            <w:shd w:val="clear" w:color="auto" w:fill="FAF7F0"/>
          </w:tcPr>
          <w:p>
            <w:pPr>
              <w:spacing w:before="0" w:after="0" w:line="240" w:lineRule="auto"/>
            </w:pPr>
            <w:r>
              <w:rPr>
                <w:color w:val="1A1A1A"/>
                <w:sz w:val="16"/>
              </w:rPr>
              <w:t>“P&amp;L” / “income statement”</w:t>
            </w:r>
          </w:p>
        </w:tc>
        <w:tc>
          <w:tcPr>
            <w:tcW w:type="dxa" w:w="1814"/>
            <w:shd w:val="clear" w:color="auto" w:fill="FAF7F0"/>
          </w:tcPr>
          <w:p>
            <w:pPr>
              <w:spacing w:before="0" w:after="0" w:line="240" w:lineRule="auto"/>
            </w:pPr>
            <w:r>
              <w:rPr>
                <w:color w:val="1A1A1A"/>
                <w:sz w:val="16"/>
              </w:rPr>
              <w:t>“P&amp;L” / “profit and loss account”</w:t>
            </w:r>
          </w:p>
        </w:tc>
        <w:tc>
          <w:tcPr>
            <w:tcW w:type="dxa" w:w="1814"/>
            <w:shd w:val="clear" w:color="auto" w:fill="FAF7F0"/>
          </w:tcPr>
          <w:p>
            <w:pPr>
              <w:spacing w:before="0" w:after="0" w:line="240" w:lineRule="auto"/>
            </w:pPr>
            <w:r>
              <w:rPr>
                <w:color w:val="1A1A1A"/>
                <w:sz w:val="16"/>
              </w:rPr>
              <w:t>“income statement” / “P&amp;L”</w:t>
            </w:r>
          </w:p>
        </w:tc>
        <w:tc>
          <w:tcPr>
            <w:tcW w:type="dxa" w:w="1800"/>
            <w:shd w:val="clear" w:color="auto" w:fill="FAF7F0"/>
          </w:tcPr>
          <w:p>
            <w:pPr>
              <w:spacing w:before="0" w:after="0" w:line="240" w:lineRule="auto"/>
            </w:pPr>
            <w:r>
              <w:rPr>
                <w:color w:val="1A1A1A"/>
                <w:sz w:val="16"/>
              </w:rPr>
              <w:t>“profit and loss statement” (“P&amp;L”)</w:t>
            </w:r>
          </w:p>
        </w:tc>
      </w:tr>
      <w:tr>
        <w:trPr>
          <w:cantSplit/>
        </w:trPr>
        <w:tc>
          <w:tcPr>
            <w:tcW w:type="dxa" w:w="1872"/>
            <w:shd w:val="clear" w:color="auto" w:fill="F3EBD8"/>
          </w:tcPr>
          <w:p>
            <w:pPr>
              <w:spacing w:before="0" w:after="0" w:line="240" w:lineRule="auto"/>
            </w:pPr>
            <w:r>
              <w:rPr>
                <w:b/>
                <w:color w:val="1A1A1A"/>
                <w:sz w:val="16"/>
              </w:rPr>
              <w:t>Paying staff and withholding tax</w:t>
            </w:r>
          </w:p>
        </w:tc>
        <w:tc>
          <w:tcPr>
            <w:tcW w:type="dxa" w:w="1814"/>
          </w:tcPr>
          <w:p>
            <w:pPr>
              <w:spacing w:before="0" w:after="0" w:line="240" w:lineRule="auto"/>
            </w:pPr>
            <w:r>
              <w:rPr>
                <w:color w:val="1A1A1A"/>
                <w:sz w:val="16"/>
              </w:rPr>
              <w:t>“payroll”</w:t>
            </w:r>
          </w:p>
        </w:tc>
        <w:tc>
          <w:tcPr>
            <w:tcW w:type="dxa" w:w="1814"/>
          </w:tcPr>
          <w:p>
            <w:pPr>
              <w:spacing w:before="0" w:after="0" w:line="240" w:lineRule="auto"/>
            </w:pPr>
            <w:r>
              <w:rPr>
                <w:color w:val="1A1A1A"/>
                <w:sz w:val="16"/>
              </w:rPr>
              <w:t>“payroll”, run through “PAYE”</w:t>
            </w:r>
          </w:p>
        </w:tc>
        <w:tc>
          <w:tcPr>
            <w:tcW w:type="dxa" w:w="1814"/>
          </w:tcPr>
          <w:p>
            <w:pPr>
              <w:spacing w:before="0" w:after="0" w:line="240" w:lineRule="auto"/>
            </w:pPr>
            <w:r>
              <w:rPr>
                <w:color w:val="1A1A1A"/>
                <w:sz w:val="16"/>
              </w:rPr>
              <w:t>“payroll” (“source deductions”)</w:t>
            </w:r>
          </w:p>
        </w:tc>
        <w:tc>
          <w:tcPr>
            <w:tcW w:type="dxa" w:w="1800"/>
          </w:tcPr>
          <w:p>
            <w:pPr>
              <w:spacing w:before="0" w:after="0" w:line="240" w:lineRule="auto"/>
            </w:pPr>
            <w:r>
              <w:rPr>
                <w:color w:val="1A1A1A"/>
                <w:sz w:val="16"/>
              </w:rPr>
              <w:t>“payroll” (“PAYG withholding”)</w:t>
            </w:r>
          </w:p>
        </w:tc>
      </w:tr>
      <w:tr>
        <w:trPr>
          <w:cantSplit/>
        </w:trPr>
        <w:tc>
          <w:tcPr>
            <w:tcW w:type="dxa" w:w="1872"/>
            <w:shd w:val="clear" w:color="auto" w:fill="F3EBD8"/>
          </w:tcPr>
          <w:p>
            <w:pPr>
              <w:spacing w:before="0" w:after="0" w:line="240" w:lineRule="auto"/>
            </w:pPr>
            <w:r>
              <w:rPr>
                <w:b/>
                <w:color w:val="1A1A1A"/>
                <w:sz w:val="16"/>
              </w:rPr>
              <w:t>Tax on sales</w:t>
            </w:r>
          </w:p>
        </w:tc>
        <w:tc>
          <w:tcPr>
            <w:tcW w:type="dxa" w:w="1814"/>
            <w:shd w:val="clear" w:color="auto" w:fill="FAF7F0"/>
          </w:tcPr>
          <w:p>
            <w:pPr>
              <w:spacing w:before="0" w:after="0" w:line="240" w:lineRule="auto"/>
            </w:pPr>
            <w:r>
              <w:rPr>
                <w:color w:val="1A1A1A"/>
                <w:sz w:val="16"/>
              </w:rPr>
              <w:t>“sales tax”</w:t>
            </w:r>
          </w:p>
        </w:tc>
        <w:tc>
          <w:tcPr>
            <w:tcW w:type="dxa" w:w="1814"/>
            <w:shd w:val="clear" w:color="auto" w:fill="FAF7F0"/>
          </w:tcPr>
          <w:p>
            <w:pPr>
              <w:spacing w:before="0" w:after="0" w:line="240" w:lineRule="auto"/>
            </w:pPr>
            <w:r>
              <w:rPr>
                <w:color w:val="1A1A1A"/>
                <w:sz w:val="16"/>
              </w:rPr>
              <w:t>“VAT”</w:t>
            </w:r>
          </w:p>
        </w:tc>
        <w:tc>
          <w:tcPr>
            <w:tcW w:type="dxa" w:w="1814"/>
            <w:shd w:val="clear" w:color="auto" w:fill="FAF7F0"/>
          </w:tcPr>
          <w:p>
            <w:pPr>
              <w:spacing w:before="0" w:after="0" w:line="240" w:lineRule="auto"/>
            </w:pPr>
            <w:r>
              <w:rPr>
                <w:color w:val="1A1A1A"/>
                <w:sz w:val="16"/>
              </w:rPr>
              <w:t>“GST”, “HST”, “PST”, “QST”</w:t>
            </w:r>
          </w:p>
        </w:tc>
        <w:tc>
          <w:tcPr>
            <w:tcW w:type="dxa" w:w="1800"/>
            <w:shd w:val="clear" w:color="auto" w:fill="FAF7F0"/>
          </w:tcPr>
          <w:p>
            <w:pPr>
              <w:spacing w:before="0" w:after="0" w:line="240" w:lineRule="auto"/>
            </w:pPr>
            <w:r>
              <w:rPr>
                <w:color w:val="1A1A1A"/>
                <w:sz w:val="16"/>
              </w:rPr>
              <w:t>“GST”</w:t>
            </w:r>
          </w:p>
        </w:tc>
      </w:tr>
      <w:tr>
        <w:trPr>
          <w:cantSplit/>
        </w:trPr>
        <w:tc>
          <w:tcPr>
            <w:tcW w:type="dxa" w:w="1872"/>
            <w:shd w:val="clear" w:color="auto" w:fill="F3EBD8"/>
          </w:tcPr>
          <w:p>
            <w:pPr>
              <w:spacing w:before="0" w:after="0" w:line="240" w:lineRule="auto"/>
            </w:pPr>
            <w:r>
              <w:rPr>
                <w:b/>
                <w:color w:val="1A1A1A"/>
                <w:sz w:val="16"/>
              </w:rPr>
              <w:t>Business tax number</w:t>
            </w:r>
          </w:p>
        </w:tc>
        <w:tc>
          <w:tcPr>
            <w:tcW w:type="dxa" w:w="1814"/>
          </w:tcPr>
          <w:p>
            <w:pPr>
              <w:spacing w:before="0" w:after="0" w:line="240" w:lineRule="auto"/>
            </w:pPr>
            <w:r>
              <w:rPr>
                <w:color w:val="1A1A1A"/>
                <w:sz w:val="16"/>
              </w:rPr>
              <w:t>“EIN”</w:t>
            </w:r>
          </w:p>
        </w:tc>
        <w:tc>
          <w:tcPr>
            <w:tcW w:type="dxa" w:w="1814"/>
          </w:tcPr>
          <w:p>
            <w:pPr>
              <w:spacing w:before="0" w:after="0" w:line="240" w:lineRule="auto"/>
            </w:pPr>
            <w:r>
              <w:rPr>
                <w:color w:val="1A1A1A"/>
                <w:sz w:val="16"/>
              </w:rPr>
              <w:t>“UTR” (Unique Taxpayer Reference) from HMRC; a “VAT number” once VAT-registered; a company number for a Ltd</w:t>
            </w:r>
          </w:p>
        </w:tc>
        <w:tc>
          <w:tcPr>
            <w:tcW w:type="dxa" w:w="1814"/>
          </w:tcPr>
          <w:p>
            <w:pPr>
              <w:spacing w:before="0" w:after="0" w:line="240" w:lineRule="auto"/>
            </w:pPr>
            <w:r>
              <w:rPr>
                <w:color w:val="1A1A1A"/>
                <w:sz w:val="16"/>
              </w:rPr>
              <w:t>“business number” (BN)</w:t>
            </w:r>
          </w:p>
        </w:tc>
        <w:tc>
          <w:tcPr>
            <w:tcW w:type="dxa" w:w="1800"/>
          </w:tcPr>
          <w:p>
            <w:pPr>
              <w:spacing w:before="0" w:after="0" w:line="240" w:lineRule="auto"/>
            </w:pPr>
            <w:r>
              <w:rPr>
                <w:color w:val="1A1A1A"/>
                <w:sz w:val="16"/>
              </w:rPr>
              <w:t>“ABN” (and an ACN for a company)</w:t>
            </w:r>
          </w:p>
        </w:tc>
      </w:tr>
      <w:tr>
        <w:trPr>
          <w:cantSplit/>
        </w:trPr>
        <w:tc>
          <w:tcPr>
            <w:tcW w:type="dxa" w:w="1872"/>
            <w:shd w:val="clear" w:color="auto" w:fill="F3EBD8"/>
          </w:tcPr>
          <w:p>
            <w:pPr>
              <w:spacing w:before="0" w:after="0" w:line="240" w:lineRule="auto"/>
            </w:pPr>
            <w:r>
              <w:rPr>
                <w:b/>
                <w:color w:val="1A1A1A"/>
                <w:sz w:val="16"/>
              </w:rPr>
              <w:t>Printed menu price</w:t>
            </w:r>
          </w:p>
        </w:tc>
        <w:tc>
          <w:tcPr>
            <w:tcW w:type="dxa" w:w="1814"/>
            <w:shd w:val="clear" w:color="auto" w:fill="FAF7F0"/>
          </w:tcPr>
          <w:p>
            <w:pPr>
              <w:spacing w:before="0" w:after="0" w:line="240" w:lineRule="auto"/>
            </w:pPr>
            <w:r>
              <w:rPr>
                <w:color w:val="1A1A1A"/>
                <w:sz w:val="16"/>
              </w:rPr>
              <w:t>Before tax</w:t>
            </w:r>
          </w:p>
        </w:tc>
        <w:tc>
          <w:tcPr>
            <w:tcW w:type="dxa" w:w="1814"/>
            <w:shd w:val="clear" w:color="auto" w:fill="FAF7F0"/>
          </w:tcPr>
          <w:p>
            <w:pPr>
              <w:spacing w:before="0" w:after="0" w:line="240" w:lineRule="auto"/>
            </w:pPr>
            <w:r>
              <w:rPr>
                <w:color w:val="1A1A1A"/>
                <w:sz w:val="16"/>
              </w:rPr>
              <w:t>Including VAT</w:t>
            </w:r>
          </w:p>
        </w:tc>
        <w:tc>
          <w:tcPr>
            <w:tcW w:type="dxa" w:w="1814"/>
            <w:shd w:val="clear" w:color="auto" w:fill="FAF7F0"/>
          </w:tcPr>
          <w:p>
            <w:pPr>
              <w:spacing w:before="0" w:after="0" w:line="240" w:lineRule="auto"/>
            </w:pPr>
            <w:r>
              <w:rPr>
                <w:color w:val="1A1A1A"/>
                <w:sz w:val="16"/>
              </w:rPr>
              <w:t>Before tax</w:t>
            </w:r>
          </w:p>
        </w:tc>
        <w:tc>
          <w:tcPr>
            <w:tcW w:type="dxa" w:w="1800"/>
            <w:shd w:val="clear" w:color="auto" w:fill="FAF7F0"/>
          </w:tcPr>
          <w:p>
            <w:pPr>
              <w:spacing w:before="0" w:after="0" w:line="240" w:lineRule="auto"/>
            </w:pPr>
            <w:r>
              <w:rPr>
                <w:color w:val="1A1A1A"/>
                <w:sz w:val="16"/>
              </w:rPr>
              <w:t>Including GST</w:t>
            </w:r>
          </w:p>
        </w:tc>
      </w:tr>
      <w:tr>
        <w:trPr>
          <w:cantSplit/>
        </w:trPr>
        <w:tc>
          <w:tcPr>
            <w:tcW w:type="dxa" w:w="1872"/>
            <w:shd w:val="clear" w:color="auto" w:fill="F3EBD8"/>
          </w:tcPr>
          <w:p>
            <w:pPr>
              <w:spacing w:before="0" w:after="0" w:line="240" w:lineRule="auto"/>
            </w:pPr>
            <w:r>
              <w:rPr>
                <w:b/>
                <w:color w:val="1A1A1A"/>
                <w:sz w:val="16"/>
              </w:rPr>
              <w:t>Average sale per guest</w:t>
            </w:r>
          </w:p>
        </w:tc>
        <w:tc>
          <w:tcPr>
            <w:tcW w:type="dxa" w:w="1814"/>
          </w:tcPr>
          <w:p>
            <w:pPr>
              <w:spacing w:before="0" w:after="0" w:line="240" w:lineRule="auto"/>
            </w:pPr>
            <w:r>
              <w:rPr>
                <w:color w:val="1A1A1A"/>
                <w:sz w:val="16"/>
              </w:rPr>
              <w:t>“average check”</w:t>
            </w:r>
          </w:p>
        </w:tc>
        <w:tc>
          <w:tcPr>
            <w:tcW w:type="dxa" w:w="1814"/>
          </w:tcPr>
          <w:p>
            <w:pPr>
              <w:spacing w:before="0" w:after="0" w:line="240" w:lineRule="auto"/>
            </w:pPr>
            <w:r>
              <w:rPr>
                <w:color w:val="1A1A1A"/>
                <w:sz w:val="16"/>
              </w:rPr>
              <w:t>“average spend” / “spend per head”</w:t>
            </w:r>
          </w:p>
        </w:tc>
        <w:tc>
          <w:tcPr>
            <w:tcW w:type="dxa" w:w="1814"/>
          </w:tcPr>
          <w:p>
            <w:pPr>
              <w:spacing w:before="0" w:after="0" w:line="240" w:lineRule="auto"/>
            </w:pPr>
            <w:r>
              <w:rPr>
                <w:color w:val="1A1A1A"/>
                <w:sz w:val="16"/>
              </w:rPr>
              <w:t>“average check”</w:t>
            </w:r>
          </w:p>
        </w:tc>
        <w:tc>
          <w:tcPr>
            <w:tcW w:type="dxa" w:w="1800"/>
          </w:tcPr>
          <w:p>
            <w:pPr>
              <w:spacing w:before="0" w:after="0" w:line="240" w:lineRule="auto"/>
            </w:pPr>
            <w:r>
              <w:rPr>
                <w:color w:val="1A1A1A"/>
                <w:sz w:val="16"/>
              </w:rPr>
              <w:t>“average spend”</w:t>
            </w:r>
          </w:p>
        </w:tc>
      </w:tr>
      <w:tr>
        <w:trPr>
          <w:cantSplit/>
        </w:trPr>
        <w:tc>
          <w:tcPr>
            <w:tcW w:type="dxa" w:w="1872"/>
            <w:shd w:val="clear" w:color="auto" w:fill="F3EBD8"/>
          </w:tcPr>
          <w:p>
            <w:pPr>
              <w:spacing w:before="0" w:after="0" w:line="240" w:lineRule="auto"/>
            </w:pPr>
            <w:r>
              <w:rPr>
                <w:b/>
                <w:color w:val="1A1A1A"/>
                <w:sz w:val="16"/>
              </w:rPr>
              <w:t>Company that sells you food</w:t>
            </w:r>
          </w:p>
        </w:tc>
        <w:tc>
          <w:tcPr>
            <w:tcW w:type="dxa" w:w="1814"/>
            <w:shd w:val="clear" w:color="auto" w:fill="FAF7F0"/>
          </w:tcPr>
          <w:p>
            <w:pPr>
              <w:spacing w:before="0" w:after="0" w:line="240" w:lineRule="auto"/>
            </w:pPr>
            <w:r>
              <w:rPr>
                <w:color w:val="1A1A1A"/>
                <w:sz w:val="16"/>
              </w:rPr>
              <w:t>“vendor” / “purveyor”</w:t>
            </w:r>
          </w:p>
        </w:tc>
        <w:tc>
          <w:tcPr>
            <w:tcW w:type="dxa" w:w="1814"/>
            <w:shd w:val="clear" w:color="auto" w:fill="FAF7F0"/>
          </w:tcPr>
          <w:p>
            <w:pPr>
              <w:spacing w:before="0" w:after="0" w:line="240" w:lineRule="auto"/>
            </w:pPr>
            <w:r>
              <w:rPr>
                <w:color w:val="1A1A1A"/>
                <w:sz w:val="16"/>
              </w:rPr>
              <w:t>“supplier”</w:t>
            </w:r>
          </w:p>
        </w:tc>
        <w:tc>
          <w:tcPr>
            <w:tcW w:type="dxa" w:w="1814"/>
            <w:shd w:val="clear" w:color="auto" w:fill="FAF7F0"/>
          </w:tcPr>
          <w:p>
            <w:pPr>
              <w:spacing w:before="0" w:after="0" w:line="240" w:lineRule="auto"/>
            </w:pPr>
            <w:r>
              <w:rPr>
                <w:color w:val="1A1A1A"/>
                <w:sz w:val="16"/>
              </w:rPr>
              <w:t>“supplier” / “vendor”</w:t>
            </w:r>
          </w:p>
        </w:tc>
        <w:tc>
          <w:tcPr>
            <w:tcW w:type="dxa" w:w="1800"/>
            <w:shd w:val="clear" w:color="auto" w:fill="FAF7F0"/>
          </w:tcPr>
          <w:p>
            <w:pPr>
              <w:spacing w:before="0" w:after="0" w:line="240" w:lineRule="auto"/>
            </w:pPr>
            <w:r>
              <w:rPr>
                <w:color w:val="1A1A1A"/>
                <w:sz w:val="16"/>
              </w:rPr>
              <w:t>“supplier”</w:t>
            </w:r>
          </w:p>
        </w:tc>
      </w:tr>
      <w:tr>
        <w:trPr>
          <w:cantSplit/>
        </w:trPr>
        <w:tc>
          <w:tcPr>
            <w:tcW w:type="dxa" w:w="1872"/>
            <w:shd w:val="clear" w:color="auto" w:fill="F3EBD8"/>
          </w:tcPr>
          <w:p>
            <w:pPr>
              <w:spacing w:before="0" w:after="0" w:line="240" w:lineRule="auto"/>
            </w:pPr>
            <w:r>
              <w:rPr>
                <w:b/>
                <w:color w:val="1A1A1A"/>
                <w:sz w:val="16"/>
              </w:rPr>
              <w:t>Paper that comes with a delivery</w:t>
            </w:r>
          </w:p>
        </w:tc>
        <w:tc>
          <w:tcPr>
            <w:tcW w:type="dxa" w:w="1814"/>
          </w:tcPr>
          <w:p>
            <w:pPr>
              <w:spacing w:before="0" w:after="0" w:line="240" w:lineRule="auto"/>
            </w:pPr>
            <w:r>
              <w:rPr>
                <w:color w:val="1A1A1A"/>
                <w:sz w:val="16"/>
              </w:rPr>
              <w:t>“packing slip” / “invoice”</w:t>
            </w:r>
          </w:p>
        </w:tc>
        <w:tc>
          <w:tcPr>
            <w:tcW w:type="dxa" w:w="1814"/>
          </w:tcPr>
          <w:p>
            <w:pPr>
              <w:spacing w:before="0" w:after="0" w:line="240" w:lineRule="auto"/>
            </w:pPr>
            <w:r>
              <w:rPr>
                <w:color w:val="1A1A1A"/>
                <w:sz w:val="16"/>
              </w:rPr>
              <w:t>“delivery note”</w:t>
            </w:r>
          </w:p>
        </w:tc>
        <w:tc>
          <w:tcPr>
            <w:tcW w:type="dxa" w:w="1814"/>
          </w:tcPr>
          <w:p>
            <w:pPr>
              <w:spacing w:before="0" w:after="0" w:line="240" w:lineRule="auto"/>
            </w:pPr>
            <w:r>
              <w:rPr>
                <w:color w:val="1A1A1A"/>
                <w:sz w:val="16"/>
              </w:rPr>
              <w:t>“packing slip”</w:t>
            </w:r>
          </w:p>
        </w:tc>
        <w:tc>
          <w:tcPr>
            <w:tcW w:type="dxa" w:w="1800"/>
          </w:tcPr>
          <w:p>
            <w:pPr>
              <w:spacing w:before="0" w:after="0" w:line="240" w:lineRule="auto"/>
            </w:pPr>
            <w:r>
              <w:rPr>
                <w:color w:val="1A1A1A"/>
                <w:sz w:val="16"/>
              </w:rPr>
              <w:t>“delivery docket”</w:t>
            </w:r>
          </w:p>
        </w:tc>
      </w:tr>
      <w:tr>
        <w:trPr>
          <w:cantSplit/>
        </w:trPr>
        <w:tc>
          <w:tcPr>
            <w:tcW w:type="dxa" w:w="1872"/>
            <w:shd w:val="clear" w:color="auto" w:fill="F3EBD8"/>
          </w:tcPr>
          <w:p>
            <w:pPr>
              <w:spacing w:before="0" w:after="0" w:line="240" w:lineRule="auto"/>
            </w:pPr>
            <w:r>
              <w:rPr>
                <w:b/>
                <w:color w:val="1A1A1A"/>
                <w:sz w:val="16"/>
              </w:rPr>
              <w:t>Costs on top of base rent</w:t>
            </w:r>
          </w:p>
        </w:tc>
        <w:tc>
          <w:tcPr>
            <w:tcW w:type="dxa" w:w="1814"/>
            <w:shd w:val="clear" w:color="auto" w:fill="FAF7F0"/>
          </w:tcPr>
          <w:p>
            <w:pPr>
              <w:spacing w:before="0" w:after="0" w:line="240" w:lineRule="auto"/>
            </w:pPr>
            <w:r>
              <w:rPr>
                <w:color w:val="1A1A1A"/>
                <w:sz w:val="16"/>
              </w:rPr>
              <w:t>“NNN” / “CAM charges” (property tax, insurance, common areas)</w:t>
            </w:r>
          </w:p>
        </w:tc>
        <w:tc>
          <w:tcPr>
            <w:tcW w:type="dxa" w:w="1814"/>
            <w:shd w:val="clear" w:color="auto" w:fill="FAF7F0"/>
          </w:tcPr>
          <w:p>
            <w:pPr>
              <w:spacing w:before="0" w:after="0" w:line="240" w:lineRule="auto"/>
            </w:pPr>
            <w:r>
              <w:rPr>
                <w:color w:val="1A1A1A"/>
                <w:sz w:val="16"/>
              </w:rPr>
              <w:t>“service charge”, plus “business rates” billed by the council (relief may be available)</w:t>
            </w:r>
          </w:p>
        </w:tc>
        <w:tc>
          <w:tcPr>
            <w:tcW w:type="dxa" w:w="1814"/>
            <w:shd w:val="clear" w:color="auto" w:fill="FAF7F0"/>
          </w:tcPr>
          <w:p>
            <w:pPr>
              <w:spacing w:before="0" w:after="0" w:line="240" w:lineRule="auto"/>
            </w:pPr>
            <w:r>
              <w:rPr>
                <w:color w:val="1A1A1A"/>
                <w:sz w:val="16"/>
              </w:rPr>
              <w:t>“additional rent” or “TMI” (taxes, maintenance, insurance)</w:t>
            </w:r>
          </w:p>
        </w:tc>
        <w:tc>
          <w:tcPr>
            <w:tcW w:type="dxa" w:w="1800"/>
            <w:shd w:val="clear" w:color="auto" w:fill="FAF7F0"/>
          </w:tcPr>
          <w:p>
            <w:pPr>
              <w:spacing w:before="0" w:after="0" w:line="240" w:lineRule="auto"/>
            </w:pPr>
            <w:r>
              <w:rPr>
                <w:color w:val="1A1A1A"/>
                <w:sz w:val="16"/>
              </w:rPr>
              <w:t>“outgoings” (council rates, land tax, building costs)</w:t>
            </w:r>
          </w:p>
        </w:tc>
      </w:tr>
    </w:tbl>
    <w:p>
      <w:pPr>
        <w:spacing w:after="40"/>
      </w:pPr>
    </w:p>
    <w:p>
      <w:pPr>
        <w:pStyle w:val="Heading2"/>
        <w:spacing w:before="280"/>
      </w:pPr>
      <w:r>
        <w:t>Food cost % and GP % are two sides of one number</w:t>
      </w:r>
    </w:p>
    <w:p>
      <w:pPr>
        <w:spacing w:line="288" w:lineRule="auto"/>
      </w:pPr>
      <w:r>
        <w:t>US and Canadian operators watch food cost %: what the plate costs as a share of the price. British operators talk about GP % (gross profit): what is left after the food cost. They always add up to 100%. A 30% food cost is a 70% GP.</w:t>
      </w:r>
    </w:p>
    <w:p>
      <w:pPr>
        <w:spacing w:line="288" w:lineRule="auto"/>
      </w:pPr>
      <w:r>
        <w:t xml:space="preserve">The trap is tax. Always calculate either figure on the price </w:t>
      </w:r>
      <w:r>
        <w:rPr>
          <w:b/>
        </w:rPr>
        <w:t>without</w:t>
      </w:r>
      <w:r>
        <w:t xml:space="preserve"> tax. In the UK and Australia the printed price includes tax, so take it out first:</w:t>
      </w:r>
    </w:p>
    <w:p>
      <w:pPr>
        <w:pStyle w:val="ListBullet"/>
        <w:spacing w:after="60" w:line="264" w:lineRule="auto"/>
      </w:pPr>
      <w:r>
        <w:rPr>
          <w:b/>
        </w:rPr>
        <w:t>Net price</w:t>
      </w:r>
      <w:r>
        <w:t xml:space="preserve"> = printed price ÷ (1 + tax rate). Example, UK: a dish printed at 12.00 with 20% VAT has a net price of 12.00 ÷ 1.20 = 10.00.</w:t>
      </w:r>
    </w:p>
    <w:p>
      <w:pPr>
        <w:pStyle w:val="ListBullet"/>
        <w:spacing w:after="60" w:line="264" w:lineRule="auto"/>
      </w:pPr>
      <w:r>
        <w:rPr>
          <w:b/>
        </w:rPr>
        <w:t>Food cost %</w:t>
      </w:r>
      <w:r>
        <w:t xml:space="preserve"> = plate cost ÷ net price. If the plate costs 3.00, food cost is 3.00 ÷ 10.00 = 30%, and </w:t>
      </w:r>
      <w:r>
        <w:rPr>
          <w:b/>
        </w:rPr>
        <w:t>GP %</w:t>
      </w:r>
      <w:r>
        <w:t xml:space="preserve"> = 100% − 30% = 70%.</w:t>
      </w:r>
    </w:p>
    <w:p>
      <w:pPr>
        <w:pStyle w:val="ListBullet"/>
        <w:spacing w:after="60" w:line="264" w:lineRule="auto"/>
      </w:pPr>
      <w:r>
        <w:t>If you used the printed 12.00 by mistake, food cost would look like 25% and GP like 75%: five points better than reality.</w:t>
      </w:r>
    </w:p>
    <w:p>
      <w:pPr>
        <w:pStyle w:val="ListBullet"/>
        <w:spacing w:after="60" w:line="264" w:lineRule="auto"/>
      </w:pPr>
      <w:r>
        <w:t>Australia: GST is one-eleventh of a GST-inclusive price. A dish printed at 22.00 carries 2.00 of GST and a net price of 20.00.</w:t>
      </w:r>
    </w:p>
    <w:p>
      <w:pPr>
        <w:pStyle w:val="ListBullet"/>
        <w:spacing w:after="60" w:line="264" w:lineRule="auto"/>
      </w:pPr>
      <w:r>
        <w:t>US and Canada: the menu price is already net of tax, so use it as it is. Tips never count as sales.</w:t>
      </w:r>
    </w:p>
    <w:p>
      <w:pPr>
        <w:spacing w:line="288" w:lineRule="auto"/>
      </w:pPr>
      <w:r>
        <w:t>In the Food Cost Kit, set the Tax rate cell and the kit does this for you; in the business plans, type the average check without tax.</w:t>
      </w:r>
    </w:p>
    <w:p>
      <w:pPr>
        <w:pStyle w:val="Heading1"/>
        <w:keepNext/>
        <w:pageBreakBefore w:val="0"/>
        <w:spacing w:before="440"/>
      </w:pPr>
      <w:r>
        <w:t>4. Money &amp; Tax</w:t>
      </w:r>
    </w:p>
    <w:p>
      <w:pPr>
        <w:keepNext/>
      </w:pPr>
      <w:r>
        <w:rPr>
          <w:color w:val="C6A664"/>
          <w:sz w:val="16"/>
        </w:rPr>
        <w:t>━━━━━━━━━━━━━━━━━━━━━━━━━━━━━━━━━━━━━━━━━━━━━━━━━━</w:t>
      </w:r>
    </w:p>
    <w:p>
      <w:pPr>
        <w:spacing w:line="288" w:lineRule="auto"/>
      </w:pPr>
      <w:r>
        <w:t>Consumption tax is where the four countries differ most, and where a kit set up with the wrong logic will mislead you. This section explains the structure. It deliberately gives no provincial, state or local rates: they change, and the official calculators in section 10 are always current.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655"/>
        <w:gridCol w:w="1800"/>
        <w:gridCol w:w="1915"/>
        <w:gridCol w:w="1915"/>
        <w:gridCol w:w="1828"/>
      </w:tblGrid>
      <w:tr>
        <w:trPr>
          <w:tblHeader w:val="true"/>
          <w:cantSplit/>
        </w:trPr>
        <w:tc>
          <w:tcPr>
            <w:tcW w:type="dxa" w:w="1656"/>
            <w:shd w:val="clear" w:color="auto" w:fill="1A1A1A"/>
          </w:tcPr>
          <w:p>
            <w:pPr>
              <w:spacing w:before="0" w:after="0" w:line="240" w:lineRule="auto"/>
            </w:pPr>
            <w:r>
              <w:rPr>
                <w:b/>
                <w:color w:val="FFFFFF"/>
                <w:sz w:val="16"/>
              </w:rPr>
              <w:t>Topic</w:t>
            </w:r>
          </w:p>
        </w:tc>
        <w:tc>
          <w:tcPr>
            <w:tcW w:type="dxa" w:w="1800"/>
            <w:shd w:val="clear" w:color="auto" w:fill="1A1A1A"/>
          </w:tcPr>
          <w:p>
            <w:pPr>
              <w:spacing w:before="0" w:after="0" w:line="240" w:lineRule="auto"/>
            </w:pPr>
            <w:r>
              <w:rPr>
                <w:b/>
                <w:color w:val="FFFFFF"/>
                <w:sz w:val="16"/>
              </w:rPr>
              <w:t>US</w:t>
            </w:r>
          </w:p>
        </w:tc>
        <w:tc>
          <w:tcPr>
            <w:tcW w:type="dxa" w:w="1915"/>
            <w:shd w:val="clear" w:color="auto" w:fill="1A1A1A"/>
          </w:tcPr>
          <w:p>
            <w:pPr>
              <w:spacing w:before="0" w:after="0" w:line="240" w:lineRule="auto"/>
            </w:pPr>
            <w:r>
              <w:rPr>
                <w:b/>
                <w:color w:val="FFFFFF"/>
                <w:sz w:val="16"/>
              </w:rPr>
              <w:t>UK</w:t>
            </w:r>
          </w:p>
        </w:tc>
        <w:tc>
          <w:tcPr>
            <w:tcW w:type="dxa" w:w="1915"/>
            <w:shd w:val="clear" w:color="auto" w:fill="1A1A1A"/>
          </w:tcPr>
          <w:p>
            <w:pPr>
              <w:spacing w:before="0" w:after="0" w:line="240" w:lineRule="auto"/>
            </w:pPr>
            <w:r>
              <w:rPr>
                <w:b/>
                <w:color w:val="FFFFFF"/>
                <w:sz w:val="16"/>
              </w:rPr>
              <w:t>Canada</w:t>
            </w:r>
          </w:p>
        </w:tc>
        <w:tc>
          <w:tcPr>
            <w:tcW w:type="dxa" w:w="1829"/>
            <w:shd w:val="clear" w:color="auto" w:fill="1A1A1A"/>
          </w:tcPr>
          <w:p>
            <w:pPr>
              <w:spacing w:before="0" w:after="0" w:line="240" w:lineRule="auto"/>
            </w:pPr>
            <w:r>
              <w:rPr>
                <w:b/>
                <w:color w:val="FFFFFF"/>
                <w:sz w:val="16"/>
              </w:rPr>
              <w:t>Australia</w:t>
            </w:r>
          </w:p>
        </w:tc>
      </w:tr>
      <w:tr>
        <w:trPr>
          <w:cantSplit/>
        </w:trPr>
        <w:tc>
          <w:tcPr>
            <w:tcW w:type="dxa" w:w="1656"/>
            <w:shd w:val="clear" w:color="auto" w:fill="F3EBD8"/>
          </w:tcPr>
          <w:p>
            <w:pPr>
              <w:spacing w:before="0" w:after="0" w:line="240" w:lineRule="auto"/>
            </w:pPr>
            <w:r>
              <w:rPr>
                <w:b/>
                <w:color w:val="1A1A1A"/>
                <w:sz w:val="16"/>
              </w:rPr>
              <w:t>Name of the tax</w:t>
            </w:r>
          </w:p>
        </w:tc>
        <w:tc>
          <w:tcPr>
            <w:tcW w:type="dxa" w:w="1800"/>
          </w:tcPr>
          <w:p>
            <w:pPr>
              <w:spacing w:before="0" w:after="0" w:line="240" w:lineRule="auto"/>
            </w:pPr>
            <w:r>
              <w:rPr>
                <w:color w:val="1A1A1A"/>
                <w:sz w:val="16"/>
              </w:rPr>
              <w:t>“Sales tax”</w:t>
            </w:r>
          </w:p>
        </w:tc>
        <w:tc>
          <w:tcPr>
            <w:tcW w:type="dxa" w:w="1915"/>
          </w:tcPr>
          <w:p>
            <w:pPr>
              <w:spacing w:before="0" w:after="0" w:line="240" w:lineRule="auto"/>
            </w:pPr>
            <w:r>
              <w:rPr>
                <w:color w:val="1A1A1A"/>
                <w:sz w:val="16"/>
              </w:rPr>
              <w:t>“VAT” (value added tax)</w:t>
            </w:r>
          </w:p>
        </w:tc>
        <w:tc>
          <w:tcPr>
            <w:tcW w:type="dxa" w:w="1915"/>
          </w:tcPr>
          <w:p>
            <w:pPr>
              <w:spacing w:before="0" w:after="0" w:line="240" w:lineRule="auto"/>
            </w:pPr>
            <w:r>
              <w:rPr>
                <w:color w:val="1A1A1A"/>
                <w:sz w:val="16"/>
              </w:rPr>
              <w:t>“GST” (federal) or “HST” (harmonized); some provinces add “PST”, and Quebec has the “QST”</w:t>
            </w:r>
          </w:p>
        </w:tc>
        <w:tc>
          <w:tcPr>
            <w:tcW w:type="dxa" w:w="1829"/>
          </w:tcPr>
          <w:p>
            <w:pPr>
              <w:spacing w:before="0" w:after="0" w:line="240" w:lineRule="auto"/>
            </w:pPr>
            <w:r>
              <w:rPr>
                <w:color w:val="1A1A1A"/>
                <w:sz w:val="16"/>
              </w:rPr>
              <w:t>“GST” (goods and services tax)</w:t>
            </w:r>
          </w:p>
        </w:tc>
      </w:tr>
      <w:tr>
        <w:trPr>
          <w:cantSplit/>
        </w:trPr>
        <w:tc>
          <w:tcPr>
            <w:tcW w:type="dxa" w:w="1656"/>
            <w:shd w:val="clear" w:color="auto" w:fill="F3EBD8"/>
          </w:tcPr>
          <w:p>
            <w:pPr>
              <w:spacing w:before="0" w:after="0" w:line="240" w:lineRule="auto"/>
            </w:pPr>
            <w:r>
              <w:rPr>
                <w:b/>
                <w:color w:val="1A1A1A"/>
                <w:sz w:val="16"/>
              </w:rPr>
              <w:t>Who sets the rate</w:t>
            </w:r>
          </w:p>
        </w:tc>
        <w:tc>
          <w:tcPr>
            <w:tcW w:type="dxa" w:w="1800"/>
            <w:shd w:val="clear" w:color="auto" w:fill="FAF7F0"/>
          </w:tcPr>
          <w:p>
            <w:pPr>
              <w:spacing w:before="0" w:after="0" w:line="240" w:lineRule="auto"/>
            </w:pPr>
            <w:r>
              <w:rPr>
                <w:color w:val="1A1A1A"/>
                <w:sz w:val="16"/>
              </w:rPr>
              <w:t>Each state, plus counties and cities; there is no national sales tax</w:t>
            </w:r>
          </w:p>
        </w:tc>
        <w:tc>
          <w:tcPr>
            <w:tcW w:type="dxa" w:w="1915"/>
            <w:shd w:val="clear" w:color="auto" w:fill="FAF7F0"/>
          </w:tcPr>
          <w:p>
            <w:pPr>
              <w:spacing w:before="0" w:after="0" w:line="240" w:lineRule="auto"/>
            </w:pPr>
            <w:r>
              <w:rPr>
                <w:color w:val="1A1A1A"/>
                <w:sz w:val="16"/>
              </w:rPr>
              <w:t>National: 20% standard, 5% reduced, 0% zero rate</w:t>
            </w:r>
          </w:p>
        </w:tc>
        <w:tc>
          <w:tcPr>
            <w:tcW w:type="dxa" w:w="1915"/>
            <w:shd w:val="clear" w:color="auto" w:fill="FAF7F0"/>
          </w:tcPr>
          <w:p>
            <w:pPr>
              <w:spacing w:before="0" w:after="0" w:line="240" w:lineRule="auto"/>
            </w:pPr>
            <w:r>
              <w:rPr>
                <w:color w:val="1A1A1A"/>
                <w:sz w:val="16"/>
              </w:rPr>
              <w:t>Federal GST is 5%; participating provinces charge one combined HST rate instead; others may add their own provincial tax</w:t>
            </w:r>
          </w:p>
        </w:tc>
        <w:tc>
          <w:tcPr>
            <w:tcW w:type="dxa" w:w="1829"/>
            <w:shd w:val="clear" w:color="auto" w:fill="FAF7F0"/>
          </w:tcPr>
          <w:p>
            <w:pPr>
              <w:spacing w:before="0" w:after="0" w:line="240" w:lineRule="auto"/>
            </w:pPr>
            <w:r>
              <w:rPr>
                <w:color w:val="1A1A1A"/>
                <w:sz w:val="16"/>
              </w:rPr>
              <w:t>National: 10% on most goods and services</w:t>
            </w:r>
          </w:p>
        </w:tc>
      </w:tr>
      <w:tr>
        <w:trPr>
          <w:cantSplit/>
        </w:trPr>
        <w:tc>
          <w:tcPr>
            <w:tcW w:type="dxa" w:w="1656"/>
            <w:shd w:val="clear" w:color="auto" w:fill="F3EBD8"/>
          </w:tcPr>
          <w:p>
            <w:pPr>
              <w:spacing w:before="0" w:after="0" w:line="240" w:lineRule="auto"/>
            </w:pPr>
            <w:r>
              <w:rPr>
                <w:b/>
                <w:color w:val="1A1A1A"/>
                <w:sz w:val="16"/>
              </w:rPr>
              <w:t>Restaurant and bar sales</w:t>
            </w:r>
          </w:p>
        </w:tc>
        <w:tc>
          <w:tcPr>
            <w:tcW w:type="dxa" w:w="1800"/>
          </w:tcPr>
          <w:p>
            <w:pPr>
              <w:spacing w:before="0" w:after="0" w:line="240" w:lineRule="auto"/>
            </w:pPr>
            <w:r>
              <w:rPr>
                <w:color w:val="1A1A1A"/>
                <w:sz w:val="16"/>
              </w:rPr>
              <w:t>Usually taxed at the combined state and local rate; some states and cities add a meals tax: check</w:t>
            </w:r>
          </w:p>
        </w:tc>
        <w:tc>
          <w:tcPr>
            <w:tcW w:type="dxa" w:w="1915"/>
          </w:tcPr>
          <w:p>
            <w:pPr>
              <w:spacing w:before="0" w:after="0" w:line="240" w:lineRule="auto"/>
            </w:pPr>
            <w:r>
              <w:rPr>
                <w:color w:val="1A1A1A"/>
                <w:sz w:val="16"/>
              </w:rPr>
              <w:t>Standard rate for food and drink consumed on the premises and for hot takeaway food; most cold takeaway food is zero-rated (not soft drinks, confectionery or crisps)</w:t>
            </w:r>
          </w:p>
        </w:tc>
        <w:tc>
          <w:tcPr>
            <w:tcW w:type="dxa" w:w="1915"/>
          </w:tcPr>
          <w:p>
            <w:pPr>
              <w:spacing w:before="0" w:after="0" w:line="240" w:lineRule="auto"/>
            </w:pPr>
            <w:r>
              <w:rPr>
                <w:color w:val="1A1A1A"/>
                <w:sz w:val="16"/>
              </w:rPr>
              <w:t>GST/HST applies; how provincial tax treats restaurant meals depends on the province: check</w:t>
            </w:r>
          </w:p>
        </w:tc>
        <w:tc>
          <w:tcPr>
            <w:tcW w:type="dxa" w:w="1829"/>
          </w:tcPr>
          <w:p>
            <w:pPr>
              <w:spacing w:before="0" w:after="0" w:line="240" w:lineRule="auto"/>
            </w:pPr>
            <w:r>
              <w:rPr>
                <w:color w:val="1A1A1A"/>
                <w:sz w:val="16"/>
              </w:rPr>
              <w:t>GST applies to restaurant meals</w:t>
            </w:r>
          </w:p>
        </w:tc>
      </w:tr>
      <w:tr>
        <w:trPr>
          <w:cantSplit/>
        </w:trPr>
        <w:tc>
          <w:tcPr>
            <w:tcW w:type="dxa" w:w="1656"/>
            <w:shd w:val="clear" w:color="auto" w:fill="F3EBD8"/>
          </w:tcPr>
          <w:p>
            <w:pPr>
              <w:spacing w:before="0" w:after="0" w:line="240" w:lineRule="auto"/>
            </w:pPr>
            <w:r>
              <w:rPr>
                <w:b/>
                <w:color w:val="1A1A1A"/>
                <w:sz w:val="16"/>
              </w:rPr>
              <w:t>Menu price display</w:t>
            </w:r>
          </w:p>
        </w:tc>
        <w:tc>
          <w:tcPr>
            <w:tcW w:type="dxa" w:w="1800"/>
            <w:shd w:val="clear" w:color="auto" w:fill="FAF7F0"/>
          </w:tcPr>
          <w:p>
            <w:pPr>
              <w:spacing w:before="0" w:after="0" w:line="240" w:lineRule="auto"/>
            </w:pPr>
            <w:r>
              <w:rPr>
                <w:color w:val="1A1A1A"/>
                <w:sz w:val="16"/>
              </w:rPr>
              <w:t>Before tax; tax added on the bill</w:t>
            </w:r>
          </w:p>
        </w:tc>
        <w:tc>
          <w:tcPr>
            <w:tcW w:type="dxa" w:w="1915"/>
            <w:shd w:val="clear" w:color="auto" w:fill="FAF7F0"/>
          </w:tcPr>
          <w:p>
            <w:pPr>
              <w:spacing w:before="0" w:after="0" w:line="240" w:lineRule="auto"/>
            </w:pPr>
            <w:r>
              <w:rPr>
                <w:color w:val="1A1A1A"/>
                <w:sz w:val="16"/>
              </w:rPr>
              <w:t>Prices must include VAT, and any extra or minimum charge must be shown as clearly as the food prices</w:t>
            </w:r>
          </w:p>
        </w:tc>
        <w:tc>
          <w:tcPr>
            <w:tcW w:type="dxa" w:w="1915"/>
            <w:shd w:val="clear" w:color="auto" w:fill="FAF7F0"/>
          </w:tcPr>
          <w:p>
            <w:pPr>
              <w:spacing w:before="0" w:after="0" w:line="240" w:lineRule="auto"/>
            </w:pPr>
            <w:r>
              <w:rPr>
                <w:color w:val="1A1A1A"/>
                <w:sz w:val="16"/>
              </w:rPr>
              <w:t>Usually before tax; tax added on the bill</w:t>
            </w:r>
          </w:p>
        </w:tc>
        <w:tc>
          <w:tcPr>
            <w:tcW w:type="dxa" w:w="1829"/>
            <w:shd w:val="clear" w:color="auto" w:fill="FAF7F0"/>
          </w:tcPr>
          <w:p>
            <w:pPr>
              <w:spacing w:before="0" w:after="0" w:line="240" w:lineRule="auto"/>
            </w:pPr>
            <w:r>
              <w:rPr>
                <w:color w:val="1A1A1A"/>
                <w:sz w:val="16"/>
              </w:rPr>
              <w:t>Prices include GST</w:t>
            </w:r>
          </w:p>
        </w:tc>
      </w:tr>
      <w:tr>
        <w:trPr>
          <w:cantSplit/>
        </w:trPr>
        <w:tc>
          <w:tcPr>
            <w:tcW w:type="dxa" w:w="1656"/>
            <w:shd w:val="clear" w:color="auto" w:fill="F3EBD8"/>
          </w:tcPr>
          <w:p>
            <w:pPr>
              <w:spacing w:before="0" w:after="0" w:line="240" w:lineRule="auto"/>
            </w:pPr>
            <w:r>
              <w:rPr>
                <w:b/>
                <w:color w:val="1A1A1A"/>
                <w:sz w:val="16"/>
              </w:rPr>
              <w:t>Getting registered</w:t>
            </w:r>
          </w:p>
        </w:tc>
        <w:tc>
          <w:tcPr>
            <w:tcW w:type="dxa" w:w="1800"/>
          </w:tcPr>
          <w:p>
            <w:pPr>
              <w:spacing w:before="0" w:after="0" w:line="240" w:lineRule="auto"/>
            </w:pPr>
            <w:r>
              <w:rPr>
                <w:color w:val="1A1A1A"/>
                <w:sz w:val="16"/>
              </w:rPr>
              <w:t>“Sales tax permit” (seller's permit) from your state</w:t>
            </w:r>
          </w:p>
        </w:tc>
        <w:tc>
          <w:tcPr>
            <w:tcW w:type="dxa" w:w="1915"/>
          </w:tcPr>
          <w:p>
            <w:pPr>
              <w:spacing w:before="0" w:after="0" w:line="240" w:lineRule="auto"/>
            </w:pPr>
            <w:r>
              <w:rPr>
                <w:color w:val="1A1A1A"/>
                <w:sz w:val="16"/>
              </w:rPr>
              <w:t>Register for VAT once you meet the threshold: check gov.uk for the current figure</w:t>
            </w:r>
          </w:p>
        </w:tc>
        <w:tc>
          <w:tcPr>
            <w:tcW w:type="dxa" w:w="1915"/>
          </w:tcPr>
          <w:p>
            <w:pPr>
              <w:spacing w:before="0" w:after="0" w:line="240" w:lineRule="auto"/>
            </w:pPr>
            <w:r>
              <w:rPr>
                <w:color w:val="1A1A1A"/>
                <w:sz w:val="16"/>
              </w:rPr>
              <w:t>Open a GST/HST account under your business number: check the small-supplier rules with the CRA</w:t>
            </w:r>
          </w:p>
        </w:tc>
        <w:tc>
          <w:tcPr>
            <w:tcW w:type="dxa" w:w="1829"/>
          </w:tcPr>
          <w:p>
            <w:pPr>
              <w:spacing w:before="0" w:after="0" w:line="240" w:lineRule="auto"/>
            </w:pPr>
            <w:r>
              <w:rPr>
                <w:color w:val="1A1A1A"/>
                <w:sz w:val="16"/>
              </w:rPr>
              <w:t>Register for GST once your GST turnover reaches the threshold: check business.gov.au</w:t>
            </w:r>
          </w:p>
        </w:tc>
      </w:tr>
      <w:tr>
        <w:trPr>
          <w:cantSplit/>
        </w:trPr>
        <w:tc>
          <w:tcPr>
            <w:tcW w:type="dxa" w:w="1656"/>
            <w:shd w:val="clear" w:color="auto" w:fill="F3EBD8"/>
          </w:tcPr>
          <w:p>
            <w:pPr>
              <w:spacing w:before="0" w:after="0" w:line="240" w:lineRule="auto"/>
            </w:pPr>
            <w:r>
              <w:rPr>
                <w:b/>
                <w:color w:val="1A1A1A"/>
                <w:sz w:val="16"/>
              </w:rPr>
              <w:t>Tax on your own purchases</w:t>
            </w:r>
          </w:p>
        </w:tc>
        <w:tc>
          <w:tcPr>
            <w:tcW w:type="dxa" w:w="1800"/>
            <w:shd w:val="clear" w:color="auto" w:fill="FAF7F0"/>
          </w:tcPr>
          <w:p>
            <w:pPr>
              <w:spacing w:before="0" w:after="0" w:line="240" w:lineRule="auto"/>
            </w:pPr>
            <w:r>
              <w:rPr>
                <w:color w:val="1A1A1A"/>
                <w:sz w:val="16"/>
              </w:rPr>
              <w:t>A cost of doing business; resale rules vary by state</w:t>
            </w:r>
          </w:p>
        </w:tc>
        <w:tc>
          <w:tcPr>
            <w:tcW w:type="dxa" w:w="1915"/>
            <w:shd w:val="clear" w:color="auto" w:fill="FAF7F0"/>
          </w:tcPr>
          <w:p>
            <w:pPr>
              <w:spacing w:before="0" w:after="0" w:line="240" w:lineRule="auto"/>
            </w:pPr>
            <w:r>
              <w:rPr>
                <w:color w:val="1A1A1A"/>
                <w:sz w:val="16"/>
              </w:rPr>
              <w:t>Reclaim input VAT on your VAT return</w:t>
            </w:r>
          </w:p>
        </w:tc>
        <w:tc>
          <w:tcPr>
            <w:tcW w:type="dxa" w:w="1915"/>
            <w:shd w:val="clear" w:color="auto" w:fill="FAF7F0"/>
          </w:tcPr>
          <w:p>
            <w:pPr>
              <w:spacing w:before="0" w:after="0" w:line="240" w:lineRule="auto"/>
            </w:pPr>
            <w:r>
              <w:rPr>
                <w:color w:val="1A1A1A"/>
                <w:sz w:val="16"/>
              </w:rPr>
              <w:t>Claim “input tax credits”</w:t>
            </w:r>
          </w:p>
        </w:tc>
        <w:tc>
          <w:tcPr>
            <w:tcW w:type="dxa" w:w="1829"/>
            <w:shd w:val="clear" w:color="auto" w:fill="FAF7F0"/>
          </w:tcPr>
          <w:p>
            <w:pPr>
              <w:spacing w:before="0" w:after="0" w:line="240" w:lineRule="auto"/>
            </w:pPr>
            <w:r>
              <w:rPr>
                <w:color w:val="1A1A1A"/>
                <w:sz w:val="16"/>
              </w:rPr>
              <w:t>Claim “GST credits”</w:t>
            </w:r>
          </w:p>
        </w:tc>
      </w:tr>
    </w:tbl>
    <w:p>
      <w:pPr>
        <w:spacing w:after="40"/>
      </w:pPr>
    </w:p>
    <w:p>
      <w:pPr>
        <w:pStyle w:val="Heading2"/>
        <w:spacing w:before="280"/>
      </w:pPr>
      <w:r>
        <w:t>Tips and service charges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655"/>
        <w:gridCol w:w="1800"/>
        <w:gridCol w:w="1915"/>
        <w:gridCol w:w="1915"/>
        <w:gridCol w:w="1828"/>
      </w:tblGrid>
      <w:tr>
        <w:trPr>
          <w:tblHeader w:val="true"/>
          <w:cantSplit/>
        </w:trPr>
        <w:tc>
          <w:tcPr>
            <w:tcW w:type="dxa" w:w="1656"/>
            <w:shd w:val="clear" w:color="auto" w:fill="1A1A1A"/>
          </w:tcPr>
          <w:p>
            <w:pPr>
              <w:spacing w:before="0" w:after="0" w:line="240" w:lineRule="auto"/>
            </w:pPr>
            <w:r>
              <w:rPr>
                <w:b/>
                <w:color w:val="FFFFFF"/>
                <w:sz w:val="16"/>
              </w:rPr>
              <w:t>Topic</w:t>
            </w:r>
          </w:p>
        </w:tc>
        <w:tc>
          <w:tcPr>
            <w:tcW w:type="dxa" w:w="1800"/>
            <w:shd w:val="clear" w:color="auto" w:fill="1A1A1A"/>
          </w:tcPr>
          <w:p>
            <w:pPr>
              <w:spacing w:before="0" w:after="0" w:line="240" w:lineRule="auto"/>
            </w:pPr>
            <w:r>
              <w:rPr>
                <w:b/>
                <w:color w:val="FFFFFF"/>
                <w:sz w:val="16"/>
              </w:rPr>
              <w:t>US</w:t>
            </w:r>
          </w:p>
        </w:tc>
        <w:tc>
          <w:tcPr>
            <w:tcW w:type="dxa" w:w="1915"/>
            <w:shd w:val="clear" w:color="auto" w:fill="1A1A1A"/>
          </w:tcPr>
          <w:p>
            <w:pPr>
              <w:spacing w:before="0" w:after="0" w:line="240" w:lineRule="auto"/>
            </w:pPr>
            <w:r>
              <w:rPr>
                <w:b/>
                <w:color w:val="FFFFFF"/>
                <w:sz w:val="16"/>
              </w:rPr>
              <w:t>UK</w:t>
            </w:r>
          </w:p>
        </w:tc>
        <w:tc>
          <w:tcPr>
            <w:tcW w:type="dxa" w:w="1915"/>
            <w:shd w:val="clear" w:color="auto" w:fill="1A1A1A"/>
          </w:tcPr>
          <w:p>
            <w:pPr>
              <w:spacing w:before="0" w:after="0" w:line="240" w:lineRule="auto"/>
            </w:pPr>
            <w:r>
              <w:rPr>
                <w:b/>
                <w:color w:val="FFFFFF"/>
                <w:sz w:val="16"/>
              </w:rPr>
              <w:t>Canada</w:t>
            </w:r>
          </w:p>
        </w:tc>
        <w:tc>
          <w:tcPr>
            <w:tcW w:type="dxa" w:w="1829"/>
            <w:shd w:val="clear" w:color="auto" w:fill="1A1A1A"/>
          </w:tcPr>
          <w:p>
            <w:pPr>
              <w:spacing w:before="0" w:after="0" w:line="240" w:lineRule="auto"/>
            </w:pPr>
            <w:r>
              <w:rPr>
                <w:b/>
                <w:color w:val="FFFFFF"/>
                <w:sz w:val="16"/>
              </w:rPr>
              <w:t>Australia</w:t>
            </w:r>
          </w:p>
        </w:tc>
      </w:tr>
      <w:tr>
        <w:trPr>
          <w:cantSplit/>
        </w:trPr>
        <w:tc>
          <w:tcPr>
            <w:tcW w:type="dxa" w:w="1656"/>
            <w:shd w:val="clear" w:color="auto" w:fill="F3EBD8"/>
          </w:tcPr>
          <w:p>
            <w:pPr>
              <w:spacing w:before="0" w:after="0" w:line="240" w:lineRule="auto"/>
            </w:pPr>
            <w:r>
              <w:rPr>
                <w:b/>
                <w:color w:val="1A1A1A"/>
                <w:sz w:val="16"/>
              </w:rPr>
              <w:t>What counts as a tip</w:t>
            </w:r>
          </w:p>
        </w:tc>
        <w:tc>
          <w:tcPr>
            <w:tcW w:type="dxa" w:w="1800"/>
          </w:tcPr>
          <w:p>
            <w:pPr>
              <w:spacing w:before="0" w:after="0" w:line="240" w:lineRule="auto"/>
            </w:pPr>
            <w:r>
              <w:rPr>
                <w:color w:val="1A1A1A"/>
                <w:sz w:val="16"/>
              </w:rPr>
              <w:t>A payment is a tip only if the guest chooses to pay it and decides the amount</w:t>
            </w:r>
          </w:p>
        </w:tc>
        <w:tc>
          <w:tcPr>
            <w:tcW w:type="dxa" w:w="1915"/>
          </w:tcPr>
          <w:p>
            <w:pPr>
              <w:spacing w:before="0" w:after="0" w:line="240" w:lineRule="auto"/>
            </w:pPr>
            <w:r>
              <w:rPr>
                <w:color w:val="1A1A1A"/>
                <w:sz w:val="16"/>
              </w:rPr>
              <w:t>Tips, gratuities and service charges are all covered by the tips law</w:t>
            </w:r>
          </w:p>
        </w:tc>
        <w:tc>
          <w:tcPr>
            <w:tcW w:type="dxa" w:w="1915"/>
          </w:tcPr>
          <w:p>
            <w:pPr>
              <w:spacing w:before="0" w:after="0" w:line="240" w:lineRule="auto"/>
            </w:pPr>
            <w:r>
              <w:rPr>
                <w:color w:val="1A1A1A"/>
                <w:sz w:val="16"/>
              </w:rPr>
              <w:t>Ontario example: an employer-imposed service charge counts as a tip if a reasonable person would expect staff to receive it</w:t>
            </w:r>
          </w:p>
        </w:tc>
        <w:tc>
          <w:tcPr>
            <w:tcW w:type="dxa" w:w="1829"/>
          </w:tcPr>
          <w:p>
            <w:pPr>
              <w:spacing w:before="0" w:after="0" w:line="240" w:lineRule="auto"/>
            </w:pPr>
            <w:r>
              <w:rPr>
                <w:color w:val="1A1A1A"/>
                <w:sz w:val="16"/>
              </w:rPr>
              <w:t>Tipping is optional</w:t>
            </w:r>
          </w:p>
        </w:tc>
      </w:tr>
      <w:tr>
        <w:trPr>
          <w:cantSplit/>
        </w:trPr>
        <w:tc>
          <w:tcPr>
            <w:tcW w:type="dxa" w:w="1656"/>
            <w:shd w:val="clear" w:color="auto" w:fill="F3EBD8"/>
          </w:tcPr>
          <w:p>
            <w:pPr>
              <w:spacing w:before="0" w:after="0" w:line="240" w:lineRule="auto"/>
            </w:pPr>
            <w:r>
              <w:rPr>
                <w:b/>
                <w:color w:val="1A1A1A"/>
                <w:sz w:val="16"/>
              </w:rPr>
              <w:t>Mandatory service charge</w:t>
            </w:r>
          </w:p>
        </w:tc>
        <w:tc>
          <w:tcPr>
            <w:tcW w:type="dxa" w:w="1800"/>
            <w:shd w:val="clear" w:color="auto" w:fill="FAF7F0"/>
          </w:tcPr>
          <w:p>
            <w:pPr>
              <w:spacing w:before="0" w:after="0" w:line="240" w:lineRule="auto"/>
            </w:pPr>
            <w:r>
              <w:rPr>
                <w:color w:val="1A1A1A"/>
                <w:sz w:val="16"/>
              </w:rPr>
              <w:t>Not a tip: when paid to staff it is treated as wages</w:t>
            </w:r>
          </w:p>
        </w:tc>
        <w:tc>
          <w:tcPr>
            <w:tcW w:type="dxa" w:w="1915"/>
            <w:shd w:val="clear" w:color="auto" w:fill="FAF7F0"/>
          </w:tcPr>
          <w:p>
            <w:pPr>
              <w:spacing w:before="0" w:after="0" w:line="240" w:lineRule="auto"/>
            </w:pPr>
            <w:r>
              <w:rPr>
                <w:color w:val="1A1A1A"/>
                <w:sz w:val="16"/>
              </w:rPr>
              <w:t>Must be passed to workers in full, like tips</w:t>
            </w:r>
          </w:p>
        </w:tc>
        <w:tc>
          <w:tcPr>
            <w:tcW w:type="dxa" w:w="1915"/>
            <w:shd w:val="clear" w:color="auto" w:fill="FAF7F0"/>
          </w:tcPr>
          <w:p>
            <w:pPr>
              <w:spacing w:before="0" w:after="0" w:line="240" w:lineRule="auto"/>
            </w:pPr>
            <w:r>
              <w:rPr>
                <w:color w:val="1A1A1A"/>
                <w:sz w:val="16"/>
              </w:rPr>
              <w:t>Treated like tips under Ontario's rules; check your province</w:t>
            </w:r>
          </w:p>
        </w:tc>
        <w:tc>
          <w:tcPr>
            <w:tcW w:type="dxa" w:w="1829"/>
            <w:shd w:val="clear" w:color="auto" w:fill="FAF7F0"/>
          </w:tcPr>
          <w:p>
            <w:pPr>
              <w:spacing w:before="0" w:after="0" w:line="240" w:lineRule="auto"/>
            </w:pPr>
            <w:r>
              <w:rPr>
                <w:color w:val="1A1A1A"/>
                <w:sz w:val="16"/>
              </w:rPr>
              <w:t>Check the ACCC price-display rules before adding any surcharge</w:t>
            </w:r>
          </w:p>
        </w:tc>
      </w:tr>
      <w:tr>
        <w:trPr>
          <w:cantSplit/>
        </w:trPr>
        <w:tc>
          <w:tcPr>
            <w:tcW w:type="dxa" w:w="1656"/>
            <w:shd w:val="clear" w:color="auto" w:fill="F3EBD8"/>
          </w:tcPr>
          <w:p>
            <w:pPr>
              <w:spacing w:before="0" w:after="0" w:line="240" w:lineRule="auto"/>
            </w:pPr>
            <w:r>
              <w:rPr>
                <w:b/>
                <w:color w:val="1A1A1A"/>
                <w:sz w:val="16"/>
              </w:rPr>
              <w:t>What the employer must do</w:t>
            </w:r>
          </w:p>
        </w:tc>
        <w:tc>
          <w:tcPr>
            <w:tcW w:type="dxa" w:w="1800"/>
          </w:tcPr>
          <w:p>
            <w:pPr>
              <w:spacing w:before="0" w:after="0" w:line="240" w:lineRule="auto"/>
            </w:pPr>
            <w:r>
              <w:rPr>
                <w:color w:val="1A1A1A"/>
                <w:sz w:val="16"/>
              </w:rPr>
              <w:t>Report tips and treat service charges as wages (IRS)</w:t>
            </w:r>
          </w:p>
        </w:tc>
        <w:tc>
          <w:tcPr>
            <w:tcW w:type="dxa" w:w="1915"/>
          </w:tcPr>
          <w:p>
            <w:pPr>
              <w:spacing w:before="0" w:after="0" w:line="240" w:lineRule="auto"/>
            </w:pPr>
            <w:r>
              <w:rPr>
                <w:color w:val="1A1A1A"/>
                <w:sz w:val="16"/>
              </w:rPr>
              <w:t>Pass on all tips without deductions other than tax, by the end of the following month, with a written tipping policy (law in force since October 1, 2024); pooled tips are often shared through a “tronc” run by a “troncmaster”</w:t>
            </w:r>
          </w:p>
        </w:tc>
        <w:tc>
          <w:tcPr>
            <w:tcW w:type="dxa" w:w="1915"/>
          </w:tcPr>
          <w:p>
            <w:pPr>
              <w:spacing w:before="0" w:after="0" w:line="240" w:lineRule="auto"/>
            </w:pPr>
            <w:r>
              <w:rPr>
                <w:color w:val="1A1A1A"/>
                <w:sz w:val="16"/>
              </w:rPr>
              <w:t>Ontario: no withholding or deductions from tips; tip pooling allowed; owners share only if they regularly do the same work</w:t>
            </w:r>
          </w:p>
        </w:tc>
        <w:tc>
          <w:tcPr>
            <w:tcW w:type="dxa" w:w="1829"/>
          </w:tcPr>
          <w:p>
            <w:pPr>
              <w:spacing w:before="0" w:after="0" w:line="240" w:lineRule="auto"/>
            </w:pPr>
            <w:r>
              <w:rPr>
                <w:color w:val="1A1A1A"/>
                <w:sz w:val="16"/>
              </w:rPr>
              <w:t>No tip calculation in the kits: keep tips out of sales</w:t>
            </w:r>
          </w:p>
        </w:tc>
      </w:tr>
    </w:tbl>
    <w:p>
      <w:pPr>
        <w:spacing w:after="40"/>
      </w:pPr>
    </w:p>
    <w:p>
      <w:pPr>
        <w:spacing w:line="288" w:lineRule="auto"/>
      </w:pPr>
      <w:r>
        <w:rPr>
          <w:b/>
        </w:rPr>
        <w:t>In the kits:</w:t>
      </w:r>
      <w:r>
        <w:t xml:space="preserve"> keep tips and gratuities out of sales and out of food cost in every country. A mandatory service charge is revenue that you then pay out as wages (US) or pass on to staff (UK).</w:t>
      </w:r>
    </w:p>
    <w:p>
      <w:pPr>
        <w:pStyle w:val="Heading1"/>
        <w:keepNext/>
        <w:pageBreakBefore w:val="0"/>
        <w:spacing w:before="440"/>
      </w:pPr>
      <w:r>
        <w:t>5. Food Safety</w:t>
      </w:r>
    </w:p>
    <w:p>
      <w:pPr>
        <w:keepNext/>
      </w:pPr>
      <w:r>
        <w:rPr>
          <w:color w:val="C6A664"/>
          <w:sz w:val="16"/>
        </w:rPr>
        <w:t>━━━━━━━━━━━━━━━━━━━━━━━━━━━━━━━━━━━━━━━━━━━━━━━━━━</w:t>
      </w:r>
    </w:p>
    <w:p>
      <w:pPr>
        <w:spacing w:line="288" w:lineRule="auto"/>
      </w:pPr>
      <w:r>
        <w:t>The HACCP and inventory kits apply FDA Food Code limits in °F. The principles (cold food cold, hot food hot, cook and cool on time, know your allergens) are the same everywhere; the numbers and the inspectors are not.</w:t>
      </w:r>
    </w:p>
    <w:p>
      <w:pPr>
        <w:pStyle w:val="Heading2"/>
        <w:spacing w:before="280"/>
      </w:pPr>
      <w:r>
        <w:t>Who makes the rules and who inspects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655"/>
        <w:gridCol w:w="1800"/>
        <w:gridCol w:w="1915"/>
        <w:gridCol w:w="1915"/>
        <w:gridCol w:w="1828"/>
      </w:tblGrid>
      <w:tr>
        <w:trPr>
          <w:tblHeader w:val="true"/>
          <w:cantSplit/>
        </w:trPr>
        <w:tc>
          <w:tcPr>
            <w:tcW w:type="dxa" w:w="1656"/>
            <w:shd w:val="clear" w:color="auto" w:fill="1A1A1A"/>
          </w:tcPr>
          <w:p>
            <w:pPr>
              <w:spacing w:before="0" w:after="0" w:line="240" w:lineRule="auto"/>
            </w:pPr>
            <w:r>
              <w:rPr>
                <w:b/>
                <w:color w:val="FFFFFF"/>
                <w:sz w:val="16"/>
              </w:rPr>
              <w:t>Topic</w:t>
            </w:r>
          </w:p>
        </w:tc>
        <w:tc>
          <w:tcPr>
            <w:tcW w:type="dxa" w:w="1800"/>
            <w:shd w:val="clear" w:color="auto" w:fill="1A1A1A"/>
          </w:tcPr>
          <w:p>
            <w:pPr>
              <w:spacing w:before="0" w:after="0" w:line="240" w:lineRule="auto"/>
            </w:pPr>
            <w:r>
              <w:rPr>
                <w:b/>
                <w:color w:val="FFFFFF"/>
                <w:sz w:val="16"/>
              </w:rPr>
              <w:t>US</w:t>
            </w:r>
          </w:p>
        </w:tc>
        <w:tc>
          <w:tcPr>
            <w:tcW w:type="dxa" w:w="1915"/>
            <w:shd w:val="clear" w:color="auto" w:fill="1A1A1A"/>
          </w:tcPr>
          <w:p>
            <w:pPr>
              <w:spacing w:before="0" w:after="0" w:line="240" w:lineRule="auto"/>
            </w:pPr>
            <w:r>
              <w:rPr>
                <w:b/>
                <w:color w:val="FFFFFF"/>
                <w:sz w:val="16"/>
              </w:rPr>
              <w:t>UK</w:t>
            </w:r>
          </w:p>
        </w:tc>
        <w:tc>
          <w:tcPr>
            <w:tcW w:type="dxa" w:w="1915"/>
            <w:shd w:val="clear" w:color="auto" w:fill="1A1A1A"/>
          </w:tcPr>
          <w:p>
            <w:pPr>
              <w:spacing w:before="0" w:after="0" w:line="240" w:lineRule="auto"/>
            </w:pPr>
            <w:r>
              <w:rPr>
                <w:b/>
                <w:color w:val="FFFFFF"/>
                <w:sz w:val="16"/>
              </w:rPr>
              <w:t>Canada</w:t>
            </w:r>
          </w:p>
        </w:tc>
        <w:tc>
          <w:tcPr>
            <w:tcW w:type="dxa" w:w="1829"/>
            <w:shd w:val="clear" w:color="auto" w:fill="1A1A1A"/>
          </w:tcPr>
          <w:p>
            <w:pPr>
              <w:spacing w:before="0" w:after="0" w:line="240" w:lineRule="auto"/>
            </w:pPr>
            <w:r>
              <w:rPr>
                <w:b/>
                <w:color w:val="FFFFFF"/>
                <w:sz w:val="16"/>
              </w:rPr>
              <w:t>Australia</w:t>
            </w:r>
          </w:p>
        </w:tc>
      </w:tr>
      <w:tr>
        <w:trPr>
          <w:cantSplit/>
        </w:trPr>
        <w:tc>
          <w:tcPr>
            <w:tcW w:type="dxa" w:w="1656"/>
            <w:shd w:val="clear" w:color="auto" w:fill="F3EBD8"/>
          </w:tcPr>
          <w:p>
            <w:pPr>
              <w:spacing w:before="0" w:after="0" w:line="240" w:lineRule="auto"/>
            </w:pPr>
            <w:r>
              <w:rPr>
                <w:b/>
                <w:color w:val="1A1A1A"/>
                <w:sz w:val="16"/>
              </w:rPr>
              <w:t>Rules</w:t>
            </w:r>
          </w:p>
        </w:tc>
        <w:tc>
          <w:tcPr>
            <w:tcW w:type="dxa" w:w="1800"/>
          </w:tcPr>
          <w:p>
            <w:pPr>
              <w:spacing w:before="0" w:after="0" w:line="240" w:lineRule="auto"/>
            </w:pPr>
            <w:r>
              <w:rPr>
                <w:color w:val="1A1A1A"/>
                <w:sz w:val="16"/>
              </w:rPr>
              <w:t>FDA Food Code (a model code), adopted, often with changes and in different editions, by most states; local health departments enforce it</w:t>
            </w:r>
          </w:p>
        </w:tc>
        <w:tc>
          <w:tcPr>
            <w:tcW w:type="dxa" w:w="1915"/>
          </w:tcPr>
          <w:p>
            <w:pPr>
              <w:spacing w:before="0" w:after="0" w:line="240" w:lineRule="auto"/>
            </w:pPr>
            <w:r>
              <w:rPr>
                <w:color w:val="1A1A1A"/>
                <w:sz w:val="16"/>
              </w:rPr>
              <w:t>Food hygiene law enforced by the council's environmental health officers (EHOs); Food Standards Agency guidance and “Safer Food, Better Business” packs</w:t>
            </w:r>
          </w:p>
        </w:tc>
        <w:tc>
          <w:tcPr>
            <w:tcW w:type="dxa" w:w="1915"/>
          </w:tcPr>
          <w:p>
            <w:pPr>
              <w:spacing w:before="0" w:after="0" w:line="240" w:lineRule="auto"/>
            </w:pPr>
            <w:r>
              <w:rPr>
                <w:color w:val="1A1A1A"/>
                <w:sz w:val="16"/>
              </w:rPr>
              <w:t>Provincial and territorial food premises rules; the CFIA covers federal food trade</w:t>
            </w:r>
          </w:p>
        </w:tc>
        <w:tc>
          <w:tcPr>
            <w:tcW w:type="dxa" w:w="1829"/>
          </w:tcPr>
          <w:p>
            <w:pPr>
              <w:spacing w:before="0" w:after="0" w:line="240" w:lineRule="auto"/>
            </w:pPr>
            <w:r>
              <w:rPr>
                <w:color w:val="1A1A1A"/>
                <w:sz w:val="16"/>
              </w:rPr>
              <w:t>FSANZ Food Standards Code, chapter 3 (Standards 3.2.2 and 3.2.2A), enforced by states, territories and local councils</w:t>
            </w:r>
          </w:p>
        </w:tc>
      </w:tr>
      <w:tr>
        <w:trPr>
          <w:cantSplit/>
        </w:trPr>
        <w:tc>
          <w:tcPr>
            <w:tcW w:type="dxa" w:w="1656"/>
            <w:shd w:val="clear" w:color="auto" w:fill="F3EBD8"/>
          </w:tcPr>
          <w:p>
            <w:pPr>
              <w:spacing w:before="0" w:after="0" w:line="240" w:lineRule="auto"/>
            </w:pPr>
            <w:r>
              <w:rPr>
                <w:b/>
                <w:color w:val="1A1A1A"/>
                <w:sz w:val="16"/>
              </w:rPr>
              <w:t>Who inspects a restaurant</w:t>
            </w:r>
          </w:p>
        </w:tc>
        <w:tc>
          <w:tcPr>
            <w:tcW w:type="dxa" w:w="1800"/>
            <w:shd w:val="clear" w:color="auto" w:fill="FAF7F0"/>
          </w:tcPr>
          <w:p>
            <w:pPr>
              <w:spacing w:before="0" w:after="0" w:line="240" w:lineRule="auto"/>
            </w:pPr>
            <w:r>
              <w:rPr>
                <w:color w:val="1A1A1A"/>
                <w:sz w:val="16"/>
              </w:rPr>
              <w:t>State, county or city health department</w:t>
            </w:r>
          </w:p>
        </w:tc>
        <w:tc>
          <w:tcPr>
            <w:tcW w:type="dxa" w:w="1915"/>
            <w:shd w:val="clear" w:color="auto" w:fill="FAF7F0"/>
          </w:tcPr>
          <w:p>
            <w:pPr>
              <w:spacing w:before="0" w:after="0" w:line="240" w:lineRule="auto"/>
            </w:pPr>
            <w:r>
              <w:rPr>
                <w:color w:val="1A1A1A"/>
                <w:sz w:val="16"/>
              </w:rPr>
              <w:t>Your local council</w:t>
            </w:r>
          </w:p>
        </w:tc>
        <w:tc>
          <w:tcPr>
            <w:tcW w:type="dxa" w:w="1915"/>
            <w:shd w:val="clear" w:color="auto" w:fill="FAF7F0"/>
          </w:tcPr>
          <w:p>
            <w:pPr>
              <w:spacing w:before="0" w:after="0" w:line="240" w:lineRule="auto"/>
            </w:pPr>
            <w:r>
              <w:rPr>
                <w:color w:val="1A1A1A"/>
                <w:sz w:val="16"/>
              </w:rPr>
              <w:t>Provincial governments, municipalities and regional health authorities</w:t>
            </w:r>
          </w:p>
        </w:tc>
        <w:tc>
          <w:tcPr>
            <w:tcW w:type="dxa" w:w="1829"/>
            <w:shd w:val="clear" w:color="auto" w:fill="FAF7F0"/>
          </w:tcPr>
          <w:p>
            <w:pPr>
              <w:spacing w:before="0" w:after="0" w:line="240" w:lineRule="auto"/>
            </w:pPr>
            <w:r>
              <w:rPr>
                <w:color w:val="1A1A1A"/>
                <w:sz w:val="16"/>
              </w:rPr>
              <w:t>Local council or state food authority</w:t>
            </w:r>
          </w:p>
        </w:tc>
      </w:tr>
      <w:tr>
        <w:trPr>
          <w:cantSplit/>
        </w:trPr>
        <w:tc>
          <w:tcPr>
            <w:tcW w:type="dxa" w:w="1656"/>
            <w:shd w:val="clear" w:color="auto" w:fill="F3EBD8"/>
          </w:tcPr>
          <w:p>
            <w:pPr>
              <w:spacing w:before="0" w:after="0" w:line="240" w:lineRule="auto"/>
            </w:pPr>
            <w:r>
              <w:rPr>
                <w:b/>
                <w:color w:val="1A1A1A"/>
                <w:sz w:val="16"/>
              </w:rPr>
              <w:t>Before you open</w:t>
            </w:r>
          </w:p>
        </w:tc>
        <w:tc>
          <w:tcPr>
            <w:tcW w:type="dxa" w:w="1800"/>
          </w:tcPr>
          <w:p>
            <w:pPr>
              <w:spacing w:before="0" w:after="0" w:line="240" w:lineRule="auto"/>
            </w:pPr>
            <w:r>
              <w:rPr>
                <w:color w:val="1A1A1A"/>
                <w:sz w:val="16"/>
              </w:rPr>
              <w:t>Health permit, often with plan review: check your health department</w:t>
            </w:r>
          </w:p>
        </w:tc>
        <w:tc>
          <w:tcPr>
            <w:tcW w:type="dxa" w:w="1915"/>
          </w:tcPr>
          <w:p>
            <w:pPr>
              <w:spacing w:before="0" w:after="0" w:line="240" w:lineRule="auto"/>
            </w:pPr>
            <w:r>
              <w:rPr>
                <w:color w:val="1A1A1A"/>
                <w:sz w:val="16"/>
              </w:rPr>
              <w:t>Register with your council at least 28 days before trading</w:t>
            </w:r>
          </w:p>
        </w:tc>
        <w:tc>
          <w:tcPr>
            <w:tcW w:type="dxa" w:w="1915"/>
          </w:tcPr>
          <w:p>
            <w:pPr>
              <w:spacing w:before="0" w:after="0" w:line="240" w:lineRule="auto"/>
            </w:pPr>
            <w:r>
              <w:rPr>
                <w:color w:val="1A1A1A"/>
                <w:sz w:val="16"/>
              </w:rPr>
              <w:t>Permit or approval from your local public health unit: check your province</w:t>
            </w:r>
          </w:p>
        </w:tc>
        <w:tc>
          <w:tcPr>
            <w:tcW w:type="dxa" w:w="1829"/>
          </w:tcPr>
          <w:p>
            <w:pPr>
              <w:spacing w:before="0" w:after="0" w:line="240" w:lineRule="auto"/>
            </w:pPr>
            <w:r>
              <w:rPr>
                <w:color w:val="1A1A1A"/>
                <w:sz w:val="16"/>
              </w:rPr>
              <w:t>Register or notify your local council: check your state</w:t>
            </w:r>
          </w:p>
        </w:tc>
      </w:tr>
      <w:tr>
        <w:trPr>
          <w:cantSplit/>
        </w:trPr>
        <w:tc>
          <w:tcPr>
            <w:tcW w:type="dxa" w:w="1656"/>
            <w:shd w:val="clear" w:color="auto" w:fill="F3EBD8"/>
          </w:tcPr>
          <w:p>
            <w:pPr>
              <w:spacing w:before="0" w:after="0" w:line="240" w:lineRule="auto"/>
            </w:pPr>
            <w:r>
              <w:rPr>
                <w:b/>
                <w:color w:val="1A1A1A"/>
                <w:sz w:val="16"/>
              </w:rPr>
              <w:t>Public hygiene rating</w:t>
            </w:r>
          </w:p>
        </w:tc>
        <w:tc>
          <w:tcPr>
            <w:tcW w:type="dxa" w:w="1800"/>
            <w:shd w:val="clear" w:color="auto" w:fill="FAF7F0"/>
          </w:tcPr>
          <w:p>
            <w:pPr>
              <w:spacing w:before="0" w:after="0" w:line="240" w:lineRule="auto"/>
            </w:pPr>
            <w:r>
              <w:rPr>
                <w:color w:val="1A1A1A"/>
                <w:sz w:val="16"/>
              </w:rPr>
              <w:t>Varies by city or county</w:t>
            </w:r>
          </w:p>
        </w:tc>
        <w:tc>
          <w:tcPr>
            <w:tcW w:type="dxa" w:w="1915"/>
            <w:shd w:val="clear" w:color="auto" w:fill="FAF7F0"/>
          </w:tcPr>
          <w:p>
            <w:pPr>
              <w:spacing w:before="0" w:after="0" w:line="240" w:lineRule="auto"/>
            </w:pPr>
            <w:r>
              <w:rPr>
                <w:color w:val="1A1A1A"/>
                <w:sz w:val="16"/>
              </w:rPr>
              <w:t>“Food Hygiene Rating Scheme” 0 to 5 in England, Wales and Northern Ireland; in Scotland, “Pass” or “Improvement Required” (FHIS)</w:t>
            </w:r>
          </w:p>
        </w:tc>
        <w:tc>
          <w:tcPr>
            <w:tcW w:type="dxa" w:w="1915"/>
            <w:shd w:val="clear" w:color="auto" w:fill="FAF7F0"/>
          </w:tcPr>
          <w:p>
            <w:pPr>
              <w:spacing w:before="0" w:after="0" w:line="240" w:lineRule="auto"/>
            </w:pPr>
            <w:r>
              <w:rPr>
                <w:color w:val="1A1A1A"/>
                <w:sz w:val="16"/>
              </w:rPr>
              <w:t>Many health units publish inspection results: check yours</w:t>
            </w:r>
          </w:p>
        </w:tc>
        <w:tc>
          <w:tcPr>
            <w:tcW w:type="dxa" w:w="1829"/>
            <w:shd w:val="clear" w:color="auto" w:fill="FAF7F0"/>
          </w:tcPr>
          <w:p>
            <w:pPr>
              <w:spacing w:before="0" w:after="0" w:line="240" w:lineRule="auto"/>
            </w:pPr>
            <w:r>
              <w:rPr>
                <w:color w:val="1A1A1A"/>
                <w:sz w:val="16"/>
              </w:rPr>
              <w:t>Some states and councils run rating schemes: check yours</w:t>
            </w:r>
          </w:p>
        </w:tc>
      </w:tr>
      <w:tr>
        <w:trPr>
          <w:cantSplit/>
        </w:trPr>
        <w:tc>
          <w:tcPr>
            <w:tcW w:type="dxa" w:w="1656"/>
            <w:shd w:val="clear" w:color="auto" w:fill="F3EBD8"/>
          </w:tcPr>
          <w:p>
            <w:pPr>
              <w:spacing w:before="0" w:after="0" w:line="240" w:lineRule="auto"/>
            </w:pPr>
            <w:r>
              <w:rPr>
                <w:b/>
                <w:color w:val="1A1A1A"/>
                <w:sz w:val="16"/>
              </w:rPr>
              <w:t>Who must be trained</w:t>
            </w:r>
          </w:p>
        </w:tc>
        <w:tc>
          <w:tcPr>
            <w:tcW w:type="dxa" w:w="1800"/>
          </w:tcPr>
          <w:p>
            <w:pPr>
              <w:spacing w:before="0" w:after="0" w:line="240" w:lineRule="auto"/>
            </w:pPr>
            <w:r>
              <w:rPr>
                <w:color w:val="1A1A1A"/>
                <w:sz w:val="16"/>
              </w:rPr>
              <w:t>The person in charge must be a Certified Food Protection Manager (Food Code 2-102.12); food handler cards in some states</w:t>
            </w:r>
          </w:p>
        </w:tc>
        <w:tc>
          <w:tcPr>
            <w:tcW w:type="dxa" w:w="1915"/>
          </w:tcPr>
          <w:p>
            <w:pPr>
              <w:spacing w:before="0" w:after="0" w:line="240" w:lineRule="auto"/>
            </w:pPr>
            <w:r>
              <w:rPr>
                <w:color w:val="1A1A1A"/>
                <w:sz w:val="16"/>
              </w:rPr>
              <w:t>Staff trained in food hygiene for their job: check FSA guidance</w:t>
            </w:r>
          </w:p>
        </w:tc>
        <w:tc>
          <w:tcPr>
            <w:tcW w:type="dxa" w:w="1915"/>
          </w:tcPr>
          <w:p>
            <w:pPr>
              <w:spacing w:before="0" w:after="0" w:line="240" w:lineRule="auto"/>
            </w:pPr>
            <w:r>
              <w:rPr>
                <w:color w:val="1A1A1A"/>
                <w:sz w:val="16"/>
              </w:rPr>
              <w:t>Food handler certification rules are provincial: check</w:t>
            </w:r>
          </w:p>
        </w:tc>
        <w:tc>
          <w:tcPr>
            <w:tcW w:type="dxa" w:w="1829"/>
          </w:tcPr>
          <w:p>
            <w:pPr>
              <w:spacing w:before="0" w:after="0" w:line="240" w:lineRule="auto"/>
            </w:pPr>
            <w:r>
              <w:rPr>
                <w:color w:val="1A1A1A"/>
                <w:sz w:val="16"/>
              </w:rPr>
              <w:t>Category one and two businesses must appoint a certified Food Safety Supervisor (Standard 3.2.2A, since December 2023); repeat the course every 5 years</w:t>
            </w:r>
          </w:p>
        </w:tc>
      </w:tr>
    </w:tbl>
    <w:p>
      <w:pPr>
        <w:spacing w:after="40"/>
      </w:pPr>
    </w:p>
    <w:p>
      <w:pPr>
        <w:pStyle w:val="Heading2"/>
        <w:spacing w:before="280"/>
      </w:pPr>
      <w:r>
        <w:t>Key temperatures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655"/>
        <w:gridCol w:w="1800"/>
        <w:gridCol w:w="1915"/>
        <w:gridCol w:w="1915"/>
        <w:gridCol w:w="1828"/>
      </w:tblGrid>
      <w:tr>
        <w:trPr>
          <w:tblHeader w:val="true"/>
          <w:cantSplit/>
        </w:trPr>
        <w:tc>
          <w:tcPr>
            <w:tcW w:type="dxa" w:w="1656"/>
            <w:shd w:val="clear" w:color="auto" w:fill="1A1A1A"/>
          </w:tcPr>
          <w:p>
            <w:pPr>
              <w:spacing w:before="0" w:after="0" w:line="240" w:lineRule="auto"/>
            </w:pPr>
            <w:r>
              <w:rPr>
                <w:b/>
                <w:color w:val="FFFFFF"/>
                <w:sz w:val="16"/>
              </w:rPr>
              <w:t>Control point</w:t>
            </w:r>
          </w:p>
        </w:tc>
        <w:tc>
          <w:tcPr>
            <w:tcW w:type="dxa" w:w="1800"/>
            <w:shd w:val="clear" w:color="auto" w:fill="1A1A1A"/>
          </w:tcPr>
          <w:p>
            <w:pPr>
              <w:spacing w:before="0" w:after="0" w:line="240" w:lineRule="auto"/>
            </w:pPr>
            <w:r>
              <w:rPr>
                <w:b/>
                <w:color w:val="FFFFFF"/>
                <w:sz w:val="16"/>
              </w:rPr>
              <w:t>US (FDA Food Code)</w:t>
            </w:r>
          </w:p>
        </w:tc>
        <w:tc>
          <w:tcPr>
            <w:tcW w:type="dxa" w:w="1915"/>
            <w:shd w:val="clear" w:color="auto" w:fill="1A1A1A"/>
          </w:tcPr>
          <w:p>
            <w:pPr>
              <w:spacing w:before="0" w:after="0" w:line="240" w:lineRule="auto"/>
            </w:pPr>
            <w:r>
              <w:rPr>
                <w:b/>
                <w:color w:val="FFFFFF"/>
                <w:sz w:val="16"/>
              </w:rPr>
              <w:t>UK (FSA)</w:t>
            </w:r>
          </w:p>
        </w:tc>
        <w:tc>
          <w:tcPr>
            <w:tcW w:type="dxa" w:w="1915"/>
            <w:shd w:val="clear" w:color="auto" w:fill="1A1A1A"/>
          </w:tcPr>
          <w:p>
            <w:pPr>
              <w:spacing w:before="0" w:after="0" w:line="240" w:lineRule="auto"/>
            </w:pPr>
            <w:r>
              <w:rPr>
                <w:b/>
                <w:color w:val="FFFFFF"/>
                <w:sz w:val="16"/>
              </w:rPr>
              <w:t>Canada (Health Canada)</w:t>
            </w:r>
          </w:p>
        </w:tc>
        <w:tc>
          <w:tcPr>
            <w:tcW w:type="dxa" w:w="1829"/>
            <w:shd w:val="clear" w:color="auto" w:fill="1A1A1A"/>
          </w:tcPr>
          <w:p>
            <w:pPr>
              <w:spacing w:before="0" w:after="0" w:line="240" w:lineRule="auto"/>
            </w:pPr>
            <w:r>
              <w:rPr>
                <w:b/>
                <w:color w:val="FFFFFF"/>
                <w:sz w:val="16"/>
              </w:rPr>
              <w:t>Australia (FSANZ)</w:t>
            </w:r>
          </w:p>
        </w:tc>
      </w:tr>
      <w:tr>
        <w:trPr>
          <w:cantSplit/>
        </w:trPr>
        <w:tc>
          <w:tcPr>
            <w:tcW w:type="dxa" w:w="1656"/>
            <w:shd w:val="clear" w:color="auto" w:fill="F3EBD8"/>
          </w:tcPr>
          <w:p>
            <w:pPr>
              <w:spacing w:before="0" w:after="0" w:line="240" w:lineRule="auto"/>
            </w:pPr>
            <w:r>
              <w:rPr>
                <w:b/>
                <w:color w:val="1A1A1A"/>
                <w:sz w:val="16"/>
              </w:rPr>
              <w:t>Cold holding</w:t>
            </w:r>
          </w:p>
        </w:tc>
        <w:tc>
          <w:tcPr>
            <w:tcW w:type="dxa" w:w="1800"/>
          </w:tcPr>
          <w:p>
            <w:pPr>
              <w:spacing w:before="0" w:after="0" w:line="240" w:lineRule="auto"/>
            </w:pPr>
            <w:r>
              <w:rPr>
                <w:color w:val="1A1A1A"/>
                <w:sz w:val="16"/>
              </w:rPr>
              <w:t>41 °F (5 °C) or below</w:t>
            </w:r>
          </w:p>
        </w:tc>
        <w:tc>
          <w:tcPr>
            <w:tcW w:type="dxa" w:w="1915"/>
          </w:tcPr>
          <w:p>
            <w:pPr>
              <w:spacing w:before="0" w:after="0" w:line="240" w:lineRule="auto"/>
            </w:pPr>
            <w:r>
              <w:rPr>
                <w:color w:val="1A1A1A"/>
                <w:sz w:val="16"/>
              </w:rPr>
              <w:t>8 °C (46 °F) or below: the law in England, Wales and Northern Ireland, recommended in Scotland; set fridges at 5 °C or below</w:t>
            </w:r>
          </w:p>
        </w:tc>
        <w:tc>
          <w:tcPr>
            <w:tcW w:type="dxa" w:w="1915"/>
          </w:tcPr>
          <w:p>
            <w:pPr>
              <w:spacing w:before="0" w:after="0" w:line="240" w:lineRule="auto"/>
            </w:pPr>
            <w:r>
              <w:rPr>
                <w:color w:val="1A1A1A"/>
                <w:sz w:val="16"/>
              </w:rPr>
              <w:t>Fridge at 4 °C (40 °F) or below; check your province's rule</w:t>
            </w:r>
          </w:p>
        </w:tc>
        <w:tc>
          <w:tcPr>
            <w:tcW w:type="dxa" w:w="1829"/>
          </w:tcPr>
          <w:p>
            <w:pPr>
              <w:spacing w:before="0" w:after="0" w:line="240" w:lineRule="auto"/>
            </w:pPr>
            <w:r>
              <w:rPr>
                <w:color w:val="1A1A1A"/>
                <w:sz w:val="16"/>
              </w:rPr>
              <w:t>5 °C (41 °F) or below</w:t>
            </w:r>
          </w:p>
        </w:tc>
      </w:tr>
      <w:tr>
        <w:trPr>
          <w:cantSplit/>
        </w:trPr>
        <w:tc>
          <w:tcPr>
            <w:tcW w:type="dxa" w:w="1656"/>
            <w:shd w:val="clear" w:color="auto" w:fill="F3EBD8"/>
          </w:tcPr>
          <w:p>
            <w:pPr>
              <w:spacing w:before="0" w:after="0" w:line="240" w:lineRule="auto"/>
            </w:pPr>
            <w:r>
              <w:rPr>
                <w:b/>
                <w:color w:val="1A1A1A"/>
                <w:sz w:val="16"/>
              </w:rPr>
              <w:t>Hot holding</w:t>
            </w:r>
          </w:p>
        </w:tc>
        <w:tc>
          <w:tcPr>
            <w:tcW w:type="dxa" w:w="1800"/>
            <w:shd w:val="clear" w:color="auto" w:fill="FAF7F0"/>
          </w:tcPr>
          <w:p>
            <w:pPr>
              <w:spacing w:before="0" w:after="0" w:line="240" w:lineRule="auto"/>
            </w:pPr>
            <w:r>
              <w:rPr>
                <w:color w:val="1A1A1A"/>
                <w:sz w:val="16"/>
              </w:rPr>
              <w:t>135 °F (57 °C) or above</w:t>
            </w:r>
          </w:p>
        </w:tc>
        <w:tc>
          <w:tcPr>
            <w:tcW w:type="dxa" w:w="1915"/>
            <w:shd w:val="clear" w:color="auto" w:fill="FAF7F0"/>
          </w:tcPr>
          <w:p>
            <w:pPr>
              <w:spacing w:before="0" w:after="0" w:line="240" w:lineRule="auto"/>
            </w:pPr>
            <w:r>
              <w:rPr>
                <w:color w:val="1A1A1A"/>
                <w:sz w:val="16"/>
              </w:rPr>
              <w:t>63 °C (145 °F) or above; below 63 °C for up to 2 hours, then cool or discard</w:t>
            </w:r>
          </w:p>
        </w:tc>
        <w:tc>
          <w:tcPr>
            <w:tcW w:type="dxa" w:w="1915"/>
            <w:shd w:val="clear" w:color="auto" w:fill="FAF7F0"/>
          </w:tcPr>
          <w:p>
            <w:pPr>
              <w:spacing w:before="0" w:after="0" w:line="240" w:lineRule="auto"/>
            </w:pPr>
            <w:r>
              <w:rPr>
                <w:color w:val="1A1A1A"/>
                <w:sz w:val="16"/>
              </w:rPr>
              <w:t>60 °C (140 °F) or above</w:t>
            </w:r>
          </w:p>
        </w:tc>
        <w:tc>
          <w:tcPr>
            <w:tcW w:type="dxa" w:w="1829"/>
            <w:shd w:val="clear" w:color="auto" w:fill="FAF7F0"/>
          </w:tcPr>
          <w:p>
            <w:pPr>
              <w:spacing w:before="0" w:after="0" w:line="240" w:lineRule="auto"/>
            </w:pPr>
            <w:r>
              <w:rPr>
                <w:color w:val="1A1A1A"/>
                <w:sz w:val="16"/>
              </w:rPr>
              <w:t>60 °C (140 °F) or above</w:t>
            </w:r>
          </w:p>
        </w:tc>
      </w:tr>
      <w:tr>
        <w:trPr>
          <w:cantSplit/>
        </w:trPr>
        <w:tc>
          <w:tcPr>
            <w:tcW w:type="dxa" w:w="1656"/>
            <w:shd w:val="clear" w:color="auto" w:fill="F3EBD8"/>
          </w:tcPr>
          <w:p>
            <w:pPr>
              <w:spacing w:before="0" w:after="0" w:line="240" w:lineRule="auto"/>
            </w:pPr>
            <w:r>
              <w:rPr>
                <w:b/>
                <w:color w:val="1A1A1A"/>
                <w:sz w:val="16"/>
              </w:rPr>
              <w:t>Cooking (core)</w:t>
            </w:r>
          </w:p>
        </w:tc>
        <w:tc>
          <w:tcPr>
            <w:tcW w:type="dxa" w:w="1800"/>
          </w:tcPr>
          <w:p>
            <w:pPr>
              <w:spacing w:before="0" w:after="0" w:line="240" w:lineRule="auto"/>
            </w:pPr>
            <w:r>
              <w:rPr>
                <w:color w:val="1A1A1A"/>
                <w:sz w:val="16"/>
              </w:rPr>
              <w:t>165 °F (74 °C) poultry and stuffed foods; 155 °F (68 °C) for 17 seconds ground meat; 145 °F (63 °C) for 15 seconds fish and whole cuts</w:t>
            </w:r>
          </w:p>
        </w:tc>
        <w:tc>
          <w:tcPr>
            <w:tcW w:type="dxa" w:w="1915"/>
          </w:tcPr>
          <w:p>
            <w:pPr>
              <w:spacing w:before="0" w:after="0" w:line="240" w:lineRule="auto"/>
            </w:pPr>
            <w:r>
              <w:rPr>
                <w:color w:val="1A1A1A"/>
                <w:sz w:val="16"/>
              </w:rPr>
              <w:t>Standard advice: 70 °C (158 °F) for 2 minutes, or equivalents such as 75 °C for 30 seconds or 80 °C for 6 seconds</w:t>
            </w:r>
          </w:p>
        </w:tc>
        <w:tc>
          <w:tcPr>
            <w:tcW w:type="dxa" w:w="1915"/>
          </w:tcPr>
          <w:p>
            <w:pPr>
              <w:spacing w:before="0" w:after="0" w:line="240" w:lineRule="auto"/>
            </w:pPr>
            <w:r>
              <w:rPr>
                <w:color w:val="1A1A1A"/>
                <w:sz w:val="16"/>
              </w:rPr>
              <w:t>Poultry pieces 74 °C (165 °F); whole poultry 82 °C (180 °F); ground beef and pork 71 °C (160 °F); fish 70 °C (158 °F)</w:t>
            </w:r>
          </w:p>
        </w:tc>
        <w:tc>
          <w:tcPr>
            <w:tcW w:type="dxa" w:w="1829"/>
          </w:tcPr>
          <w:p>
            <w:pPr>
              <w:spacing w:before="0" w:after="0" w:line="240" w:lineRule="auto"/>
            </w:pPr>
            <w:r>
              <w:rPr>
                <w:color w:val="1A1A1A"/>
                <w:sz w:val="16"/>
              </w:rPr>
              <w:t>Guidance: 75 °C (167 °F) for poultry and minced or rolled meats; not a fixed legal limit: check your state food authority</w:t>
            </w:r>
          </w:p>
        </w:tc>
      </w:tr>
      <w:tr>
        <w:trPr>
          <w:cantSplit/>
        </w:trPr>
        <w:tc>
          <w:tcPr>
            <w:tcW w:type="dxa" w:w="1656"/>
            <w:shd w:val="clear" w:color="auto" w:fill="F3EBD8"/>
          </w:tcPr>
          <w:p>
            <w:pPr>
              <w:spacing w:before="0" w:after="0" w:line="240" w:lineRule="auto"/>
            </w:pPr>
            <w:r>
              <w:rPr>
                <w:b/>
                <w:color w:val="1A1A1A"/>
                <w:sz w:val="16"/>
              </w:rPr>
              <w:t>Cooling cooked food</w:t>
            </w:r>
          </w:p>
        </w:tc>
        <w:tc>
          <w:tcPr>
            <w:tcW w:type="dxa" w:w="1800"/>
            <w:shd w:val="clear" w:color="auto" w:fill="FAF7F0"/>
          </w:tcPr>
          <w:p>
            <w:pPr>
              <w:spacing w:before="0" w:after="0" w:line="240" w:lineRule="auto"/>
            </w:pPr>
            <w:r>
              <w:rPr>
                <w:color w:val="1A1A1A"/>
                <w:sz w:val="16"/>
              </w:rPr>
              <w:t>135 °F to 70 °F (57 °C to 21 °C) within 2 hours, and to 41 °F (5 °C) within 6 hours in total</w:t>
            </w:r>
          </w:p>
        </w:tc>
        <w:tc>
          <w:tcPr>
            <w:tcW w:type="dxa" w:w="1915"/>
            <w:shd w:val="clear" w:color="auto" w:fill="FAF7F0"/>
          </w:tcPr>
          <w:p>
            <w:pPr>
              <w:spacing w:before="0" w:after="0" w:line="240" w:lineRule="auto"/>
            </w:pPr>
            <w:r>
              <w:rPr>
                <w:color w:val="1A1A1A"/>
                <w:sz w:val="16"/>
              </w:rPr>
              <w:t>Cool as quickly as possible to 8 °C or below. The FSA's SFBB “Chilling down hot food” method sets no fixed time; many councils use 90 minutes as the target, and so do the HACCP kit's UK notes</w:t>
            </w:r>
          </w:p>
        </w:tc>
        <w:tc>
          <w:tcPr>
            <w:tcW w:type="dxa" w:w="1915"/>
            <w:shd w:val="clear" w:color="auto" w:fill="FAF7F0"/>
          </w:tcPr>
          <w:p>
            <w:pPr>
              <w:spacing w:before="0" w:after="0" w:line="240" w:lineRule="auto"/>
            </w:pPr>
            <w:r>
              <w:rPr>
                <w:color w:val="1A1A1A"/>
                <w:sz w:val="16"/>
              </w:rPr>
              <w:t>Check your province's rule</w:t>
            </w:r>
          </w:p>
        </w:tc>
        <w:tc>
          <w:tcPr>
            <w:tcW w:type="dxa" w:w="1829"/>
            <w:shd w:val="clear" w:color="auto" w:fill="FAF7F0"/>
          </w:tcPr>
          <w:p>
            <w:pPr>
              <w:spacing w:before="0" w:after="0" w:line="240" w:lineRule="auto"/>
            </w:pPr>
            <w:r>
              <w:rPr>
                <w:color w:val="1A1A1A"/>
                <w:sz w:val="16"/>
              </w:rPr>
              <w:t>60 °C to 21 °C within 2 hours, then 21 °C to 5 °C within a further 4 hours</w:t>
            </w:r>
          </w:p>
        </w:tc>
      </w:tr>
      <w:tr>
        <w:trPr>
          <w:cantSplit/>
        </w:trPr>
        <w:tc>
          <w:tcPr>
            <w:tcW w:type="dxa" w:w="1656"/>
            <w:shd w:val="clear" w:color="auto" w:fill="F3EBD8"/>
          </w:tcPr>
          <w:p>
            <w:pPr>
              <w:spacing w:before="0" w:after="0" w:line="240" w:lineRule="auto"/>
            </w:pPr>
            <w:r>
              <w:rPr>
                <w:b/>
                <w:color w:val="1A1A1A"/>
                <w:sz w:val="16"/>
              </w:rPr>
              <w:t>Reheating for hot holding</w:t>
            </w:r>
          </w:p>
        </w:tc>
        <w:tc>
          <w:tcPr>
            <w:tcW w:type="dxa" w:w="1800"/>
          </w:tcPr>
          <w:p>
            <w:pPr>
              <w:spacing w:before="0" w:after="0" w:line="240" w:lineRule="auto"/>
            </w:pPr>
            <w:r>
              <w:rPr>
                <w:color w:val="1A1A1A"/>
                <w:sz w:val="16"/>
              </w:rPr>
              <w:t>165 °F (74 °C) for 15 seconds</w:t>
            </w:r>
          </w:p>
        </w:tc>
        <w:tc>
          <w:tcPr>
            <w:tcW w:type="dxa" w:w="1915"/>
          </w:tcPr>
          <w:p>
            <w:pPr>
              <w:spacing w:before="0" w:after="0" w:line="240" w:lineRule="auto"/>
            </w:pPr>
            <w:r>
              <w:rPr>
                <w:color w:val="1A1A1A"/>
                <w:sz w:val="16"/>
              </w:rPr>
              <w:t>Steaming hot all the way through; reheat only once</w:t>
            </w:r>
          </w:p>
        </w:tc>
        <w:tc>
          <w:tcPr>
            <w:tcW w:type="dxa" w:w="1915"/>
          </w:tcPr>
          <w:p>
            <w:pPr>
              <w:spacing w:before="0" w:after="0" w:line="240" w:lineRule="auto"/>
            </w:pPr>
            <w:r>
              <w:rPr>
                <w:color w:val="1A1A1A"/>
                <w:sz w:val="16"/>
              </w:rPr>
              <w:t>Leftovers to 74 °C (165 °F)</w:t>
            </w:r>
          </w:p>
        </w:tc>
        <w:tc>
          <w:tcPr>
            <w:tcW w:type="dxa" w:w="1829"/>
          </w:tcPr>
          <w:p>
            <w:pPr>
              <w:spacing w:before="0" w:after="0" w:line="240" w:lineRule="auto"/>
            </w:pPr>
            <w:r>
              <w:rPr>
                <w:color w:val="1A1A1A"/>
                <w:sz w:val="16"/>
              </w:rPr>
              <w:t>Heat quickly to 60 °C or hotter</w:t>
            </w:r>
          </w:p>
        </w:tc>
      </w:tr>
    </w:tbl>
    <w:p>
      <w:pPr>
        <w:spacing w:after="40"/>
      </w:pPr>
    </w:p>
    <w:p>
      <w:pPr>
        <w:spacing w:line="288" w:lineRule="auto"/>
      </w:pPr>
      <w:r>
        <w:t>Canadian figures come from Health Canada's general food safety advice; the binding limits for a restaurant are in your provincial food premises regulation. Convert any other temperature with the formulas in section 9.</w:t>
      </w:r>
    </w:p>
    <w:p>
      <w:pPr>
        <w:pStyle w:val="Heading2"/>
        <w:spacing w:before="280"/>
      </w:pPr>
      <w:r>
        <w:t>Allergens you must declare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872"/>
        <w:gridCol w:w="1814"/>
        <w:gridCol w:w="1814"/>
        <w:gridCol w:w="1814"/>
        <w:gridCol w:w="1800"/>
      </w:tblGrid>
      <w:tr>
        <w:trPr>
          <w:tblHeader w:val="true"/>
          <w:cantSplit/>
        </w:trPr>
        <w:tc>
          <w:tcPr>
            <w:tcW w:type="dxa" w:w="1872"/>
            <w:shd w:val="clear" w:color="auto" w:fill="1A1A1A"/>
          </w:tcPr>
          <w:p>
            <w:pPr>
              <w:spacing w:before="0" w:after="0" w:line="240" w:lineRule="auto"/>
            </w:pPr>
            <w:r>
              <w:rPr>
                <w:b/>
                <w:color w:val="FFFFFF"/>
                <w:sz w:val="16"/>
              </w:rPr>
              <w:t>Allergen</w:t>
            </w:r>
          </w:p>
        </w:tc>
        <w:tc>
          <w:tcPr>
            <w:tcW w:type="dxa" w:w="1814"/>
            <w:shd w:val="clear" w:color="auto" w:fill="1A1A1A"/>
          </w:tcPr>
          <w:p>
            <w:pPr>
              <w:spacing w:before="0" w:after="0" w:line="240" w:lineRule="auto"/>
            </w:pPr>
            <w:r>
              <w:rPr>
                <w:b/>
                <w:color w:val="FFFFFF"/>
                <w:sz w:val="16"/>
              </w:rPr>
              <w:t>US: 9 major allergens</w:t>
            </w:r>
          </w:p>
        </w:tc>
        <w:tc>
          <w:tcPr>
            <w:tcW w:type="dxa" w:w="1814"/>
            <w:shd w:val="clear" w:color="auto" w:fill="1A1A1A"/>
          </w:tcPr>
          <w:p>
            <w:pPr>
              <w:spacing w:before="0" w:after="0" w:line="240" w:lineRule="auto"/>
            </w:pPr>
            <w:r>
              <w:rPr>
                <w:b/>
                <w:color w:val="FFFFFF"/>
                <w:sz w:val="16"/>
              </w:rPr>
              <w:t>UK: 14 allergens</w:t>
            </w:r>
          </w:p>
        </w:tc>
        <w:tc>
          <w:tcPr>
            <w:tcW w:type="dxa" w:w="1814"/>
            <w:shd w:val="clear" w:color="auto" w:fill="1A1A1A"/>
          </w:tcPr>
          <w:p>
            <w:pPr>
              <w:spacing w:before="0" w:after="0" w:line="240" w:lineRule="auto"/>
            </w:pPr>
            <w:r>
              <w:rPr>
                <w:b/>
                <w:color w:val="FFFFFF"/>
                <w:sz w:val="16"/>
              </w:rPr>
              <w:t>Canada: 11 priority allergens</w:t>
            </w:r>
          </w:p>
        </w:tc>
        <w:tc>
          <w:tcPr>
            <w:tcW w:type="dxa" w:w="1800"/>
            <w:shd w:val="clear" w:color="auto" w:fill="1A1A1A"/>
          </w:tcPr>
          <w:p>
            <w:pPr>
              <w:spacing w:before="0" w:after="0" w:line="240" w:lineRule="auto"/>
            </w:pPr>
            <w:r>
              <w:rPr>
                <w:b/>
                <w:color w:val="FFFFFF"/>
                <w:sz w:val="16"/>
              </w:rPr>
              <w:t>Australia: mandatory declarations</w:t>
            </w:r>
          </w:p>
        </w:tc>
      </w:tr>
      <w:tr>
        <w:trPr>
          <w:cantSplit/>
        </w:trPr>
        <w:tc>
          <w:tcPr>
            <w:tcW w:type="dxa" w:w="1872"/>
            <w:shd w:val="clear" w:color="auto" w:fill="F3EBD8"/>
          </w:tcPr>
          <w:p>
            <w:pPr>
              <w:spacing w:before="0" w:after="0" w:line="240" w:lineRule="auto"/>
            </w:pPr>
            <w:r>
              <w:rPr>
                <w:b/>
                <w:color w:val="1A1A1A"/>
                <w:sz w:val="16"/>
              </w:rPr>
              <w:t>Milk</w:t>
            </w:r>
          </w:p>
        </w:tc>
        <w:tc>
          <w:tcPr>
            <w:tcW w:type="dxa" w:w="1814"/>
          </w:tcPr>
          <w:p>
            <w:pPr>
              <w:spacing w:before="0" w:after="0" w:line="240" w:lineRule="auto"/>
            </w:pPr>
            <w:r>
              <w:rPr>
                <w:color w:val="1A1A1A"/>
                <w:sz w:val="16"/>
              </w:rPr>
              <w:t>Yes</w:t>
            </w:r>
          </w:p>
        </w:tc>
        <w:tc>
          <w:tcPr>
            <w:tcW w:type="dxa" w:w="1814"/>
          </w:tcPr>
          <w:p>
            <w:pPr>
              <w:spacing w:before="0" w:after="0" w:line="240" w:lineRule="auto"/>
            </w:pPr>
            <w:r>
              <w:rPr>
                <w:color w:val="1A1A1A"/>
                <w:sz w:val="16"/>
              </w:rPr>
              <w:t>Yes</w:t>
            </w:r>
          </w:p>
        </w:tc>
        <w:tc>
          <w:tcPr>
            <w:tcW w:type="dxa" w:w="1814"/>
          </w:tcPr>
          <w:p>
            <w:pPr>
              <w:spacing w:before="0" w:after="0" w:line="240" w:lineRule="auto"/>
            </w:pPr>
            <w:r>
              <w:rPr>
                <w:color w:val="1A1A1A"/>
                <w:sz w:val="16"/>
              </w:rPr>
              <w:t>Yes</w:t>
            </w:r>
          </w:p>
        </w:tc>
        <w:tc>
          <w:tcPr>
            <w:tcW w:type="dxa" w:w="1800"/>
          </w:tcPr>
          <w:p>
            <w:pPr>
              <w:spacing w:before="0" w:after="0" w:line="240" w:lineRule="auto"/>
            </w:pPr>
            <w:r>
              <w:rPr>
                <w:color w:val="1A1A1A"/>
                <w:sz w:val="16"/>
              </w:rPr>
              <w:t>Yes</w:t>
            </w:r>
          </w:p>
        </w:tc>
      </w:tr>
      <w:tr>
        <w:trPr>
          <w:cantSplit/>
        </w:trPr>
        <w:tc>
          <w:tcPr>
            <w:tcW w:type="dxa" w:w="1872"/>
            <w:shd w:val="clear" w:color="auto" w:fill="F3EBD8"/>
          </w:tcPr>
          <w:p>
            <w:pPr>
              <w:spacing w:before="0" w:after="0" w:line="240" w:lineRule="auto"/>
            </w:pPr>
            <w:r>
              <w:rPr>
                <w:b/>
                <w:color w:val="1A1A1A"/>
                <w:sz w:val="16"/>
              </w:rPr>
              <w:t>Eggs</w:t>
            </w:r>
          </w:p>
        </w:tc>
        <w:tc>
          <w:tcPr>
            <w:tcW w:type="dxa" w:w="1814"/>
            <w:shd w:val="clear" w:color="auto" w:fill="FAF7F0"/>
          </w:tcPr>
          <w:p>
            <w:pPr>
              <w:spacing w:before="0" w:after="0" w:line="240" w:lineRule="auto"/>
            </w:pPr>
            <w:r>
              <w:rPr>
                <w:color w:val="1A1A1A"/>
                <w:sz w:val="16"/>
              </w:rPr>
              <w:t>Yes</w:t>
            </w:r>
          </w:p>
        </w:tc>
        <w:tc>
          <w:tcPr>
            <w:tcW w:type="dxa" w:w="1814"/>
            <w:shd w:val="clear" w:color="auto" w:fill="FAF7F0"/>
          </w:tcPr>
          <w:p>
            <w:pPr>
              <w:spacing w:before="0" w:after="0" w:line="240" w:lineRule="auto"/>
            </w:pPr>
            <w:r>
              <w:rPr>
                <w:color w:val="1A1A1A"/>
                <w:sz w:val="16"/>
              </w:rPr>
              <w:t>Yes</w:t>
            </w:r>
          </w:p>
        </w:tc>
        <w:tc>
          <w:tcPr>
            <w:tcW w:type="dxa" w:w="1814"/>
            <w:shd w:val="clear" w:color="auto" w:fill="FAF7F0"/>
          </w:tcPr>
          <w:p>
            <w:pPr>
              <w:spacing w:before="0" w:after="0" w:line="240" w:lineRule="auto"/>
            </w:pPr>
            <w:r>
              <w:rPr>
                <w:color w:val="1A1A1A"/>
                <w:sz w:val="16"/>
              </w:rPr>
              <w:t>Yes</w:t>
            </w:r>
          </w:p>
        </w:tc>
        <w:tc>
          <w:tcPr>
            <w:tcW w:type="dxa" w:w="1800"/>
            <w:shd w:val="clear" w:color="auto" w:fill="FAF7F0"/>
          </w:tcPr>
          <w:p>
            <w:pPr>
              <w:spacing w:before="0" w:after="0" w:line="240" w:lineRule="auto"/>
            </w:pPr>
            <w:r>
              <w:rPr>
                <w:color w:val="1A1A1A"/>
                <w:sz w:val="16"/>
              </w:rPr>
              <w:t>Yes</w:t>
            </w:r>
          </w:p>
        </w:tc>
      </w:tr>
      <w:tr>
        <w:trPr>
          <w:cantSplit/>
        </w:trPr>
        <w:tc>
          <w:tcPr>
            <w:tcW w:type="dxa" w:w="1872"/>
            <w:shd w:val="clear" w:color="auto" w:fill="F3EBD8"/>
          </w:tcPr>
          <w:p>
            <w:pPr>
              <w:spacing w:before="0" w:after="0" w:line="240" w:lineRule="auto"/>
            </w:pPr>
            <w:r>
              <w:rPr>
                <w:b/>
                <w:color w:val="1A1A1A"/>
                <w:sz w:val="16"/>
              </w:rPr>
              <w:t>Fish</w:t>
            </w:r>
          </w:p>
        </w:tc>
        <w:tc>
          <w:tcPr>
            <w:tcW w:type="dxa" w:w="1814"/>
          </w:tcPr>
          <w:p>
            <w:pPr>
              <w:spacing w:before="0" w:after="0" w:line="240" w:lineRule="auto"/>
            </w:pPr>
            <w:r>
              <w:rPr>
                <w:color w:val="1A1A1A"/>
                <w:sz w:val="16"/>
              </w:rPr>
              <w:t>Yes</w:t>
            </w:r>
          </w:p>
        </w:tc>
        <w:tc>
          <w:tcPr>
            <w:tcW w:type="dxa" w:w="1814"/>
          </w:tcPr>
          <w:p>
            <w:pPr>
              <w:spacing w:before="0" w:after="0" w:line="240" w:lineRule="auto"/>
            </w:pPr>
            <w:r>
              <w:rPr>
                <w:color w:val="1A1A1A"/>
                <w:sz w:val="16"/>
              </w:rPr>
              <w:t>Yes</w:t>
            </w:r>
          </w:p>
        </w:tc>
        <w:tc>
          <w:tcPr>
            <w:tcW w:type="dxa" w:w="1814"/>
          </w:tcPr>
          <w:p>
            <w:pPr>
              <w:spacing w:before="0" w:after="0" w:line="240" w:lineRule="auto"/>
            </w:pPr>
            <w:r>
              <w:rPr>
                <w:color w:val="1A1A1A"/>
                <w:sz w:val="16"/>
              </w:rPr>
              <w:t>Yes</w:t>
            </w:r>
          </w:p>
        </w:tc>
        <w:tc>
          <w:tcPr>
            <w:tcW w:type="dxa" w:w="1800"/>
          </w:tcPr>
          <w:p>
            <w:pPr>
              <w:spacing w:before="0" w:after="0" w:line="240" w:lineRule="auto"/>
            </w:pPr>
            <w:r>
              <w:rPr>
                <w:color w:val="1A1A1A"/>
                <w:sz w:val="16"/>
              </w:rPr>
              <w:t>Yes</w:t>
            </w:r>
          </w:p>
        </w:tc>
      </w:tr>
      <w:tr>
        <w:trPr>
          <w:cantSplit/>
        </w:trPr>
        <w:tc>
          <w:tcPr>
            <w:tcW w:type="dxa" w:w="1872"/>
            <w:shd w:val="clear" w:color="auto" w:fill="F3EBD8"/>
          </w:tcPr>
          <w:p>
            <w:pPr>
              <w:spacing w:before="0" w:after="0" w:line="240" w:lineRule="auto"/>
            </w:pPr>
            <w:r>
              <w:rPr>
                <w:b/>
                <w:color w:val="1A1A1A"/>
                <w:sz w:val="16"/>
              </w:rPr>
              <w:t>Crustaceans</w:t>
            </w:r>
          </w:p>
        </w:tc>
        <w:tc>
          <w:tcPr>
            <w:tcW w:type="dxa" w:w="1814"/>
            <w:shd w:val="clear" w:color="auto" w:fill="FAF7F0"/>
          </w:tcPr>
          <w:p>
            <w:pPr>
              <w:spacing w:before="0" w:after="0" w:line="240" w:lineRule="auto"/>
            </w:pPr>
            <w:r>
              <w:rPr>
                <w:color w:val="1A1A1A"/>
                <w:sz w:val="16"/>
              </w:rPr>
              <w:t>Yes (crustacean shellfish)</w:t>
            </w:r>
          </w:p>
        </w:tc>
        <w:tc>
          <w:tcPr>
            <w:tcW w:type="dxa" w:w="1814"/>
            <w:shd w:val="clear" w:color="auto" w:fill="FAF7F0"/>
          </w:tcPr>
          <w:p>
            <w:pPr>
              <w:spacing w:before="0" w:after="0" w:line="240" w:lineRule="auto"/>
            </w:pPr>
            <w:r>
              <w:rPr>
                <w:color w:val="1A1A1A"/>
                <w:sz w:val="16"/>
              </w:rPr>
              <w:t>Yes</w:t>
            </w:r>
          </w:p>
        </w:tc>
        <w:tc>
          <w:tcPr>
            <w:tcW w:type="dxa" w:w="1814"/>
            <w:shd w:val="clear" w:color="auto" w:fill="FAF7F0"/>
          </w:tcPr>
          <w:p>
            <w:pPr>
              <w:spacing w:before="0" w:after="0" w:line="240" w:lineRule="auto"/>
            </w:pPr>
            <w:r>
              <w:rPr>
                <w:color w:val="1A1A1A"/>
                <w:sz w:val="16"/>
              </w:rPr>
              <w:t>Yes (with molluscs, one group)</w:t>
            </w:r>
          </w:p>
        </w:tc>
        <w:tc>
          <w:tcPr>
            <w:tcW w:type="dxa" w:w="1800"/>
            <w:shd w:val="clear" w:color="auto" w:fill="FAF7F0"/>
          </w:tcPr>
          <w:p>
            <w:pPr>
              <w:spacing w:before="0" w:after="0" w:line="240" w:lineRule="auto"/>
            </w:pPr>
            <w:r>
              <w:rPr>
                <w:color w:val="1A1A1A"/>
                <w:sz w:val="16"/>
              </w:rPr>
              <w:t>Yes</w:t>
            </w:r>
          </w:p>
        </w:tc>
      </w:tr>
      <w:tr>
        <w:trPr>
          <w:cantSplit/>
        </w:trPr>
        <w:tc>
          <w:tcPr>
            <w:tcW w:type="dxa" w:w="1872"/>
            <w:shd w:val="clear" w:color="auto" w:fill="F3EBD8"/>
          </w:tcPr>
          <w:p>
            <w:pPr>
              <w:spacing w:before="0" w:after="0" w:line="240" w:lineRule="auto"/>
            </w:pPr>
            <w:r>
              <w:rPr>
                <w:b/>
                <w:color w:val="1A1A1A"/>
                <w:sz w:val="16"/>
              </w:rPr>
              <w:t>Molluscs</w:t>
            </w:r>
          </w:p>
        </w:tc>
        <w:tc>
          <w:tcPr>
            <w:tcW w:type="dxa" w:w="1814"/>
          </w:tcPr>
          <w:p>
            <w:pPr>
              <w:spacing w:before="0" w:after="0" w:line="240" w:lineRule="auto"/>
            </w:pPr>
            <w:r>
              <w:rPr>
                <w:color w:val="1A1A1A"/>
                <w:sz w:val="16"/>
              </w:rPr>
              <w:t>No</w:t>
            </w:r>
          </w:p>
        </w:tc>
        <w:tc>
          <w:tcPr>
            <w:tcW w:type="dxa" w:w="1814"/>
          </w:tcPr>
          <w:p>
            <w:pPr>
              <w:spacing w:before="0" w:after="0" w:line="240" w:lineRule="auto"/>
            </w:pPr>
            <w:r>
              <w:rPr>
                <w:color w:val="1A1A1A"/>
                <w:sz w:val="16"/>
              </w:rPr>
              <w:t>Yes</w:t>
            </w:r>
          </w:p>
        </w:tc>
        <w:tc>
          <w:tcPr>
            <w:tcW w:type="dxa" w:w="1814"/>
          </w:tcPr>
          <w:p>
            <w:pPr>
              <w:spacing w:before="0" w:after="0" w:line="240" w:lineRule="auto"/>
            </w:pPr>
            <w:r>
              <w:rPr>
                <w:color w:val="1A1A1A"/>
                <w:sz w:val="16"/>
              </w:rPr>
              <w:t>Yes (with crustaceans)</w:t>
            </w:r>
          </w:p>
        </w:tc>
        <w:tc>
          <w:tcPr>
            <w:tcW w:type="dxa" w:w="1800"/>
          </w:tcPr>
          <w:p>
            <w:pPr>
              <w:spacing w:before="0" w:after="0" w:line="240" w:lineRule="auto"/>
            </w:pPr>
            <w:r>
              <w:rPr>
                <w:color w:val="1A1A1A"/>
                <w:sz w:val="16"/>
              </w:rPr>
              <w:t>Yes</w:t>
            </w:r>
          </w:p>
        </w:tc>
      </w:tr>
      <w:tr>
        <w:trPr>
          <w:cantSplit/>
        </w:trPr>
        <w:tc>
          <w:tcPr>
            <w:tcW w:type="dxa" w:w="1872"/>
            <w:shd w:val="clear" w:color="auto" w:fill="F3EBD8"/>
          </w:tcPr>
          <w:p>
            <w:pPr>
              <w:spacing w:before="0" w:after="0" w:line="240" w:lineRule="auto"/>
            </w:pPr>
            <w:r>
              <w:rPr>
                <w:b/>
                <w:color w:val="1A1A1A"/>
                <w:sz w:val="16"/>
              </w:rPr>
              <w:t>Peanuts</w:t>
            </w:r>
          </w:p>
        </w:tc>
        <w:tc>
          <w:tcPr>
            <w:tcW w:type="dxa" w:w="1814"/>
            <w:shd w:val="clear" w:color="auto" w:fill="FAF7F0"/>
          </w:tcPr>
          <w:p>
            <w:pPr>
              <w:spacing w:before="0" w:after="0" w:line="240" w:lineRule="auto"/>
            </w:pPr>
            <w:r>
              <w:rPr>
                <w:color w:val="1A1A1A"/>
                <w:sz w:val="16"/>
              </w:rPr>
              <w:t>Yes</w:t>
            </w:r>
          </w:p>
        </w:tc>
        <w:tc>
          <w:tcPr>
            <w:tcW w:type="dxa" w:w="1814"/>
            <w:shd w:val="clear" w:color="auto" w:fill="FAF7F0"/>
          </w:tcPr>
          <w:p>
            <w:pPr>
              <w:spacing w:before="0" w:after="0" w:line="240" w:lineRule="auto"/>
            </w:pPr>
            <w:r>
              <w:rPr>
                <w:color w:val="1A1A1A"/>
                <w:sz w:val="16"/>
              </w:rPr>
              <w:t>Yes</w:t>
            </w:r>
          </w:p>
        </w:tc>
        <w:tc>
          <w:tcPr>
            <w:tcW w:type="dxa" w:w="1814"/>
            <w:shd w:val="clear" w:color="auto" w:fill="FAF7F0"/>
          </w:tcPr>
          <w:p>
            <w:pPr>
              <w:spacing w:before="0" w:after="0" w:line="240" w:lineRule="auto"/>
            </w:pPr>
            <w:r>
              <w:rPr>
                <w:color w:val="1A1A1A"/>
                <w:sz w:val="16"/>
              </w:rPr>
              <w:t>Yes</w:t>
            </w:r>
          </w:p>
        </w:tc>
        <w:tc>
          <w:tcPr>
            <w:tcW w:type="dxa" w:w="1800"/>
            <w:shd w:val="clear" w:color="auto" w:fill="FAF7F0"/>
          </w:tcPr>
          <w:p>
            <w:pPr>
              <w:spacing w:before="0" w:after="0" w:line="240" w:lineRule="auto"/>
            </w:pPr>
            <w:r>
              <w:rPr>
                <w:color w:val="1A1A1A"/>
                <w:sz w:val="16"/>
              </w:rPr>
              <w:t>Yes</w:t>
            </w:r>
          </w:p>
        </w:tc>
      </w:tr>
      <w:tr>
        <w:trPr>
          <w:cantSplit/>
        </w:trPr>
        <w:tc>
          <w:tcPr>
            <w:tcW w:type="dxa" w:w="1872"/>
            <w:shd w:val="clear" w:color="auto" w:fill="F3EBD8"/>
          </w:tcPr>
          <w:p>
            <w:pPr>
              <w:spacing w:before="0" w:after="0" w:line="240" w:lineRule="auto"/>
            </w:pPr>
            <w:r>
              <w:rPr>
                <w:b/>
                <w:color w:val="1A1A1A"/>
                <w:sz w:val="16"/>
              </w:rPr>
              <w:t>Tree nuts</w:t>
            </w:r>
          </w:p>
        </w:tc>
        <w:tc>
          <w:tcPr>
            <w:tcW w:type="dxa" w:w="1814"/>
          </w:tcPr>
          <w:p>
            <w:pPr>
              <w:spacing w:before="0" w:after="0" w:line="240" w:lineRule="auto"/>
            </w:pPr>
            <w:r>
              <w:rPr>
                <w:color w:val="1A1A1A"/>
                <w:sz w:val="16"/>
              </w:rPr>
              <w:t>Yes</w:t>
            </w:r>
          </w:p>
        </w:tc>
        <w:tc>
          <w:tcPr>
            <w:tcW w:type="dxa" w:w="1814"/>
          </w:tcPr>
          <w:p>
            <w:pPr>
              <w:spacing w:before="0" w:after="0" w:line="240" w:lineRule="auto"/>
            </w:pPr>
            <w:r>
              <w:rPr>
                <w:color w:val="1A1A1A"/>
                <w:sz w:val="16"/>
              </w:rPr>
              <w:t>Yes</w:t>
            </w:r>
          </w:p>
        </w:tc>
        <w:tc>
          <w:tcPr>
            <w:tcW w:type="dxa" w:w="1814"/>
          </w:tcPr>
          <w:p>
            <w:pPr>
              <w:spacing w:before="0" w:after="0" w:line="240" w:lineRule="auto"/>
            </w:pPr>
            <w:r>
              <w:rPr>
                <w:color w:val="1A1A1A"/>
                <w:sz w:val="16"/>
              </w:rPr>
              <w:t>Yes</w:t>
            </w:r>
          </w:p>
        </w:tc>
        <w:tc>
          <w:tcPr>
            <w:tcW w:type="dxa" w:w="1800"/>
          </w:tcPr>
          <w:p>
            <w:pPr>
              <w:spacing w:before="0" w:after="0" w:line="240" w:lineRule="auto"/>
            </w:pPr>
            <w:r>
              <w:rPr>
                <w:color w:val="1A1A1A"/>
                <w:sz w:val="16"/>
              </w:rPr>
              <w:t>Yes, each nut by name</w:t>
            </w:r>
          </w:p>
        </w:tc>
      </w:tr>
      <w:tr>
        <w:trPr>
          <w:cantSplit/>
        </w:trPr>
        <w:tc>
          <w:tcPr>
            <w:tcW w:type="dxa" w:w="1872"/>
            <w:shd w:val="clear" w:color="auto" w:fill="F3EBD8"/>
          </w:tcPr>
          <w:p>
            <w:pPr>
              <w:spacing w:before="0" w:after="0" w:line="240" w:lineRule="auto"/>
            </w:pPr>
            <w:r>
              <w:rPr>
                <w:b/>
                <w:color w:val="1A1A1A"/>
                <w:sz w:val="16"/>
              </w:rPr>
              <w:t>Wheat</w:t>
            </w:r>
          </w:p>
        </w:tc>
        <w:tc>
          <w:tcPr>
            <w:tcW w:type="dxa" w:w="1814"/>
            <w:shd w:val="clear" w:color="auto" w:fill="FAF7F0"/>
          </w:tcPr>
          <w:p>
            <w:pPr>
              <w:spacing w:before="0" w:after="0" w:line="240" w:lineRule="auto"/>
            </w:pPr>
            <w:r>
              <w:rPr>
                <w:color w:val="1A1A1A"/>
                <w:sz w:val="16"/>
              </w:rPr>
              <w:t>Yes</w:t>
            </w:r>
          </w:p>
        </w:tc>
        <w:tc>
          <w:tcPr>
            <w:tcW w:type="dxa" w:w="1814"/>
            <w:shd w:val="clear" w:color="auto" w:fill="FAF7F0"/>
          </w:tcPr>
          <w:p>
            <w:pPr>
              <w:spacing w:before="0" w:after="0" w:line="240" w:lineRule="auto"/>
            </w:pPr>
            <w:r>
              <w:rPr>
                <w:color w:val="1A1A1A"/>
                <w:sz w:val="16"/>
              </w:rPr>
              <w:t>Yes (as a cereal containing gluten)</w:t>
            </w:r>
          </w:p>
        </w:tc>
        <w:tc>
          <w:tcPr>
            <w:tcW w:type="dxa" w:w="1814"/>
            <w:shd w:val="clear" w:color="auto" w:fill="FAF7F0"/>
          </w:tcPr>
          <w:p>
            <w:pPr>
              <w:spacing w:before="0" w:after="0" w:line="240" w:lineRule="auto"/>
            </w:pPr>
            <w:r>
              <w:rPr>
                <w:color w:val="1A1A1A"/>
                <w:sz w:val="16"/>
              </w:rPr>
              <w:t>Yes (wheat and triticale)</w:t>
            </w:r>
          </w:p>
        </w:tc>
        <w:tc>
          <w:tcPr>
            <w:tcW w:type="dxa" w:w="1800"/>
            <w:shd w:val="clear" w:color="auto" w:fill="FAF7F0"/>
          </w:tcPr>
          <w:p>
            <w:pPr>
              <w:spacing w:before="0" w:after="0" w:line="240" w:lineRule="auto"/>
            </w:pPr>
            <w:r>
              <w:rPr>
                <w:color w:val="1A1A1A"/>
                <w:sz w:val="16"/>
              </w:rPr>
              <w:t>Yes</w:t>
            </w:r>
          </w:p>
        </w:tc>
      </w:tr>
      <w:tr>
        <w:trPr>
          <w:cantSplit/>
        </w:trPr>
        <w:tc>
          <w:tcPr>
            <w:tcW w:type="dxa" w:w="1872"/>
            <w:shd w:val="clear" w:color="auto" w:fill="F3EBD8"/>
          </w:tcPr>
          <w:p>
            <w:pPr>
              <w:spacing w:before="0" w:after="0" w:line="240" w:lineRule="auto"/>
            </w:pPr>
            <w:r>
              <w:rPr>
                <w:b/>
                <w:color w:val="1A1A1A"/>
                <w:sz w:val="16"/>
              </w:rPr>
              <w:t>Barley, oats, rye (gluten)</w:t>
            </w:r>
          </w:p>
        </w:tc>
        <w:tc>
          <w:tcPr>
            <w:tcW w:type="dxa" w:w="1814"/>
          </w:tcPr>
          <w:p>
            <w:pPr>
              <w:spacing w:before="0" w:after="0" w:line="240" w:lineRule="auto"/>
            </w:pPr>
            <w:r>
              <w:rPr>
                <w:color w:val="1A1A1A"/>
                <w:sz w:val="16"/>
              </w:rPr>
              <w:t>No</w:t>
            </w:r>
          </w:p>
        </w:tc>
        <w:tc>
          <w:tcPr>
            <w:tcW w:type="dxa" w:w="1814"/>
          </w:tcPr>
          <w:p>
            <w:pPr>
              <w:spacing w:before="0" w:after="0" w:line="240" w:lineRule="auto"/>
            </w:pPr>
            <w:r>
              <w:rPr>
                <w:color w:val="1A1A1A"/>
                <w:sz w:val="16"/>
              </w:rPr>
              <w:t>Yes</w:t>
            </w:r>
          </w:p>
        </w:tc>
        <w:tc>
          <w:tcPr>
            <w:tcW w:type="dxa" w:w="1814"/>
          </w:tcPr>
          <w:p>
            <w:pPr>
              <w:spacing w:before="0" w:after="0" w:line="240" w:lineRule="auto"/>
            </w:pPr>
            <w:r>
              <w:rPr>
                <w:color w:val="1A1A1A"/>
                <w:sz w:val="16"/>
              </w:rPr>
              <w:t>Gluten sources must be declared</w:t>
            </w:r>
          </w:p>
        </w:tc>
        <w:tc>
          <w:tcPr>
            <w:tcW w:type="dxa" w:w="1800"/>
          </w:tcPr>
          <w:p>
            <w:pPr>
              <w:spacing w:before="0" w:after="0" w:line="240" w:lineRule="auto"/>
            </w:pPr>
            <w:r>
              <w:rPr>
                <w:color w:val="1A1A1A"/>
                <w:sz w:val="16"/>
              </w:rPr>
              <w:t>Yes, if they contain gluten</w:t>
            </w:r>
          </w:p>
        </w:tc>
      </w:tr>
      <w:tr>
        <w:trPr>
          <w:cantSplit/>
        </w:trPr>
        <w:tc>
          <w:tcPr>
            <w:tcW w:type="dxa" w:w="1872"/>
            <w:shd w:val="clear" w:color="auto" w:fill="F3EBD8"/>
          </w:tcPr>
          <w:p>
            <w:pPr>
              <w:spacing w:before="0" w:after="0" w:line="240" w:lineRule="auto"/>
            </w:pPr>
            <w:r>
              <w:rPr>
                <w:b/>
                <w:color w:val="1A1A1A"/>
                <w:sz w:val="16"/>
              </w:rPr>
              <w:t>Soy</w:t>
            </w:r>
          </w:p>
        </w:tc>
        <w:tc>
          <w:tcPr>
            <w:tcW w:type="dxa" w:w="1814"/>
            <w:shd w:val="clear" w:color="auto" w:fill="FAF7F0"/>
          </w:tcPr>
          <w:p>
            <w:pPr>
              <w:spacing w:before="0" w:after="0" w:line="240" w:lineRule="auto"/>
            </w:pPr>
            <w:r>
              <w:rPr>
                <w:color w:val="1A1A1A"/>
                <w:sz w:val="16"/>
              </w:rPr>
              <w:t>Yes</w:t>
            </w:r>
          </w:p>
        </w:tc>
        <w:tc>
          <w:tcPr>
            <w:tcW w:type="dxa" w:w="1814"/>
            <w:shd w:val="clear" w:color="auto" w:fill="FAF7F0"/>
          </w:tcPr>
          <w:p>
            <w:pPr>
              <w:spacing w:before="0" w:after="0" w:line="240" w:lineRule="auto"/>
            </w:pPr>
            <w:r>
              <w:rPr>
                <w:color w:val="1A1A1A"/>
                <w:sz w:val="16"/>
              </w:rPr>
              <w:t>Yes</w:t>
            </w:r>
          </w:p>
        </w:tc>
        <w:tc>
          <w:tcPr>
            <w:tcW w:type="dxa" w:w="1814"/>
            <w:shd w:val="clear" w:color="auto" w:fill="FAF7F0"/>
          </w:tcPr>
          <w:p>
            <w:pPr>
              <w:spacing w:before="0" w:after="0" w:line="240" w:lineRule="auto"/>
            </w:pPr>
            <w:r>
              <w:rPr>
                <w:color w:val="1A1A1A"/>
                <w:sz w:val="16"/>
              </w:rPr>
              <w:t>Yes</w:t>
            </w:r>
          </w:p>
        </w:tc>
        <w:tc>
          <w:tcPr>
            <w:tcW w:type="dxa" w:w="1800"/>
            <w:shd w:val="clear" w:color="auto" w:fill="FAF7F0"/>
          </w:tcPr>
          <w:p>
            <w:pPr>
              <w:spacing w:before="0" w:after="0" w:line="240" w:lineRule="auto"/>
            </w:pPr>
            <w:r>
              <w:rPr>
                <w:color w:val="1A1A1A"/>
                <w:sz w:val="16"/>
              </w:rPr>
              <w:t>Yes</w:t>
            </w:r>
          </w:p>
        </w:tc>
      </w:tr>
      <w:tr>
        <w:trPr>
          <w:cantSplit/>
        </w:trPr>
        <w:tc>
          <w:tcPr>
            <w:tcW w:type="dxa" w:w="1872"/>
            <w:shd w:val="clear" w:color="auto" w:fill="F3EBD8"/>
          </w:tcPr>
          <w:p>
            <w:pPr>
              <w:spacing w:before="0" w:after="0" w:line="240" w:lineRule="auto"/>
            </w:pPr>
            <w:r>
              <w:rPr>
                <w:b/>
                <w:color w:val="1A1A1A"/>
                <w:sz w:val="16"/>
              </w:rPr>
              <w:t>Sesame</w:t>
            </w:r>
          </w:p>
        </w:tc>
        <w:tc>
          <w:tcPr>
            <w:tcW w:type="dxa" w:w="1814"/>
          </w:tcPr>
          <w:p>
            <w:pPr>
              <w:spacing w:before="0" w:after="0" w:line="240" w:lineRule="auto"/>
            </w:pPr>
            <w:r>
              <w:rPr>
                <w:color w:val="1A1A1A"/>
                <w:sz w:val="16"/>
              </w:rPr>
              <w:t>Yes (since January 1, 2023)</w:t>
            </w:r>
          </w:p>
        </w:tc>
        <w:tc>
          <w:tcPr>
            <w:tcW w:type="dxa" w:w="1814"/>
          </w:tcPr>
          <w:p>
            <w:pPr>
              <w:spacing w:before="0" w:after="0" w:line="240" w:lineRule="auto"/>
            </w:pPr>
            <w:r>
              <w:rPr>
                <w:color w:val="1A1A1A"/>
                <w:sz w:val="16"/>
              </w:rPr>
              <w:t>Yes</w:t>
            </w:r>
          </w:p>
        </w:tc>
        <w:tc>
          <w:tcPr>
            <w:tcW w:type="dxa" w:w="1814"/>
          </w:tcPr>
          <w:p>
            <w:pPr>
              <w:spacing w:before="0" w:after="0" w:line="240" w:lineRule="auto"/>
            </w:pPr>
            <w:r>
              <w:rPr>
                <w:color w:val="1A1A1A"/>
                <w:sz w:val="16"/>
              </w:rPr>
              <w:t>Yes</w:t>
            </w:r>
          </w:p>
        </w:tc>
        <w:tc>
          <w:tcPr>
            <w:tcW w:type="dxa" w:w="1800"/>
          </w:tcPr>
          <w:p>
            <w:pPr>
              <w:spacing w:before="0" w:after="0" w:line="240" w:lineRule="auto"/>
            </w:pPr>
            <w:r>
              <w:rPr>
                <w:color w:val="1A1A1A"/>
                <w:sz w:val="16"/>
              </w:rPr>
              <w:t>Yes</w:t>
            </w:r>
          </w:p>
        </w:tc>
      </w:tr>
      <w:tr>
        <w:trPr>
          <w:cantSplit/>
        </w:trPr>
        <w:tc>
          <w:tcPr>
            <w:tcW w:type="dxa" w:w="1872"/>
            <w:shd w:val="clear" w:color="auto" w:fill="F3EBD8"/>
          </w:tcPr>
          <w:p>
            <w:pPr>
              <w:spacing w:before="0" w:after="0" w:line="240" w:lineRule="auto"/>
            </w:pPr>
            <w:r>
              <w:rPr>
                <w:b/>
                <w:color w:val="1A1A1A"/>
                <w:sz w:val="16"/>
              </w:rPr>
              <w:t>Mustard</w:t>
            </w:r>
          </w:p>
        </w:tc>
        <w:tc>
          <w:tcPr>
            <w:tcW w:type="dxa" w:w="1814"/>
            <w:shd w:val="clear" w:color="auto" w:fill="FAF7F0"/>
          </w:tcPr>
          <w:p>
            <w:pPr>
              <w:spacing w:before="0" w:after="0" w:line="240" w:lineRule="auto"/>
            </w:pPr>
            <w:r>
              <w:rPr>
                <w:color w:val="1A1A1A"/>
                <w:sz w:val="16"/>
              </w:rPr>
              <w:t>No</w:t>
            </w:r>
          </w:p>
        </w:tc>
        <w:tc>
          <w:tcPr>
            <w:tcW w:type="dxa" w:w="1814"/>
            <w:shd w:val="clear" w:color="auto" w:fill="FAF7F0"/>
          </w:tcPr>
          <w:p>
            <w:pPr>
              <w:spacing w:before="0" w:after="0" w:line="240" w:lineRule="auto"/>
            </w:pPr>
            <w:r>
              <w:rPr>
                <w:color w:val="1A1A1A"/>
                <w:sz w:val="16"/>
              </w:rPr>
              <w:t>Yes</w:t>
            </w:r>
          </w:p>
        </w:tc>
        <w:tc>
          <w:tcPr>
            <w:tcW w:type="dxa" w:w="1814"/>
            <w:shd w:val="clear" w:color="auto" w:fill="FAF7F0"/>
          </w:tcPr>
          <w:p>
            <w:pPr>
              <w:spacing w:before="0" w:after="0" w:line="240" w:lineRule="auto"/>
            </w:pPr>
            <w:r>
              <w:rPr>
                <w:color w:val="1A1A1A"/>
                <w:sz w:val="16"/>
              </w:rPr>
              <w:t>Yes</w:t>
            </w:r>
          </w:p>
        </w:tc>
        <w:tc>
          <w:tcPr>
            <w:tcW w:type="dxa" w:w="1800"/>
            <w:shd w:val="clear" w:color="auto" w:fill="FAF7F0"/>
          </w:tcPr>
          <w:p>
            <w:pPr>
              <w:spacing w:before="0" w:after="0" w:line="240" w:lineRule="auto"/>
            </w:pPr>
            <w:r>
              <w:rPr>
                <w:color w:val="1A1A1A"/>
                <w:sz w:val="16"/>
              </w:rPr>
              <w:t>No</w:t>
            </w:r>
          </w:p>
        </w:tc>
      </w:tr>
      <w:tr>
        <w:trPr>
          <w:cantSplit/>
        </w:trPr>
        <w:tc>
          <w:tcPr>
            <w:tcW w:type="dxa" w:w="1872"/>
            <w:shd w:val="clear" w:color="auto" w:fill="F3EBD8"/>
          </w:tcPr>
          <w:p>
            <w:pPr>
              <w:spacing w:before="0" w:after="0" w:line="240" w:lineRule="auto"/>
            </w:pPr>
            <w:r>
              <w:rPr>
                <w:b/>
                <w:color w:val="1A1A1A"/>
                <w:sz w:val="16"/>
              </w:rPr>
              <w:t>Celery</w:t>
            </w:r>
          </w:p>
        </w:tc>
        <w:tc>
          <w:tcPr>
            <w:tcW w:type="dxa" w:w="1814"/>
          </w:tcPr>
          <w:p>
            <w:pPr>
              <w:spacing w:before="0" w:after="0" w:line="240" w:lineRule="auto"/>
            </w:pPr>
            <w:r>
              <w:rPr>
                <w:color w:val="1A1A1A"/>
                <w:sz w:val="16"/>
              </w:rPr>
              <w:t>No</w:t>
            </w:r>
          </w:p>
        </w:tc>
        <w:tc>
          <w:tcPr>
            <w:tcW w:type="dxa" w:w="1814"/>
          </w:tcPr>
          <w:p>
            <w:pPr>
              <w:spacing w:before="0" w:after="0" w:line="240" w:lineRule="auto"/>
            </w:pPr>
            <w:r>
              <w:rPr>
                <w:color w:val="1A1A1A"/>
                <w:sz w:val="16"/>
              </w:rPr>
              <w:t>Yes</w:t>
            </w:r>
          </w:p>
        </w:tc>
        <w:tc>
          <w:tcPr>
            <w:tcW w:type="dxa" w:w="1814"/>
          </w:tcPr>
          <w:p>
            <w:pPr>
              <w:spacing w:before="0" w:after="0" w:line="240" w:lineRule="auto"/>
            </w:pPr>
            <w:r>
              <w:rPr>
                <w:color w:val="1A1A1A"/>
                <w:sz w:val="16"/>
              </w:rPr>
              <w:t>No</w:t>
            </w:r>
          </w:p>
        </w:tc>
        <w:tc>
          <w:tcPr>
            <w:tcW w:type="dxa" w:w="1800"/>
          </w:tcPr>
          <w:p>
            <w:pPr>
              <w:spacing w:before="0" w:after="0" w:line="240" w:lineRule="auto"/>
            </w:pPr>
            <w:r>
              <w:rPr>
                <w:color w:val="1A1A1A"/>
                <w:sz w:val="16"/>
              </w:rPr>
              <w:t>No</w:t>
            </w:r>
          </w:p>
        </w:tc>
      </w:tr>
      <w:tr>
        <w:trPr>
          <w:cantSplit/>
        </w:trPr>
        <w:tc>
          <w:tcPr>
            <w:tcW w:type="dxa" w:w="1872"/>
            <w:shd w:val="clear" w:color="auto" w:fill="F3EBD8"/>
          </w:tcPr>
          <w:p>
            <w:pPr>
              <w:spacing w:before="0" w:after="0" w:line="240" w:lineRule="auto"/>
            </w:pPr>
            <w:r>
              <w:rPr>
                <w:b/>
                <w:color w:val="1A1A1A"/>
                <w:sz w:val="16"/>
              </w:rPr>
              <w:t>Lupin</w:t>
            </w:r>
          </w:p>
        </w:tc>
        <w:tc>
          <w:tcPr>
            <w:tcW w:type="dxa" w:w="1814"/>
            <w:shd w:val="clear" w:color="auto" w:fill="FAF7F0"/>
          </w:tcPr>
          <w:p>
            <w:pPr>
              <w:spacing w:before="0" w:after="0" w:line="240" w:lineRule="auto"/>
            </w:pPr>
            <w:r>
              <w:rPr>
                <w:color w:val="1A1A1A"/>
                <w:sz w:val="16"/>
              </w:rPr>
              <w:t>No</w:t>
            </w:r>
          </w:p>
        </w:tc>
        <w:tc>
          <w:tcPr>
            <w:tcW w:type="dxa" w:w="1814"/>
            <w:shd w:val="clear" w:color="auto" w:fill="FAF7F0"/>
          </w:tcPr>
          <w:p>
            <w:pPr>
              <w:spacing w:before="0" w:after="0" w:line="240" w:lineRule="auto"/>
            </w:pPr>
            <w:r>
              <w:rPr>
                <w:color w:val="1A1A1A"/>
                <w:sz w:val="16"/>
              </w:rPr>
              <w:t>Yes</w:t>
            </w:r>
          </w:p>
        </w:tc>
        <w:tc>
          <w:tcPr>
            <w:tcW w:type="dxa" w:w="1814"/>
            <w:shd w:val="clear" w:color="auto" w:fill="FAF7F0"/>
          </w:tcPr>
          <w:p>
            <w:pPr>
              <w:spacing w:before="0" w:after="0" w:line="240" w:lineRule="auto"/>
            </w:pPr>
            <w:r>
              <w:rPr>
                <w:color w:val="1A1A1A"/>
                <w:sz w:val="16"/>
              </w:rPr>
              <w:t>No</w:t>
            </w:r>
          </w:p>
        </w:tc>
        <w:tc>
          <w:tcPr>
            <w:tcW w:type="dxa" w:w="1800"/>
            <w:shd w:val="clear" w:color="auto" w:fill="FAF7F0"/>
          </w:tcPr>
          <w:p>
            <w:pPr>
              <w:spacing w:before="0" w:after="0" w:line="240" w:lineRule="auto"/>
            </w:pPr>
            <w:r>
              <w:rPr>
                <w:color w:val="1A1A1A"/>
                <w:sz w:val="16"/>
              </w:rPr>
              <w:t>Yes</w:t>
            </w:r>
          </w:p>
        </w:tc>
      </w:tr>
      <w:tr>
        <w:trPr>
          <w:cantSplit/>
        </w:trPr>
        <w:tc>
          <w:tcPr>
            <w:tcW w:type="dxa" w:w="1872"/>
            <w:shd w:val="clear" w:color="auto" w:fill="F3EBD8"/>
          </w:tcPr>
          <w:p>
            <w:pPr>
              <w:spacing w:before="0" w:after="0" w:line="240" w:lineRule="auto"/>
            </w:pPr>
            <w:r>
              <w:rPr>
                <w:b/>
                <w:color w:val="1A1A1A"/>
                <w:sz w:val="16"/>
              </w:rPr>
              <w:t>Sulphites / sulfites</w:t>
            </w:r>
          </w:p>
        </w:tc>
        <w:tc>
          <w:tcPr>
            <w:tcW w:type="dxa" w:w="1814"/>
          </w:tcPr>
          <w:p>
            <w:pPr>
              <w:spacing w:before="0" w:after="0" w:line="240" w:lineRule="auto"/>
            </w:pPr>
            <w:r>
              <w:rPr>
                <w:color w:val="1A1A1A"/>
                <w:sz w:val="16"/>
              </w:rPr>
              <w:t>No</w:t>
            </w:r>
          </w:p>
        </w:tc>
        <w:tc>
          <w:tcPr>
            <w:tcW w:type="dxa" w:w="1814"/>
          </w:tcPr>
          <w:p>
            <w:pPr>
              <w:spacing w:before="0" w:after="0" w:line="240" w:lineRule="auto"/>
            </w:pPr>
            <w:r>
              <w:rPr>
                <w:color w:val="1A1A1A"/>
                <w:sz w:val="16"/>
              </w:rPr>
              <w:t>Yes (above 10 parts per million)</w:t>
            </w:r>
          </w:p>
        </w:tc>
        <w:tc>
          <w:tcPr>
            <w:tcW w:type="dxa" w:w="1814"/>
          </w:tcPr>
          <w:p>
            <w:pPr>
              <w:spacing w:before="0" w:after="0" w:line="240" w:lineRule="auto"/>
            </w:pPr>
            <w:r>
              <w:rPr>
                <w:color w:val="1A1A1A"/>
                <w:sz w:val="16"/>
              </w:rPr>
              <w:t>Yes</w:t>
            </w:r>
          </w:p>
        </w:tc>
        <w:tc>
          <w:tcPr>
            <w:tcW w:type="dxa" w:w="1800"/>
          </w:tcPr>
          <w:p>
            <w:pPr>
              <w:spacing w:before="0" w:after="0" w:line="240" w:lineRule="auto"/>
            </w:pPr>
            <w:r>
              <w:rPr>
                <w:color w:val="1A1A1A"/>
                <w:sz w:val="16"/>
              </w:rPr>
              <w:t>Yes (added at 10 mg/kg or more)</w:t>
            </w:r>
          </w:p>
        </w:tc>
      </w:tr>
    </w:tbl>
    <w:p>
      <w:pPr>
        <w:spacing w:after="40"/>
      </w:pPr>
    </w:p>
    <w:p>
      <w:pPr>
        <w:pStyle w:val="ListBullet"/>
        <w:spacing w:after="60" w:line="264" w:lineRule="auto"/>
      </w:pPr>
      <w:r>
        <w:rPr>
          <w:b/>
        </w:rPr>
        <w:t>UK:</w:t>
      </w:r>
      <w:r>
        <w:t xml:space="preserve"> for food that is not prepacked, you can give allergen information in any form (menu, chalkboard, information pack) or orally, with a clearly visible notice telling guests how to ask. Food prepacked on your premises for direct sale needs a label with the full ingredients list, allergens emphasized.</w:t>
      </w:r>
    </w:p>
    <w:p>
      <w:pPr>
        <w:pStyle w:val="ListBullet"/>
        <w:spacing w:after="60" w:line="264" w:lineRule="auto"/>
      </w:pPr>
      <w:r>
        <w:rPr>
          <w:b/>
        </w:rPr>
        <w:t>Australia:</w:t>
      </w:r>
      <w:r>
        <w:t xml:space="preserve"> where food is unpackaged, allergen information must be displayed with the food or provided on request.</w:t>
      </w:r>
    </w:p>
    <w:p>
      <w:pPr>
        <w:pStyle w:val="ListBullet"/>
        <w:spacing w:after="60" w:line="264" w:lineRule="auto"/>
      </w:pPr>
      <w:r>
        <w:rPr>
          <w:b/>
        </w:rPr>
        <w:t>US and Canada:</w:t>
      </w:r>
      <w:r>
        <w:t xml:space="preserve"> the lists above are labeling rules for packaged food; ask your health department or province what a restaurant must tell guests. The HACCP kit's matrix already holds all 14 UK allergens, which covers every country's list except Australia's rule to name each tree nut and each gluten cereal (wheat, barley, oats, rye) separately.</w:t>
      </w:r>
    </w:p>
    <w:p>
      <w:pPr>
        <w:pStyle w:val="Heading1"/>
        <w:keepNext/>
        <w:pageBreakBefore w:val="0"/>
        <w:spacing w:before="440"/>
      </w:pPr>
      <w:r>
        <w:t>6. Staff &amp; Labor</w:t>
      </w:r>
    </w:p>
    <w:p>
      <w:pPr>
        <w:keepNext/>
      </w:pPr>
      <w:r>
        <w:rPr>
          <w:color w:val="C6A664"/>
          <w:sz w:val="16"/>
        </w:rPr>
        <w:t>━━━━━━━━━━━━━━━━━━━━━━━━━━━━━━━━━━━━━━━━━━━━━━━━━━</w:t>
      </w:r>
    </w:p>
    <w:p>
      <w:pPr>
        <w:spacing w:line="288" w:lineRule="auto"/>
      </w:pPr>
      <w:r>
        <w:t>The Staff Scheduling Kit and every business plan carry wages, employer costs and overtime as editable cells. This is what to put in them. Minimum wages, payroll tax thresholds and contribution rates that change every year are not printed here: section 10 tells you where to find the current figures.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655"/>
        <w:gridCol w:w="1800"/>
        <w:gridCol w:w="1915"/>
        <w:gridCol w:w="1915"/>
        <w:gridCol w:w="1828"/>
      </w:tblGrid>
      <w:tr>
        <w:trPr>
          <w:tblHeader w:val="true"/>
          <w:cantSplit/>
        </w:trPr>
        <w:tc>
          <w:tcPr>
            <w:tcW w:type="dxa" w:w="1656"/>
            <w:shd w:val="clear" w:color="auto" w:fill="1A1A1A"/>
          </w:tcPr>
          <w:p>
            <w:pPr>
              <w:spacing w:before="0" w:after="0" w:line="240" w:lineRule="auto"/>
            </w:pPr>
            <w:r>
              <w:rPr>
                <w:b/>
                <w:color w:val="FFFFFF"/>
                <w:sz w:val="16"/>
              </w:rPr>
              <w:t>Topic</w:t>
            </w:r>
          </w:p>
        </w:tc>
        <w:tc>
          <w:tcPr>
            <w:tcW w:type="dxa" w:w="1800"/>
            <w:shd w:val="clear" w:color="auto" w:fill="1A1A1A"/>
          </w:tcPr>
          <w:p>
            <w:pPr>
              <w:spacing w:before="0" w:after="0" w:line="240" w:lineRule="auto"/>
            </w:pPr>
            <w:r>
              <w:rPr>
                <w:b/>
                <w:color w:val="FFFFFF"/>
                <w:sz w:val="16"/>
              </w:rPr>
              <w:t>US</w:t>
            </w:r>
          </w:p>
        </w:tc>
        <w:tc>
          <w:tcPr>
            <w:tcW w:type="dxa" w:w="1915"/>
            <w:shd w:val="clear" w:color="auto" w:fill="1A1A1A"/>
          </w:tcPr>
          <w:p>
            <w:pPr>
              <w:spacing w:before="0" w:after="0" w:line="240" w:lineRule="auto"/>
            </w:pPr>
            <w:r>
              <w:rPr>
                <w:b/>
                <w:color w:val="FFFFFF"/>
                <w:sz w:val="16"/>
              </w:rPr>
              <w:t>UK</w:t>
            </w:r>
          </w:p>
        </w:tc>
        <w:tc>
          <w:tcPr>
            <w:tcW w:type="dxa" w:w="1915"/>
            <w:shd w:val="clear" w:color="auto" w:fill="1A1A1A"/>
          </w:tcPr>
          <w:p>
            <w:pPr>
              <w:spacing w:before="0" w:after="0" w:line="240" w:lineRule="auto"/>
            </w:pPr>
            <w:r>
              <w:rPr>
                <w:b/>
                <w:color w:val="FFFFFF"/>
                <w:sz w:val="16"/>
              </w:rPr>
              <w:t>Canada</w:t>
            </w:r>
          </w:p>
        </w:tc>
        <w:tc>
          <w:tcPr>
            <w:tcW w:type="dxa" w:w="1829"/>
            <w:shd w:val="clear" w:color="auto" w:fill="1A1A1A"/>
          </w:tcPr>
          <w:p>
            <w:pPr>
              <w:spacing w:before="0" w:after="0" w:line="240" w:lineRule="auto"/>
            </w:pPr>
            <w:r>
              <w:rPr>
                <w:b/>
                <w:color w:val="FFFFFF"/>
                <w:sz w:val="16"/>
              </w:rPr>
              <w:t>Australia</w:t>
            </w:r>
          </w:p>
        </w:tc>
      </w:tr>
      <w:tr>
        <w:trPr>
          <w:cantSplit/>
        </w:trPr>
        <w:tc>
          <w:tcPr>
            <w:tcW w:type="dxa" w:w="1656"/>
            <w:shd w:val="clear" w:color="auto" w:fill="F3EBD8"/>
          </w:tcPr>
          <w:p>
            <w:pPr>
              <w:spacing w:before="0" w:after="0" w:line="240" w:lineRule="auto"/>
            </w:pPr>
            <w:r>
              <w:rPr>
                <w:b/>
                <w:color w:val="1A1A1A"/>
                <w:sz w:val="16"/>
              </w:rPr>
              <w:t>Main framework</w:t>
            </w:r>
          </w:p>
        </w:tc>
        <w:tc>
          <w:tcPr>
            <w:tcW w:type="dxa" w:w="1800"/>
          </w:tcPr>
          <w:p>
            <w:pPr>
              <w:spacing w:before="0" w:after="0" w:line="240" w:lineRule="auto"/>
            </w:pPr>
            <w:r>
              <w:rPr>
                <w:color w:val="1A1A1A"/>
                <w:sz w:val="16"/>
              </w:rPr>
              <w:t>Fair Labor Standards Act (FLSA) plus state and local law</w:t>
            </w:r>
          </w:p>
        </w:tc>
        <w:tc>
          <w:tcPr>
            <w:tcW w:type="dxa" w:w="1915"/>
          </w:tcPr>
          <w:p>
            <w:pPr>
              <w:spacing w:before="0" w:after="0" w:line="240" w:lineRule="auto"/>
            </w:pPr>
            <w:r>
              <w:rPr>
                <w:color w:val="1A1A1A"/>
                <w:sz w:val="16"/>
              </w:rPr>
              <w:t>Working Time Regulations, minimum wage law and the employment contract</w:t>
            </w:r>
          </w:p>
        </w:tc>
        <w:tc>
          <w:tcPr>
            <w:tcW w:type="dxa" w:w="1915"/>
          </w:tcPr>
          <w:p>
            <w:pPr>
              <w:spacing w:before="0" w:after="0" w:line="240" w:lineRule="auto"/>
            </w:pPr>
            <w:r>
              <w:rPr>
                <w:color w:val="1A1A1A"/>
                <w:sz w:val="16"/>
              </w:rPr>
              <w:t>Each province's employment standards act (a few federal sectors aside)</w:t>
            </w:r>
          </w:p>
        </w:tc>
        <w:tc>
          <w:tcPr>
            <w:tcW w:type="dxa" w:w="1829"/>
          </w:tcPr>
          <w:p>
            <w:pPr>
              <w:spacing w:before="0" w:after="0" w:line="240" w:lineRule="auto"/>
            </w:pPr>
            <w:r>
              <w:rPr>
                <w:color w:val="1A1A1A"/>
                <w:sz w:val="16"/>
              </w:rPr>
              <w:t>Fair Work Act: National Employment Standards (NES) plus the industry “Award”</w:t>
            </w:r>
          </w:p>
        </w:tc>
      </w:tr>
      <w:tr>
        <w:trPr>
          <w:cantSplit/>
        </w:trPr>
        <w:tc>
          <w:tcPr>
            <w:tcW w:type="dxa" w:w="1656"/>
            <w:shd w:val="clear" w:color="auto" w:fill="F3EBD8"/>
          </w:tcPr>
          <w:p>
            <w:pPr>
              <w:spacing w:before="0" w:after="0" w:line="240" w:lineRule="auto"/>
            </w:pPr>
            <w:r>
              <w:rPr>
                <w:b/>
                <w:color w:val="1A1A1A"/>
                <w:sz w:val="16"/>
              </w:rPr>
              <w:t>Overtime</w:t>
            </w:r>
          </w:p>
        </w:tc>
        <w:tc>
          <w:tcPr>
            <w:tcW w:type="dxa" w:w="1800"/>
            <w:shd w:val="clear" w:color="auto" w:fill="FAF7F0"/>
          </w:tcPr>
          <w:p>
            <w:pPr>
              <w:spacing w:before="0" w:after="0" w:line="240" w:lineRule="auto"/>
            </w:pPr>
            <w:r>
              <w:rPr>
                <w:color w:val="1A1A1A"/>
                <w:sz w:val="16"/>
              </w:rPr>
              <w:t>Over 40 hours in a workweek at no less than 1.5× the regular rate; no federal daily overtime or weekend premium</w:t>
            </w:r>
          </w:p>
        </w:tc>
        <w:tc>
          <w:tcPr>
            <w:tcW w:type="dxa" w:w="1915"/>
            <w:shd w:val="clear" w:color="auto" w:fill="FAF7F0"/>
          </w:tcPr>
          <w:p>
            <w:pPr>
              <w:spacing w:before="0" w:after="0" w:line="240" w:lineRule="auto"/>
            </w:pPr>
            <w:r>
              <w:rPr>
                <w:color w:val="1A1A1A"/>
                <w:sz w:val="16"/>
              </w:rPr>
              <w:t>No legal right to extra pay for overtime, but average pay for all hours worked must stay at or above the minimum wage</w:t>
            </w:r>
          </w:p>
        </w:tc>
        <w:tc>
          <w:tcPr>
            <w:tcW w:type="dxa" w:w="1915"/>
            <w:shd w:val="clear" w:color="auto" w:fill="FAF7F0"/>
          </w:tcPr>
          <w:p>
            <w:pPr>
              <w:spacing w:before="0" w:after="0" w:line="240" w:lineRule="auto"/>
            </w:pPr>
            <w:r>
              <w:rPr>
                <w:color w:val="1A1A1A"/>
                <w:sz w:val="16"/>
              </w:rPr>
              <w:t>Ontario: after 44 hours a week at 1.5×. British Columbia: 1.5× after 8 hours a day or 40 a week, 2× after 12 hours in a day</w:t>
            </w:r>
          </w:p>
        </w:tc>
        <w:tc>
          <w:tcPr>
            <w:tcW w:type="dxa" w:w="1829"/>
            <w:shd w:val="clear" w:color="auto" w:fill="FAF7F0"/>
          </w:tcPr>
          <w:p>
            <w:pPr>
              <w:spacing w:before="0" w:after="0" w:line="240" w:lineRule="auto"/>
            </w:pPr>
            <w:r>
              <w:rPr>
                <w:color w:val="1A1A1A"/>
                <w:sz w:val="16"/>
              </w:rPr>
              <w:t>Hospitality Award: 150% for the first 2 hours Monday to Friday, then 200%; 200% from midnight Friday to midnight Sunday</w:t>
            </w:r>
          </w:p>
        </w:tc>
      </w:tr>
      <w:tr>
        <w:trPr>
          <w:cantSplit/>
        </w:trPr>
        <w:tc>
          <w:tcPr>
            <w:tcW w:type="dxa" w:w="1656"/>
            <w:shd w:val="clear" w:color="auto" w:fill="F3EBD8"/>
          </w:tcPr>
          <w:p>
            <w:pPr>
              <w:spacing w:before="0" w:after="0" w:line="240" w:lineRule="auto"/>
            </w:pPr>
            <w:r>
              <w:rPr>
                <w:b/>
                <w:color w:val="1A1A1A"/>
                <w:sz w:val="16"/>
              </w:rPr>
              <w:t>Weekly hours limit</w:t>
            </w:r>
          </w:p>
        </w:tc>
        <w:tc>
          <w:tcPr>
            <w:tcW w:type="dxa" w:w="1800"/>
          </w:tcPr>
          <w:p>
            <w:pPr>
              <w:spacing w:before="0" w:after="0" w:line="240" w:lineRule="auto"/>
            </w:pPr>
            <w:r>
              <w:rPr>
                <w:color w:val="1A1A1A"/>
                <w:sz w:val="16"/>
              </w:rPr>
              <w:t>No limit for workers aged 16 and over</w:t>
            </w:r>
          </w:p>
        </w:tc>
        <w:tc>
          <w:tcPr>
            <w:tcW w:type="dxa" w:w="1915"/>
          </w:tcPr>
          <w:p>
            <w:pPr>
              <w:spacing w:before="0" w:after="0" w:line="240" w:lineRule="auto"/>
            </w:pPr>
            <w:r>
              <w:rPr>
                <w:color w:val="1A1A1A"/>
                <w:sz w:val="16"/>
              </w:rPr>
              <w:t>48 hours a week on average over 17 weeks, unless the worker opts out</w:t>
            </w:r>
          </w:p>
        </w:tc>
        <w:tc>
          <w:tcPr>
            <w:tcW w:type="dxa" w:w="1915"/>
          </w:tcPr>
          <w:p>
            <w:pPr>
              <w:spacing w:before="0" w:after="0" w:line="240" w:lineRule="auto"/>
            </w:pPr>
            <w:r>
              <w:rPr>
                <w:color w:val="1A1A1A"/>
                <w:sz w:val="16"/>
              </w:rPr>
              <w:t>Provincial rules: check</w:t>
            </w:r>
          </w:p>
        </w:tc>
        <w:tc>
          <w:tcPr>
            <w:tcW w:type="dxa" w:w="1829"/>
          </w:tcPr>
          <w:p>
            <w:pPr>
              <w:spacing w:before="0" w:after="0" w:line="240" w:lineRule="auto"/>
            </w:pPr>
            <w:r>
              <w:rPr>
                <w:color w:val="1A1A1A"/>
                <w:sz w:val="16"/>
              </w:rPr>
              <w:t>Full-time is 38 ordinary hours a week under the Award</w:t>
            </w:r>
          </w:p>
        </w:tc>
      </w:tr>
      <w:tr>
        <w:trPr>
          <w:cantSplit/>
        </w:trPr>
        <w:tc>
          <w:tcPr>
            <w:tcW w:type="dxa" w:w="1656"/>
            <w:shd w:val="clear" w:color="auto" w:fill="F3EBD8"/>
          </w:tcPr>
          <w:p>
            <w:pPr>
              <w:spacing w:before="0" w:after="0" w:line="240" w:lineRule="auto"/>
            </w:pPr>
            <w:r>
              <w:rPr>
                <w:b/>
                <w:color w:val="1A1A1A"/>
                <w:sz w:val="16"/>
              </w:rPr>
              <w:t>Rest</w:t>
            </w:r>
          </w:p>
        </w:tc>
        <w:tc>
          <w:tcPr>
            <w:tcW w:type="dxa" w:w="1800"/>
            <w:shd w:val="clear" w:color="auto" w:fill="FAF7F0"/>
          </w:tcPr>
          <w:p>
            <w:pPr>
              <w:spacing w:before="0" w:after="0" w:line="240" w:lineRule="auto"/>
            </w:pPr>
            <w:r>
              <w:rPr>
                <w:color w:val="1A1A1A"/>
                <w:sz w:val="16"/>
              </w:rPr>
              <w:t>Federal law does not require meal or rest breaks; some states do: check</w:t>
            </w:r>
          </w:p>
        </w:tc>
        <w:tc>
          <w:tcPr>
            <w:tcW w:type="dxa" w:w="1915"/>
            <w:shd w:val="clear" w:color="auto" w:fill="FAF7F0"/>
          </w:tcPr>
          <w:p>
            <w:pPr>
              <w:spacing w:before="0" w:after="0" w:line="240" w:lineRule="auto"/>
            </w:pPr>
            <w:r>
              <w:rPr>
                <w:color w:val="1A1A1A"/>
                <w:sz w:val="16"/>
              </w:rPr>
              <w:t>11 hours between working days; 24 hours a week (or 48 a fortnight); a 20-minute break after 6 hours</w:t>
            </w:r>
          </w:p>
        </w:tc>
        <w:tc>
          <w:tcPr>
            <w:tcW w:type="dxa" w:w="1915"/>
            <w:shd w:val="clear" w:color="auto" w:fill="FAF7F0"/>
          </w:tcPr>
          <w:p>
            <w:pPr>
              <w:spacing w:before="0" w:after="0" w:line="240" w:lineRule="auto"/>
            </w:pPr>
            <w:r>
              <w:rPr>
                <w:color w:val="1A1A1A"/>
                <w:sz w:val="16"/>
              </w:rPr>
              <w:t>Provincial rules: check</w:t>
            </w:r>
          </w:p>
        </w:tc>
        <w:tc>
          <w:tcPr>
            <w:tcW w:type="dxa" w:w="1829"/>
            <w:shd w:val="clear" w:color="auto" w:fill="FAF7F0"/>
          </w:tcPr>
          <w:p>
            <w:pPr>
              <w:spacing w:before="0" w:after="0" w:line="240" w:lineRule="auto"/>
            </w:pPr>
            <w:r>
              <w:rPr>
                <w:color w:val="1A1A1A"/>
                <w:sz w:val="16"/>
              </w:rPr>
              <w:t>Set by the Award: check</w:t>
            </w:r>
          </w:p>
        </w:tc>
      </w:tr>
      <w:tr>
        <w:trPr>
          <w:cantSplit/>
        </w:trPr>
        <w:tc>
          <w:tcPr>
            <w:tcW w:type="dxa" w:w="1656"/>
            <w:shd w:val="clear" w:color="auto" w:fill="F3EBD8"/>
          </w:tcPr>
          <w:p>
            <w:pPr>
              <w:spacing w:before="0" w:after="0" w:line="240" w:lineRule="auto"/>
            </w:pPr>
            <w:r>
              <w:rPr>
                <w:b/>
                <w:color w:val="1A1A1A"/>
                <w:sz w:val="16"/>
              </w:rPr>
              <w:t>Weekend, evening and holiday pay</w:t>
            </w:r>
          </w:p>
        </w:tc>
        <w:tc>
          <w:tcPr>
            <w:tcW w:type="dxa" w:w="1800"/>
          </w:tcPr>
          <w:p>
            <w:pPr>
              <w:spacing w:before="0" w:after="0" w:line="240" w:lineRule="auto"/>
            </w:pPr>
            <w:r>
              <w:rPr>
                <w:color w:val="1A1A1A"/>
                <w:sz w:val="16"/>
              </w:rPr>
              <w:t>Not required by the FLSA</w:t>
            </w:r>
          </w:p>
        </w:tc>
        <w:tc>
          <w:tcPr>
            <w:tcW w:type="dxa" w:w="1915"/>
          </w:tcPr>
          <w:p>
            <w:pPr>
              <w:spacing w:before="0" w:after="0" w:line="240" w:lineRule="auto"/>
            </w:pPr>
            <w:r>
              <w:rPr>
                <w:color w:val="1A1A1A"/>
                <w:sz w:val="16"/>
              </w:rPr>
              <w:t>Only if the contract says so</w:t>
            </w:r>
          </w:p>
        </w:tc>
        <w:tc>
          <w:tcPr>
            <w:tcW w:type="dxa" w:w="1915"/>
          </w:tcPr>
          <w:p>
            <w:pPr>
              <w:spacing w:before="0" w:after="0" w:line="240" w:lineRule="auto"/>
            </w:pPr>
            <w:r>
              <w:rPr>
                <w:color w:val="1A1A1A"/>
                <w:sz w:val="16"/>
              </w:rPr>
              <w:t>Public holiday pay is provincial: check</w:t>
            </w:r>
          </w:p>
        </w:tc>
        <w:tc>
          <w:tcPr>
            <w:tcW w:type="dxa" w:w="1829"/>
          </w:tcPr>
          <w:p>
            <w:pPr>
              <w:spacing w:before="0" w:after="0" w:line="240" w:lineRule="auto"/>
            </w:pPr>
            <w:r>
              <w:rPr>
                <w:color w:val="1A1A1A"/>
                <w:sz w:val="16"/>
              </w:rPr>
              <w:t>“Penalty rates” in the Award for weekday evenings (7 pm to 7 am), weekends and public holidays</w:t>
            </w:r>
          </w:p>
        </w:tc>
      </w:tr>
      <w:tr>
        <w:trPr>
          <w:cantSplit/>
        </w:trPr>
        <w:tc>
          <w:tcPr>
            <w:tcW w:type="dxa" w:w="1656"/>
            <w:shd w:val="clear" w:color="auto" w:fill="F3EBD8"/>
          </w:tcPr>
          <w:p>
            <w:pPr>
              <w:spacing w:before="0" w:after="0" w:line="240" w:lineRule="auto"/>
            </w:pPr>
            <w:r>
              <w:rPr>
                <w:b/>
                <w:color w:val="1A1A1A"/>
                <w:sz w:val="16"/>
              </w:rPr>
              <w:t>Paid holidays</w:t>
            </w:r>
          </w:p>
        </w:tc>
        <w:tc>
          <w:tcPr>
            <w:tcW w:type="dxa" w:w="1800"/>
            <w:shd w:val="clear" w:color="auto" w:fill="FAF7F0"/>
          </w:tcPr>
          <w:p>
            <w:pPr>
              <w:spacing w:before="0" w:after="0" w:line="240" w:lineRule="auto"/>
            </w:pPr>
            <w:r>
              <w:rPr>
                <w:color w:val="1A1A1A"/>
                <w:sz w:val="16"/>
              </w:rPr>
              <w:t>Not required by the FLSA: set by company policy (“PTO”) and some state or city laws</w:t>
            </w:r>
          </w:p>
        </w:tc>
        <w:tc>
          <w:tcPr>
            <w:tcW w:type="dxa" w:w="1915"/>
            <w:shd w:val="clear" w:color="auto" w:fill="FAF7F0"/>
          </w:tcPr>
          <w:p>
            <w:pPr>
              <w:spacing w:before="0" w:after="0" w:line="240" w:lineRule="auto"/>
            </w:pPr>
            <w:r>
              <w:rPr>
                <w:color w:val="1A1A1A"/>
                <w:sz w:val="16"/>
              </w:rPr>
              <w:t>5.6 weeks a year (“holiday”), capped at 28 days; irregular-hours staff build it up on the hours they work</w:t>
            </w:r>
          </w:p>
        </w:tc>
        <w:tc>
          <w:tcPr>
            <w:tcW w:type="dxa" w:w="1915"/>
            <w:shd w:val="clear" w:color="auto" w:fill="FAF7F0"/>
          </w:tcPr>
          <w:p>
            <w:pPr>
              <w:spacing w:before="0" w:after="0" w:line="240" w:lineRule="auto"/>
            </w:pPr>
            <w:r>
              <w:rPr>
                <w:color w:val="1A1A1A"/>
                <w:sz w:val="16"/>
              </w:rPr>
              <w:t>Provincial (“vacation”): check</w:t>
            </w:r>
          </w:p>
        </w:tc>
        <w:tc>
          <w:tcPr>
            <w:tcW w:type="dxa" w:w="1829"/>
            <w:shd w:val="clear" w:color="auto" w:fill="FAF7F0"/>
          </w:tcPr>
          <w:p>
            <w:pPr>
              <w:spacing w:before="0" w:after="0" w:line="240" w:lineRule="auto"/>
            </w:pPr>
            <w:r>
              <w:rPr>
                <w:color w:val="1A1A1A"/>
                <w:sz w:val="16"/>
              </w:rPr>
              <w:t>4 weeks of annual leave a year for full-time and part-time staff; casuals get no annual leave and earn a 25% “casual loading” instead (Hospitality Award, clause 11.1)</w:t>
            </w:r>
          </w:p>
        </w:tc>
      </w:tr>
    </w:tbl>
    <w:p>
      <w:pPr>
        <w:spacing w:after="40"/>
      </w:pPr>
    </w:p>
    <w:p>
      <w:pPr>
        <w:pStyle w:val="Heading2"/>
        <w:spacing w:before="280"/>
      </w:pPr>
      <w:r>
        <w:t>Employer costs on top of wages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655"/>
        <w:gridCol w:w="1800"/>
        <w:gridCol w:w="1915"/>
        <w:gridCol w:w="1915"/>
        <w:gridCol w:w="1828"/>
      </w:tblGrid>
      <w:tr>
        <w:trPr>
          <w:tblHeader w:val="true"/>
          <w:cantSplit/>
        </w:trPr>
        <w:tc>
          <w:tcPr>
            <w:tcW w:type="dxa" w:w="1656"/>
            <w:shd w:val="clear" w:color="auto" w:fill="1A1A1A"/>
          </w:tcPr>
          <w:p>
            <w:pPr>
              <w:spacing w:before="0" w:after="0" w:line="240" w:lineRule="auto"/>
            </w:pPr>
            <w:r>
              <w:rPr>
                <w:b/>
                <w:color w:val="FFFFFF"/>
                <w:sz w:val="16"/>
              </w:rPr>
              <w:t>Cost</w:t>
            </w:r>
          </w:p>
        </w:tc>
        <w:tc>
          <w:tcPr>
            <w:tcW w:type="dxa" w:w="1800"/>
            <w:shd w:val="clear" w:color="auto" w:fill="1A1A1A"/>
          </w:tcPr>
          <w:p>
            <w:pPr>
              <w:spacing w:before="0" w:after="0" w:line="240" w:lineRule="auto"/>
            </w:pPr>
            <w:r>
              <w:rPr>
                <w:b/>
                <w:color w:val="FFFFFF"/>
                <w:sz w:val="16"/>
              </w:rPr>
              <w:t>US</w:t>
            </w:r>
          </w:p>
        </w:tc>
        <w:tc>
          <w:tcPr>
            <w:tcW w:type="dxa" w:w="1915"/>
            <w:shd w:val="clear" w:color="auto" w:fill="1A1A1A"/>
          </w:tcPr>
          <w:p>
            <w:pPr>
              <w:spacing w:before="0" w:after="0" w:line="240" w:lineRule="auto"/>
            </w:pPr>
            <w:r>
              <w:rPr>
                <w:b/>
                <w:color w:val="FFFFFF"/>
                <w:sz w:val="16"/>
              </w:rPr>
              <w:t>UK</w:t>
            </w:r>
          </w:p>
        </w:tc>
        <w:tc>
          <w:tcPr>
            <w:tcW w:type="dxa" w:w="1915"/>
            <w:shd w:val="clear" w:color="auto" w:fill="1A1A1A"/>
          </w:tcPr>
          <w:p>
            <w:pPr>
              <w:spacing w:before="0" w:after="0" w:line="240" w:lineRule="auto"/>
            </w:pPr>
            <w:r>
              <w:rPr>
                <w:b/>
                <w:color w:val="FFFFFF"/>
                <w:sz w:val="16"/>
              </w:rPr>
              <w:t>Canada</w:t>
            </w:r>
          </w:p>
        </w:tc>
        <w:tc>
          <w:tcPr>
            <w:tcW w:type="dxa" w:w="1829"/>
            <w:shd w:val="clear" w:color="auto" w:fill="1A1A1A"/>
          </w:tcPr>
          <w:p>
            <w:pPr>
              <w:spacing w:before="0" w:after="0" w:line="240" w:lineRule="auto"/>
            </w:pPr>
            <w:r>
              <w:rPr>
                <w:b/>
                <w:color w:val="FFFFFF"/>
                <w:sz w:val="16"/>
              </w:rPr>
              <w:t>Australia</w:t>
            </w:r>
          </w:p>
        </w:tc>
      </w:tr>
      <w:tr>
        <w:trPr>
          <w:cantSplit/>
        </w:trPr>
        <w:tc>
          <w:tcPr>
            <w:tcW w:type="dxa" w:w="1656"/>
            <w:shd w:val="clear" w:color="auto" w:fill="F3EBD8"/>
          </w:tcPr>
          <w:p>
            <w:pPr>
              <w:spacing w:before="0" w:after="0" w:line="240" w:lineRule="auto"/>
            </w:pPr>
            <w:r>
              <w:rPr>
                <w:b/>
                <w:color w:val="1A1A1A"/>
                <w:sz w:val="16"/>
              </w:rPr>
              <w:t>Pension or social security</w:t>
            </w:r>
          </w:p>
        </w:tc>
        <w:tc>
          <w:tcPr>
            <w:tcW w:type="dxa" w:w="1800"/>
          </w:tcPr>
          <w:p>
            <w:pPr>
              <w:spacing w:before="0" w:after="0" w:line="240" w:lineRule="auto"/>
            </w:pPr>
            <w:r>
              <w:rPr>
                <w:color w:val="1A1A1A"/>
                <w:sz w:val="16"/>
              </w:rPr>
              <w:t>Social Security 6.2% employer share (up to the annual wage base) + Medicare 1.45%</w:t>
            </w:r>
          </w:p>
        </w:tc>
        <w:tc>
          <w:tcPr>
            <w:tcW w:type="dxa" w:w="1915"/>
          </w:tcPr>
          <w:p>
            <w:pPr>
              <w:spacing w:before="0" w:after="0" w:line="240" w:lineRule="auto"/>
            </w:pPr>
            <w:r>
              <w:rPr>
                <w:color w:val="1A1A1A"/>
                <w:sz w:val="16"/>
              </w:rPr>
              <w:t>“Automatic enrolment”: enroll eligible staff in a workplace pension and pay an employer contribution (check the minimum on gov.uk)</w:t>
            </w:r>
          </w:p>
        </w:tc>
        <w:tc>
          <w:tcPr>
            <w:tcW w:type="dxa" w:w="1915"/>
          </w:tcPr>
          <w:p>
            <w:pPr>
              <w:spacing w:before="0" w:after="0" w:line="240" w:lineRule="auto"/>
            </w:pPr>
            <w:r>
              <w:rPr>
                <w:color w:val="1A1A1A"/>
                <w:sz w:val="16"/>
              </w:rPr>
              <w:t>Canada Pension Plan contributions (QPP in Quebec), matched by the employer</w:t>
            </w:r>
          </w:p>
        </w:tc>
        <w:tc>
          <w:tcPr>
            <w:tcW w:type="dxa" w:w="1829"/>
          </w:tcPr>
          <w:p>
            <w:pPr>
              <w:spacing w:before="0" w:after="0" w:line="240" w:lineRule="auto"/>
            </w:pPr>
            <w:r>
              <w:rPr>
                <w:color w:val="1A1A1A"/>
                <w:sz w:val="16"/>
              </w:rPr>
              <w:t>“Superannuation guarantee” paid into each eligible employee's super fund: check the current rate with the ATO</w:t>
            </w:r>
          </w:p>
        </w:tc>
      </w:tr>
      <w:tr>
        <w:trPr>
          <w:cantSplit/>
        </w:trPr>
        <w:tc>
          <w:tcPr>
            <w:tcW w:type="dxa" w:w="1656"/>
            <w:shd w:val="clear" w:color="auto" w:fill="F3EBD8"/>
          </w:tcPr>
          <w:p>
            <w:pPr>
              <w:spacing w:before="0" w:after="0" w:line="240" w:lineRule="auto"/>
            </w:pPr>
            <w:r>
              <w:rPr>
                <w:b/>
                <w:color w:val="1A1A1A"/>
                <w:sz w:val="16"/>
              </w:rPr>
              <w:t>Unemployment or employment insurance</w:t>
            </w:r>
          </w:p>
        </w:tc>
        <w:tc>
          <w:tcPr>
            <w:tcW w:type="dxa" w:w="1800"/>
            <w:shd w:val="clear" w:color="auto" w:fill="FAF7F0"/>
          </w:tcPr>
          <w:p>
            <w:pPr>
              <w:spacing w:before="0" w:after="0" w:line="240" w:lineRule="auto"/>
            </w:pPr>
            <w:r>
              <w:rPr>
                <w:color w:val="1A1A1A"/>
                <w:sz w:val="16"/>
              </w:rPr>
              <w:t>FUTA: 6.0% on the first 7,000 dollars of each employee's wages, reduced to 0.6% with the full credit for state unemployment tax (SUTA); more in a “credit reduction state”: check IRS Topic 759</w:t>
            </w:r>
          </w:p>
        </w:tc>
        <w:tc>
          <w:tcPr>
            <w:tcW w:type="dxa" w:w="1915"/>
            <w:shd w:val="clear" w:color="auto" w:fill="FAF7F0"/>
          </w:tcPr>
          <w:p>
            <w:pPr>
              <w:spacing w:before="0" w:after="0" w:line="240" w:lineRule="auto"/>
            </w:pPr>
            <w:r>
              <w:rPr>
                <w:color w:val="1A1A1A"/>
                <w:sz w:val="16"/>
              </w:rPr>
              <w:t>Included in National Insurance</w:t>
            </w:r>
          </w:p>
        </w:tc>
        <w:tc>
          <w:tcPr>
            <w:tcW w:type="dxa" w:w="1915"/>
            <w:shd w:val="clear" w:color="auto" w:fill="FAF7F0"/>
          </w:tcPr>
          <w:p>
            <w:pPr>
              <w:spacing w:before="0" w:after="0" w:line="240" w:lineRule="auto"/>
            </w:pPr>
            <w:r>
              <w:rPr>
                <w:color w:val="1A1A1A"/>
                <w:sz w:val="16"/>
              </w:rPr>
              <w:t>Employment Insurance: the employer pays 1.4 times the premium deducted from the employee</w:t>
            </w:r>
          </w:p>
        </w:tc>
        <w:tc>
          <w:tcPr>
            <w:tcW w:type="dxa" w:w="1829"/>
            <w:shd w:val="clear" w:color="auto" w:fill="FAF7F0"/>
          </w:tcPr>
          <w:p>
            <w:pPr>
              <w:spacing w:before="0" w:after="0" w:line="240" w:lineRule="auto"/>
            </w:pPr>
            <w:r>
              <w:rPr>
                <w:color w:val="1A1A1A"/>
                <w:sz w:val="16"/>
              </w:rPr>
              <w:t>None separate</w:t>
            </w:r>
          </w:p>
        </w:tc>
      </w:tr>
      <w:tr>
        <w:trPr>
          <w:cantSplit/>
        </w:trPr>
        <w:tc>
          <w:tcPr>
            <w:tcW w:type="dxa" w:w="1656"/>
            <w:shd w:val="clear" w:color="auto" w:fill="F3EBD8"/>
          </w:tcPr>
          <w:p>
            <w:pPr>
              <w:spacing w:before="0" w:after="0" w:line="240" w:lineRule="auto"/>
            </w:pPr>
            <w:r>
              <w:rPr>
                <w:b/>
                <w:color w:val="1A1A1A"/>
                <w:sz w:val="16"/>
              </w:rPr>
              <w:t>Payroll tax</w:t>
            </w:r>
          </w:p>
        </w:tc>
        <w:tc>
          <w:tcPr>
            <w:tcW w:type="dxa" w:w="1800"/>
          </w:tcPr>
          <w:p>
            <w:pPr>
              <w:spacing w:before="0" w:after="0" w:line="240" w:lineRule="auto"/>
            </w:pPr>
            <w:r>
              <w:rPr>
                <w:color w:val="1A1A1A"/>
                <w:sz w:val="16"/>
              </w:rPr>
              <w:t>Covered by the lines above</w:t>
            </w:r>
          </w:p>
        </w:tc>
        <w:tc>
          <w:tcPr>
            <w:tcW w:type="dxa" w:w="1915"/>
          </w:tcPr>
          <w:p>
            <w:pPr>
              <w:spacing w:before="0" w:after="0" w:line="240" w:lineRule="auto"/>
            </w:pPr>
            <w:r>
              <w:rPr>
                <w:color w:val="1A1A1A"/>
                <w:sz w:val="16"/>
              </w:rPr>
              <w:t>Employer “Class 1 National Insurance”: check the current rate and thresholds on gov.uk</w:t>
            </w:r>
          </w:p>
        </w:tc>
        <w:tc>
          <w:tcPr>
            <w:tcW w:type="dxa" w:w="1915"/>
          </w:tcPr>
          <w:p>
            <w:pPr>
              <w:spacing w:before="0" w:after="0" w:line="240" w:lineRule="auto"/>
            </w:pPr>
            <w:r>
              <w:rPr>
                <w:color w:val="1A1A1A"/>
                <w:sz w:val="16"/>
              </w:rPr>
              <w:t>Provincial employer health taxes in some provinces: check</w:t>
            </w:r>
          </w:p>
        </w:tc>
        <w:tc>
          <w:tcPr>
            <w:tcW w:type="dxa" w:w="1829"/>
          </w:tcPr>
          <w:p>
            <w:pPr>
              <w:spacing w:before="0" w:after="0" w:line="240" w:lineRule="auto"/>
            </w:pPr>
            <w:r>
              <w:rPr>
                <w:color w:val="1A1A1A"/>
                <w:sz w:val="16"/>
              </w:rPr>
              <w:t>State payroll tax above a state threshold: check your state revenue office</w:t>
            </w:r>
          </w:p>
        </w:tc>
      </w:tr>
      <w:tr>
        <w:trPr>
          <w:cantSplit/>
        </w:trPr>
        <w:tc>
          <w:tcPr>
            <w:tcW w:type="dxa" w:w="1656"/>
            <w:shd w:val="clear" w:color="auto" w:fill="F3EBD8"/>
          </w:tcPr>
          <w:p>
            <w:pPr>
              <w:spacing w:before="0" w:after="0" w:line="240" w:lineRule="auto"/>
            </w:pPr>
            <w:r>
              <w:rPr>
                <w:b/>
                <w:color w:val="1A1A1A"/>
                <w:sz w:val="16"/>
              </w:rPr>
              <w:t>Injury cover</w:t>
            </w:r>
          </w:p>
        </w:tc>
        <w:tc>
          <w:tcPr>
            <w:tcW w:type="dxa" w:w="1800"/>
            <w:shd w:val="clear" w:color="auto" w:fill="FAF7F0"/>
          </w:tcPr>
          <w:p>
            <w:pPr>
              <w:spacing w:before="0" w:after="0" w:line="240" w:lineRule="auto"/>
            </w:pPr>
            <w:r>
              <w:rPr>
                <w:color w:val="1A1A1A"/>
                <w:sz w:val="16"/>
              </w:rPr>
              <w:t>Workers' compensation insurance (state rules)</w:t>
            </w:r>
          </w:p>
        </w:tc>
        <w:tc>
          <w:tcPr>
            <w:tcW w:type="dxa" w:w="1915"/>
            <w:shd w:val="clear" w:color="auto" w:fill="FAF7F0"/>
          </w:tcPr>
          <w:p>
            <w:pPr>
              <w:spacing w:before="0" w:after="0" w:line="240" w:lineRule="auto"/>
            </w:pPr>
            <w:r>
              <w:rPr>
                <w:color w:val="1A1A1A"/>
                <w:sz w:val="16"/>
              </w:rPr>
              <w:t>Employers' liability insurance from your first employee, at least 5 million pounds of cover</w:t>
            </w:r>
          </w:p>
        </w:tc>
        <w:tc>
          <w:tcPr>
            <w:tcW w:type="dxa" w:w="1915"/>
            <w:shd w:val="clear" w:color="auto" w:fill="FAF7F0"/>
          </w:tcPr>
          <w:p>
            <w:pPr>
              <w:spacing w:before="0" w:after="0" w:line="240" w:lineRule="auto"/>
            </w:pPr>
            <w:r>
              <w:rPr>
                <w:color w:val="1A1A1A"/>
                <w:sz w:val="16"/>
              </w:rPr>
              <w:t>Provincial workers' compensation board</w:t>
            </w:r>
          </w:p>
        </w:tc>
        <w:tc>
          <w:tcPr>
            <w:tcW w:type="dxa" w:w="1829"/>
            <w:shd w:val="clear" w:color="auto" w:fill="FAF7F0"/>
          </w:tcPr>
          <w:p>
            <w:pPr>
              <w:spacing w:before="0" w:after="0" w:line="240" w:lineRule="auto"/>
            </w:pPr>
            <w:r>
              <w:rPr>
                <w:color w:val="1A1A1A"/>
                <w:sz w:val="16"/>
              </w:rPr>
              <w:t>Workers' compensation insurance (state scheme)</w:t>
            </w:r>
          </w:p>
        </w:tc>
      </w:tr>
    </w:tbl>
    <w:p>
      <w:pPr>
        <w:spacing w:after="40"/>
      </w:pPr>
    </w:p>
    <w:p>
      <w:pPr>
        <w:spacing w:line="288" w:lineRule="auto"/>
      </w:pPr>
      <w:r>
        <w:rPr>
          <w:b/>
        </w:rPr>
        <w:t>How to fill the kit:</w:t>
      </w:r>
      <w:r>
        <w:t xml:space="preserve"> add up the employer percentages that apply to you and enter the total in the employer cost cell. Where a cost is a fixed amount per employee or stops at a wage cap, treat the cell as an estimate and let your payroll provider confirm it.</w:t>
      </w:r>
    </w:p>
    <w:p>
      <w:pPr>
        <w:pStyle w:val="Heading2"/>
        <w:spacing w:before="280"/>
      </w:pPr>
      <w:r>
        <w:t>Minimum wage: where to look, not what to type</w:t>
      </w:r>
    </w:p>
    <w:p>
      <w:pPr>
        <w:pStyle w:val="ListBullet"/>
        <w:spacing w:after="60" w:line="264" w:lineRule="auto"/>
      </w:pPr>
      <w:r>
        <w:rPr>
          <w:b/>
        </w:rPr>
        <w:t>US:</w:t>
      </w:r>
      <w:r>
        <w:t xml:space="preserve"> federal, state and sometimes city minimum wages all apply, and the employee gets the highest. Tipped-wage rules also vary by state. Check the Department of Labor's state table.</w:t>
      </w:r>
    </w:p>
    <w:p>
      <w:pPr>
        <w:pStyle w:val="ListBullet"/>
        <w:spacing w:after="60" w:line="264" w:lineRule="auto"/>
      </w:pPr>
      <w:r>
        <w:rPr>
          <w:b/>
        </w:rPr>
        <w:t>UK:</w:t>
      </w:r>
      <w:r>
        <w:t xml:space="preserve"> the rate depends on the worker's age band and changes every April. Check the National Minimum Wage rates page on gov.uk.</w:t>
      </w:r>
    </w:p>
    <w:p>
      <w:pPr>
        <w:pStyle w:val="ListBullet"/>
        <w:spacing w:after="60" w:line="264" w:lineRule="auto"/>
      </w:pPr>
      <w:r>
        <w:rPr>
          <w:b/>
        </w:rPr>
        <w:t>Canada:</w:t>
      </w:r>
      <w:r>
        <w:t xml:space="preserve"> each province and territory sets its own rate. Check your province's employment standards office.</w:t>
      </w:r>
    </w:p>
    <w:p>
      <w:pPr>
        <w:pStyle w:val="ListBullet"/>
        <w:spacing w:after="60" w:line="264" w:lineRule="auto"/>
      </w:pPr>
      <w:r>
        <w:rPr>
          <w:b/>
        </w:rPr>
        <w:t>Australia:</w:t>
      </w:r>
      <w:r>
        <w:t xml:space="preserve"> the minimum for a cook, server or kitchen hand is the rate for their classification in the Hospitality Industry (General) Award, updated every July 1. Check the Fair Work Ombudsman.</w:t>
      </w:r>
    </w:p>
    <w:p>
      <w:pPr>
        <w:pStyle w:val="Heading1"/>
        <w:keepNext/>
        <w:pageBreakBefore w:val="0"/>
        <w:spacing w:before="440"/>
      </w:pPr>
      <w:r>
        <w:t>7. Alcohol</w:t>
      </w:r>
    </w:p>
    <w:p>
      <w:pPr>
        <w:keepNext/>
      </w:pPr>
      <w:r>
        <w:rPr>
          <w:color w:val="C6A664"/>
          <w:sz w:val="16"/>
        </w:rPr>
        <w:t>━━━━━━━━━━━━━━━━━━━━━━━━━━━━━━━━━━━━━━━━━━━━━━━━━━</w:t>
      </w:r>
    </w:p>
    <w:p>
      <w:pPr>
        <w:spacing w:line="288" w:lineRule="auto"/>
      </w:pPr>
      <w:r>
        <w:t>Alcohol is licensed locally in every country, so this section names the system and the certificates, not the fees. The bar, restaurant, catering and mobile bar plans treat the liquor license as a budget line you confirm locally.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655"/>
        <w:gridCol w:w="1800"/>
        <w:gridCol w:w="1915"/>
        <w:gridCol w:w="1915"/>
        <w:gridCol w:w="1828"/>
      </w:tblGrid>
      <w:tr>
        <w:trPr>
          <w:tblHeader w:val="true"/>
          <w:cantSplit/>
        </w:trPr>
        <w:tc>
          <w:tcPr>
            <w:tcW w:type="dxa" w:w="1656"/>
            <w:shd w:val="clear" w:color="auto" w:fill="1A1A1A"/>
          </w:tcPr>
          <w:p>
            <w:pPr>
              <w:spacing w:before="0" w:after="0" w:line="240" w:lineRule="auto"/>
            </w:pPr>
            <w:r>
              <w:rPr>
                <w:b/>
                <w:color w:val="FFFFFF"/>
                <w:sz w:val="16"/>
              </w:rPr>
              <w:t>Topic</w:t>
            </w:r>
          </w:p>
        </w:tc>
        <w:tc>
          <w:tcPr>
            <w:tcW w:type="dxa" w:w="1800"/>
            <w:shd w:val="clear" w:color="auto" w:fill="1A1A1A"/>
          </w:tcPr>
          <w:p>
            <w:pPr>
              <w:spacing w:before="0" w:after="0" w:line="240" w:lineRule="auto"/>
            </w:pPr>
            <w:r>
              <w:rPr>
                <w:b/>
                <w:color w:val="FFFFFF"/>
                <w:sz w:val="16"/>
              </w:rPr>
              <w:t>US</w:t>
            </w:r>
          </w:p>
        </w:tc>
        <w:tc>
          <w:tcPr>
            <w:tcW w:type="dxa" w:w="1915"/>
            <w:shd w:val="clear" w:color="auto" w:fill="1A1A1A"/>
          </w:tcPr>
          <w:p>
            <w:pPr>
              <w:spacing w:before="0" w:after="0" w:line="240" w:lineRule="auto"/>
            </w:pPr>
            <w:r>
              <w:rPr>
                <w:b/>
                <w:color w:val="FFFFFF"/>
                <w:sz w:val="16"/>
              </w:rPr>
              <w:t>UK</w:t>
            </w:r>
          </w:p>
        </w:tc>
        <w:tc>
          <w:tcPr>
            <w:tcW w:type="dxa" w:w="1915"/>
            <w:shd w:val="clear" w:color="auto" w:fill="1A1A1A"/>
          </w:tcPr>
          <w:p>
            <w:pPr>
              <w:spacing w:before="0" w:after="0" w:line="240" w:lineRule="auto"/>
            </w:pPr>
            <w:r>
              <w:rPr>
                <w:b/>
                <w:color w:val="FFFFFF"/>
                <w:sz w:val="16"/>
              </w:rPr>
              <w:t>Canada</w:t>
            </w:r>
          </w:p>
        </w:tc>
        <w:tc>
          <w:tcPr>
            <w:tcW w:type="dxa" w:w="1829"/>
            <w:shd w:val="clear" w:color="auto" w:fill="1A1A1A"/>
          </w:tcPr>
          <w:p>
            <w:pPr>
              <w:spacing w:before="0" w:after="0" w:line="240" w:lineRule="auto"/>
            </w:pPr>
            <w:r>
              <w:rPr>
                <w:b/>
                <w:color w:val="FFFFFF"/>
                <w:sz w:val="16"/>
              </w:rPr>
              <w:t>Australia</w:t>
            </w:r>
          </w:p>
        </w:tc>
      </w:tr>
      <w:tr>
        <w:trPr>
          <w:cantSplit/>
        </w:trPr>
        <w:tc>
          <w:tcPr>
            <w:tcW w:type="dxa" w:w="1656"/>
            <w:shd w:val="clear" w:color="auto" w:fill="F3EBD8"/>
          </w:tcPr>
          <w:p>
            <w:pPr>
              <w:spacing w:before="0" w:after="0" w:line="240" w:lineRule="auto"/>
            </w:pPr>
            <w:r>
              <w:rPr>
                <w:b/>
                <w:color w:val="1A1A1A"/>
                <w:sz w:val="16"/>
              </w:rPr>
              <w:t>License to sell</w:t>
            </w:r>
          </w:p>
        </w:tc>
        <w:tc>
          <w:tcPr>
            <w:tcW w:type="dxa" w:w="1800"/>
          </w:tcPr>
          <w:p>
            <w:pPr>
              <w:spacing w:before="0" w:after="0" w:line="240" w:lineRule="auto"/>
            </w:pPr>
            <w:r>
              <w:rPr>
                <w:color w:val="1A1A1A"/>
                <w:sz w:val="16"/>
              </w:rPr>
              <w:t>State liquor license from the state alcoholic beverage control agency, plus local approvals</w:t>
            </w:r>
          </w:p>
        </w:tc>
        <w:tc>
          <w:tcPr>
            <w:tcW w:type="dxa" w:w="1915"/>
          </w:tcPr>
          <w:p>
            <w:pPr>
              <w:spacing w:before="0" w:after="0" w:line="240" w:lineRule="auto"/>
            </w:pPr>
            <w:r>
              <w:rPr>
                <w:color w:val="1A1A1A"/>
                <w:sz w:val="16"/>
              </w:rPr>
              <w:t>England and Wales: a “premises licence” from the council, and every sale authorized by a “personal licence” holder; the “designated premises supervisor” (DPS) must hold one. Scotland and Northern Ireland have their own systems</w:t>
            </w:r>
          </w:p>
        </w:tc>
        <w:tc>
          <w:tcPr>
            <w:tcW w:type="dxa" w:w="1915"/>
          </w:tcPr>
          <w:p>
            <w:pPr>
              <w:spacing w:before="0" w:after="0" w:line="240" w:lineRule="auto"/>
            </w:pPr>
            <w:r>
              <w:rPr>
                <w:color w:val="1A1A1A"/>
                <w:sz w:val="16"/>
              </w:rPr>
              <w:t>Provincial “liquor licence”: e.g. AGCO in Ontario, LCRB in British Columbia, AGLC in Alberta</w:t>
            </w:r>
          </w:p>
        </w:tc>
        <w:tc>
          <w:tcPr>
            <w:tcW w:type="dxa" w:w="1829"/>
          </w:tcPr>
          <w:p>
            <w:pPr>
              <w:spacing w:before="0" w:after="0" w:line="240" w:lineRule="auto"/>
            </w:pPr>
            <w:r>
              <w:rPr>
                <w:color w:val="1A1A1A"/>
                <w:sz w:val="16"/>
              </w:rPr>
              <w:t>State or territory “liquor licence”: e.g. Liquor &amp; Gaming NSW</w:t>
            </w:r>
          </w:p>
        </w:tc>
      </w:tr>
      <w:tr>
        <w:trPr>
          <w:cantSplit/>
        </w:trPr>
        <w:tc>
          <w:tcPr>
            <w:tcW w:type="dxa" w:w="1656"/>
            <w:shd w:val="clear" w:color="auto" w:fill="F3EBD8"/>
          </w:tcPr>
          <w:p>
            <w:pPr>
              <w:spacing w:before="0" w:after="0" w:line="240" w:lineRule="auto"/>
            </w:pPr>
            <w:r>
              <w:rPr>
                <w:b/>
                <w:color w:val="1A1A1A"/>
                <w:sz w:val="16"/>
              </w:rPr>
              <w:t>Server training</w:t>
            </w:r>
          </w:p>
        </w:tc>
        <w:tc>
          <w:tcPr>
            <w:tcW w:type="dxa" w:w="1800"/>
            <w:shd w:val="clear" w:color="auto" w:fill="FAF7F0"/>
          </w:tcPr>
          <w:p>
            <w:pPr>
              <w:spacing w:before="0" w:after="0" w:line="240" w:lineRule="auto"/>
            </w:pPr>
            <w:r>
              <w:rPr>
                <w:color w:val="1A1A1A"/>
                <w:sz w:val="16"/>
              </w:rPr>
              <w:t>Set by each state. California: RBS certification for on-premises servers and managers within 60 days of hire, valid 3 years. Texas: TABC seller-server certification is not required by state law but gives the employer “safe harbor” protection; valid 2 years. TIPS and ServSafe Alcohol are widely used programs</w:t>
            </w:r>
          </w:p>
        </w:tc>
        <w:tc>
          <w:tcPr>
            <w:tcW w:type="dxa" w:w="1915"/>
            <w:shd w:val="clear" w:color="auto" w:fill="FAF7F0"/>
          </w:tcPr>
          <w:p>
            <w:pPr>
              <w:spacing w:before="0" w:after="0" w:line="240" w:lineRule="auto"/>
            </w:pPr>
            <w:r>
              <w:rPr>
                <w:color w:val="1A1A1A"/>
                <w:sz w:val="16"/>
              </w:rPr>
              <w:t>“Personal licence” holders need an accredited qualification such as the Award for Personal Licence Holders (APLH) Level 2 and must be 18 or over</w:t>
            </w:r>
          </w:p>
        </w:tc>
        <w:tc>
          <w:tcPr>
            <w:tcW w:type="dxa" w:w="1915"/>
            <w:shd w:val="clear" w:color="auto" w:fill="FAF7F0"/>
          </w:tcPr>
          <w:p>
            <w:pPr>
              <w:spacing w:before="0" w:after="0" w:line="240" w:lineRule="auto"/>
            </w:pPr>
            <w:r>
              <w:rPr>
                <w:color w:val="1A1A1A"/>
                <w:sz w:val="16"/>
              </w:rPr>
              <w:t>Ontario: everyone who sells, serves or delivers liquor needs an AGCO-approved certificate (“Smart Serve”). British Columbia: “Serving It Right” for licensees, managers and staff of licensed establishments. Alberta: “ProServe”, check AGLC</w:t>
            </w:r>
          </w:p>
        </w:tc>
        <w:tc>
          <w:tcPr>
            <w:tcW w:type="dxa" w:w="1829"/>
            <w:shd w:val="clear" w:color="auto" w:fill="FAF7F0"/>
          </w:tcPr>
          <w:p>
            <w:pPr>
              <w:spacing w:before="0" w:after="0" w:line="240" w:lineRule="auto"/>
            </w:pPr>
            <w:r>
              <w:rPr>
                <w:color w:val="1A1A1A"/>
                <w:sz w:val="16"/>
              </w:rPr>
              <w:t>“RSA” (Responsible Service of Alcohol). In NSW it is mandatory for anyone who sells, serves or supplies alcohol, with a competency card; other states run their own RSA rules</w:t>
            </w:r>
          </w:p>
        </w:tc>
      </w:tr>
      <w:tr>
        <w:trPr>
          <w:cantSplit/>
        </w:trPr>
        <w:tc>
          <w:tcPr>
            <w:tcW w:type="dxa" w:w="1656"/>
            <w:shd w:val="clear" w:color="auto" w:fill="F3EBD8"/>
          </w:tcPr>
          <w:p>
            <w:pPr>
              <w:spacing w:before="0" w:after="0" w:line="240" w:lineRule="auto"/>
            </w:pPr>
            <w:r>
              <w:rPr>
                <w:b/>
                <w:color w:val="1A1A1A"/>
                <w:sz w:val="16"/>
              </w:rPr>
              <w:t>One-off events</w:t>
            </w:r>
          </w:p>
        </w:tc>
        <w:tc>
          <w:tcPr>
            <w:tcW w:type="dxa" w:w="1800"/>
          </w:tcPr>
          <w:p>
            <w:pPr>
              <w:spacing w:before="0" w:after="0" w:line="240" w:lineRule="auto"/>
            </w:pPr>
            <w:r>
              <w:rPr>
                <w:color w:val="1A1A1A"/>
                <w:sz w:val="16"/>
              </w:rPr>
              <w:t>Special or temporary event permits from the state agency; names and rules vary</w:t>
            </w:r>
          </w:p>
        </w:tc>
        <w:tc>
          <w:tcPr>
            <w:tcW w:type="dxa" w:w="1915"/>
          </w:tcPr>
          <w:p>
            <w:pPr>
              <w:spacing w:before="0" w:after="0" w:line="240" w:lineRule="auto"/>
            </w:pPr>
            <w:r>
              <w:rPr>
                <w:color w:val="1A1A1A"/>
                <w:sz w:val="16"/>
              </w:rPr>
              <w:t>England and Wales: “Temporary Event Notice” (TEN): fewer than 500 people at any time, up to 168 hours, at least 10 clear working days' notice (a late TEN 5); 5 a year, or 50 with a “personal licence”. Scotland and Northern Ireland: check your licensing board</w:t>
            </w:r>
          </w:p>
        </w:tc>
        <w:tc>
          <w:tcPr>
            <w:tcW w:type="dxa" w:w="1915"/>
          </w:tcPr>
          <w:p>
            <w:pPr>
              <w:spacing w:before="0" w:after="0" w:line="240" w:lineRule="auto"/>
            </w:pPr>
            <w:r>
              <w:rPr>
                <w:color w:val="1A1A1A"/>
                <w:sz w:val="16"/>
              </w:rPr>
              <w:t>Ontario: “Special Occasion Permit” (no-sale or sale) through the iAGCO portal. British Columbia: “Special Event Permit”</w:t>
            </w:r>
          </w:p>
        </w:tc>
        <w:tc>
          <w:tcPr>
            <w:tcW w:type="dxa" w:w="1829"/>
          </w:tcPr>
          <w:p>
            <w:pPr>
              <w:spacing w:before="0" w:after="0" w:line="240" w:lineRule="auto"/>
            </w:pPr>
            <w:r>
              <w:rPr>
                <w:color w:val="1A1A1A"/>
                <w:sz w:val="16"/>
              </w:rPr>
              <w:t>NSW: a “limited licence” to sell or supply alcohol at a venue without a “liquor licence”; other states: check</w:t>
            </w:r>
          </w:p>
        </w:tc>
      </w:tr>
      <w:tr>
        <w:trPr>
          <w:cantSplit/>
        </w:trPr>
        <w:tc>
          <w:tcPr>
            <w:tcW w:type="dxa" w:w="1656"/>
            <w:shd w:val="clear" w:color="auto" w:fill="F3EBD8"/>
          </w:tcPr>
          <w:p>
            <w:pPr>
              <w:spacing w:before="0" w:after="0" w:line="240" w:lineRule="auto"/>
            </w:pPr>
            <w:r>
              <w:rPr>
                <w:b/>
                <w:color w:val="1A1A1A"/>
                <w:sz w:val="16"/>
              </w:rPr>
              <w:t>Standard pour and drink</w:t>
            </w:r>
          </w:p>
        </w:tc>
        <w:tc>
          <w:tcPr>
            <w:tcW w:type="dxa" w:w="1800"/>
            <w:shd w:val="clear" w:color="auto" w:fill="FAF7F0"/>
          </w:tcPr>
          <w:p>
            <w:pPr>
              <w:spacing w:before="0" w:after="0" w:line="240" w:lineRule="auto"/>
            </w:pPr>
            <w:r>
              <w:rPr>
                <w:color w:val="1A1A1A"/>
                <w:sz w:val="16"/>
              </w:rPr>
              <w:t>No federal pour size. A US standard drink holds 14 g of alcohol: 12 fl oz of 5% beer, 5 fl oz of 12% wine or 1.5 fl oz of 40% spirits</w:t>
            </w:r>
          </w:p>
        </w:tc>
        <w:tc>
          <w:tcPr>
            <w:tcW w:type="dxa" w:w="1915"/>
            <w:shd w:val="clear" w:color="auto" w:fill="FAF7F0"/>
          </w:tcPr>
          <w:p>
            <w:pPr>
              <w:spacing w:before="0" w:after="0" w:line="240" w:lineRule="auto"/>
            </w:pPr>
            <w:r>
              <w:rPr>
                <w:color w:val="1A1A1A"/>
                <w:sz w:val="16"/>
              </w:rPr>
              <w:t>Gin, rum, vodka and whisky for drinking on the premises only in 25 ml or 35 ml (or multiples); wine by the glass in 125 ml and 175 ml (or multiples); quantities on display</w:t>
            </w:r>
          </w:p>
        </w:tc>
        <w:tc>
          <w:tcPr>
            <w:tcW w:type="dxa" w:w="1915"/>
            <w:shd w:val="clear" w:color="auto" w:fill="FAF7F0"/>
          </w:tcPr>
          <w:p>
            <w:pPr>
              <w:spacing w:before="0" w:after="0" w:line="240" w:lineRule="auto"/>
            </w:pPr>
            <w:r>
              <w:rPr>
                <w:color w:val="1A1A1A"/>
                <w:sz w:val="16"/>
              </w:rPr>
              <w:t>One standard drink: 341 ml of 5% beer, 142 ml of 12% wine or 43 ml (1.5 oz) of 40% spirits. Pour sizes: check your province</w:t>
            </w:r>
          </w:p>
        </w:tc>
        <w:tc>
          <w:tcPr>
            <w:tcW w:type="dxa" w:w="1829"/>
            <w:shd w:val="clear" w:color="auto" w:fill="FAF7F0"/>
          </w:tcPr>
          <w:p>
            <w:pPr>
              <w:spacing w:before="0" w:after="0" w:line="240" w:lineRule="auto"/>
            </w:pPr>
            <w:r>
              <w:rPr>
                <w:color w:val="1A1A1A"/>
                <w:sz w:val="16"/>
              </w:rPr>
              <w:t>Check the national standard drinks guide (health.gov.au) and your state rules</w:t>
            </w:r>
          </w:p>
        </w:tc>
      </w:tr>
    </w:tbl>
    <w:p>
      <w:pPr>
        <w:spacing w:after="40"/>
      </w:pP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Bars and mobile bars that serve the host's alcohol.</w:t>
            </w:r>
            <w:r>
              <w:rPr>
                <w:sz w:val="19"/>
              </w:rPr>
              <w:t xml:space="preserve"> Whether you need a license when the client buys the alcohol and you bring the bar, the bartenders and everything else depends on the state or province, and any charge for drinks (a cash bar, drink tickets, a ticket that includes drinks) usually counts as a sale. Check with your licensing authority before you quote the event.</w:t>
            </w:r>
          </w:p>
        </w:tc>
      </w:tr>
    </w:tbl>
    <w:p>
      <w:pPr>
        <w:spacing w:after="40"/>
      </w:pPr>
    </w:p>
    <w:p>
      <w:pPr>
        <w:spacing w:line="288" w:lineRule="auto"/>
      </w:pPr>
      <w:r>
        <w:rPr>
          <w:b/>
        </w:rPr>
        <w:t>In the kits:</w:t>
      </w:r>
      <w:r>
        <w:t xml:space="preserve"> the Staff Scheduling Kit has a column to track alcohol server certificates and their expiry dates (TIPS, TABC, RBS, Smart Serve, Serving It Right or RSA), and the bar and catering plans keep the license and permit costs as editable lines.</w:t>
      </w:r>
    </w:p>
    <w:p>
      <w:pPr>
        <w:pStyle w:val="Heading1"/>
        <w:keepNext/>
        <w:pageBreakBefore w:val="0"/>
        <w:spacing w:before="440"/>
      </w:pPr>
      <w:r>
        <w:t>8. Business Setup</w:t>
      </w:r>
    </w:p>
    <w:p>
      <w:pPr>
        <w:keepNext/>
      </w:pPr>
      <w:r>
        <w:rPr>
          <w:color w:val="C6A664"/>
          <w:sz w:val="16"/>
        </w:rPr>
        <w:t>━━━━━━━━━━━━━━━━━━━━━━━━━━━━━━━━━━━━━━━━━━━━━━━━━━</w:t>
      </w:r>
    </w:p>
    <w:p>
      <w:pPr>
        <w:spacing w:line="288" w:lineRule="auto"/>
      </w:pPr>
      <w:r>
        <w:t>The business plans assume a US LLC or sole proprietor with an EIN. These are the nearest equivalents elsewhere. Choose the structure with an accountant: liability, tax and the cost of running each form are different.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655"/>
        <w:gridCol w:w="1800"/>
        <w:gridCol w:w="1915"/>
        <w:gridCol w:w="1915"/>
        <w:gridCol w:w="1828"/>
      </w:tblGrid>
      <w:tr>
        <w:trPr>
          <w:tblHeader w:val="true"/>
          <w:cantSplit/>
        </w:trPr>
        <w:tc>
          <w:tcPr>
            <w:tcW w:type="dxa" w:w="1656"/>
            <w:shd w:val="clear" w:color="auto" w:fill="1A1A1A"/>
          </w:tcPr>
          <w:p>
            <w:pPr>
              <w:spacing w:before="0" w:after="0" w:line="240" w:lineRule="auto"/>
            </w:pPr>
            <w:r>
              <w:rPr>
                <w:b/>
                <w:color w:val="FFFFFF"/>
                <w:sz w:val="16"/>
              </w:rPr>
              <w:t>Topic</w:t>
            </w:r>
          </w:p>
        </w:tc>
        <w:tc>
          <w:tcPr>
            <w:tcW w:type="dxa" w:w="1800"/>
            <w:shd w:val="clear" w:color="auto" w:fill="1A1A1A"/>
          </w:tcPr>
          <w:p>
            <w:pPr>
              <w:spacing w:before="0" w:after="0" w:line="240" w:lineRule="auto"/>
            </w:pPr>
            <w:r>
              <w:rPr>
                <w:b/>
                <w:color w:val="FFFFFF"/>
                <w:sz w:val="16"/>
              </w:rPr>
              <w:t>US</w:t>
            </w:r>
          </w:p>
        </w:tc>
        <w:tc>
          <w:tcPr>
            <w:tcW w:type="dxa" w:w="1915"/>
            <w:shd w:val="clear" w:color="auto" w:fill="1A1A1A"/>
          </w:tcPr>
          <w:p>
            <w:pPr>
              <w:spacing w:before="0" w:after="0" w:line="240" w:lineRule="auto"/>
            </w:pPr>
            <w:r>
              <w:rPr>
                <w:b/>
                <w:color w:val="FFFFFF"/>
                <w:sz w:val="16"/>
              </w:rPr>
              <w:t>UK</w:t>
            </w:r>
          </w:p>
        </w:tc>
        <w:tc>
          <w:tcPr>
            <w:tcW w:type="dxa" w:w="1915"/>
            <w:shd w:val="clear" w:color="auto" w:fill="1A1A1A"/>
          </w:tcPr>
          <w:p>
            <w:pPr>
              <w:spacing w:before="0" w:after="0" w:line="240" w:lineRule="auto"/>
            </w:pPr>
            <w:r>
              <w:rPr>
                <w:b/>
                <w:color w:val="FFFFFF"/>
                <w:sz w:val="16"/>
              </w:rPr>
              <w:t>Canada</w:t>
            </w:r>
          </w:p>
        </w:tc>
        <w:tc>
          <w:tcPr>
            <w:tcW w:type="dxa" w:w="1829"/>
            <w:shd w:val="clear" w:color="auto" w:fill="1A1A1A"/>
          </w:tcPr>
          <w:p>
            <w:pPr>
              <w:spacing w:before="0" w:after="0" w:line="240" w:lineRule="auto"/>
            </w:pPr>
            <w:r>
              <w:rPr>
                <w:b/>
                <w:color w:val="FFFFFF"/>
                <w:sz w:val="16"/>
              </w:rPr>
              <w:t>Australia</w:t>
            </w:r>
          </w:p>
        </w:tc>
      </w:tr>
      <w:tr>
        <w:trPr>
          <w:cantSplit/>
        </w:trPr>
        <w:tc>
          <w:tcPr>
            <w:tcW w:type="dxa" w:w="1656"/>
            <w:shd w:val="clear" w:color="auto" w:fill="F3EBD8"/>
          </w:tcPr>
          <w:p>
            <w:pPr>
              <w:spacing w:before="0" w:after="0" w:line="240" w:lineRule="auto"/>
            </w:pPr>
            <w:r>
              <w:rPr>
                <w:b/>
                <w:color w:val="1A1A1A"/>
                <w:sz w:val="16"/>
              </w:rPr>
              <w:t>Trading on your own</w:t>
            </w:r>
          </w:p>
        </w:tc>
        <w:tc>
          <w:tcPr>
            <w:tcW w:type="dxa" w:w="1800"/>
          </w:tcPr>
          <w:p>
            <w:pPr>
              <w:spacing w:before="0" w:after="0" w:line="240" w:lineRule="auto"/>
            </w:pPr>
            <w:r>
              <w:rPr>
                <w:color w:val="1A1A1A"/>
                <w:sz w:val="16"/>
              </w:rPr>
              <w:t>“Sole proprietorship”: automatic when you start trading; you are personally liable</w:t>
            </w:r>
          </w:p>
        </w:tc>
        <w:tc>
          <w:tcPr>
            <w:tcW w:type="dxa" w:w="1915"/>
          </w:tcPr>
          <w:p>
            <w:pPr>
              <w:spacing w:before="0" w:after="0" w:line="240" w:lineRule="auto"/>
            </w:pPr>
            <w:r>
              <w:rPr>
                <w:color w:val="1A1A1A"/>
                <w:sz w:val="16"/>
              </w:rPr>
              <w:t>“Sole trader”: register for Self Assessment with HMRC once your earnings pass the set level</w:t>
            </w:r>
          </w:p>
        </w:tc>
        <w:tc>
          <w:tcPr>
            <w:tcW w:type="dxa" w:w="1915"/>
          </w:tcPr>
          <w:p>
            <w:pPr>
              <w:spacing w:before="0" w:after="0" w:line="240" w:lineRule="auto"/>
            </w:pPr>
            <w:r>
              <w:rPr>
                <w:color w:val="1A1A1A"/>
                <w:sz w:val="16"/>
              </w:rPr>
              <w:t>“Sole proprietorship”: you need a business number only when you open program accounts (GST/HST, payroll)</w:t>
            </w:r>
          </w:p>
        </w:tc>
        <w:tc>
          <w:tcPr>
            <w:tcW w:type="dxa" w:w="1829"/>
          </w:tcPr>
          <w:p>
            <w:pPr>
              <w:spacing w:before="0" w:after="0" w:line="240" w:lineRule="auto"/>
            </w:pPr>
            <w:r>
              <w:rPr>
                <w:color w:val="1A1A1A"/>
                <w:sz w:val="16"/>
              </w:rPr>
              <w:t>“Sole trader” with an ABN</w:t>
            </w:r>
          </w:p>
        </w:tc>
      </w:tr>
      <w:tr>
        <w:trPr>
          <w:cantSplit/>
        </w:trPr>
        <w:tc>
          <w:tcPr>
            <w:tcW w:type="dxa" w:w="1656"/>
            <w:shd w:val="clear" w:color="auto" w:fill="F3EBD8"/>
          </w:tcPr>
          <w:p>
            <w:pPr>
              <w:spacing w:before="0" w:after="0" w:line="240" w:lineRule="auto"/>
            </w:pPr>
            <w:r>
              <w:rPr>
                <w:b/>
                <w:color w:val="1A1A1A"/>
                <w:sz w:val="16"/>
              </w:rPr>
              <w:t>Limited company</w:t>
            </w:r>
          </w:p>
        </w:tc>
        <w:tc>
          <w:tcPr>
            <w:tcW w:type="dxa" w:w="1800"/>
            <w:shd w:val="clear" w:color="auto" w:fill="FAF7F0"/>
          </w:tcPr>
          <w:p>
            <w:pPr>
              <w:spacing w:before="0" w:after="0" w:line="240" w:lineRule="auto"/>
            </w:pPr>
            <w:r>
              <w:rPr>
                <w:color w:val="1A1A1A"/>
                <w:sz w:val="16"/>
              </w:rPr>
              <w:t>“LLC”: registered with the state, usually through the Secretary of State; or a corporation</w:t>
            </w:r>
          </w:p>
        </w:tc>
        <w:tc>
          <w:tcPr>
            <w:tcW w:type="dxa" w:w="1915"/>
            <w:shd w:val="clear" w:color="auto" w:fill="FAF7F0"/>
          </w:tcPr>
          <w:p>
            <w:pPr>
              <w:spacing w:before="0" w:after="0" w:line="240" w:lineRule="auto"/>
            </w:pPr>
            <w:r>
              <w:rPr>
                <w:color w:val="1A1A1A"/>
                <w:sz w:val="16"/>
              </w:rPr>
              <w:t>“Limited company” (Ltd): register with Companies House before trading</w:t>
            </w:r>
          </w:p>
        </w:tc>
        <w:tc>
          <w:tcPr>
            <w:tcW w:type="dxa" w:w="1915"/>
            <w:shd w:val="clear" w:color="auto" w:fill="FAF7F0"/>
          </w:tcPr>
          <w:p>
            <w:pPr>
              <w:spacing w:before="0" w:after="0" w:line="240" w:lineRule="auto"/>
            </w:pPr>
            <w:r>
              <w:rPr>
                <w:color w:val="1A1A1A"/>
                <w:sz w:val="16"/>
              </w:rPr>
              <w:t>“Corporation”, federal or provincial; federal incorporation issues a business number automatically</w:t>
            </w:r>
          </w:p>
        </w:tc>
        <w:tc>
          <w:tcPr>
            <w:tcW w:type="dxa" w:w="1829"/>
            <w:shd w:val="clear" w:color="auto" w:fill="FAF7F0"/>
          </w:tcPr>
          <w:p>
            <w:pPr>
              <w:spacing w:before="0" w:after="0" w:line="240" w:lineRule="auto"/>
            </w:pPr>
            <w:r>
              <w:rPr>
                <w:color w:val="1A1A1A"/>
                <w:sz w:val="16"/>
              </w:rPr>
              <w:t>“Company” (“Pty Ltd”) registered with ASIC, which issues a 9-digit Australian Company Number (ACN)</w:t>
            </w:r>
          </w:p>
        </w:tc>
      </w:tr>
      <w:tr>
        <w:trPr>
          <w:cantSplit/>
        </w:trPr>
        <w:tc>
          <w:tcPr>
            <w:tcW w:type="dxa" w:w="1656"/>
            <w:shd w:val="clear" w:color="auto" w:fill="F3EBD8"/>
          </w:tcPr>
          <w:p>
            <w:pPr>
              <w:spacing w:before="0" w:after="0" w:line="240" w:lineRule="auto"/>
            </w:pPr>
            <w:r>
              <w:rPr>
                <w:b/>
                <w:color w:val="1A1A1A"/>
                <w:sz w:val="16"/>
              </w:rPr>
              <w:t>Business tax number</w:t>
            </w:r>
          </w:p>
        </w:tc>
        <w:tc>
          <w:tcPr>
            <w:tcW w:type="dxa" w:w="1800"/>
          </w:tcPr>
          <w:p>
            <w:pPr>
              <w:spacing w:before="0" w:after="0" w:line="240" w:lineRule="auto"/>
            </w:pPr>
            <w:r>
              <w:rPr>
                <w:color w:val="1A1A1A"/>
                <w:sz w:val="16"/>
              </w:rPr>
              <w:t>EIN from the IRS, free; needed if you hire staff, form a partnership or corporation, or pay certain taxes</w:t>
            </w:r>
          </w:p>
        </w:tc>
        <w:tc>
          <w:tcPr>
            <w:tcW w:type="dxa" w:w="1915"/>
          </w:tcPr>
          <w:p>
            <w:pPr>
              <w:spacing w:before="0" w:after="0" w:line="240" w:lineRule="auto"/>
            </w:pPr>
            <w:r>
              <w:rPr>
                <w:color w:val="1A1A1A"/>
                <w:sz w:val="16"/>
              </w:rPr>
              <w:t>“UTR” from HMRC when you register for Self Assessment or set up a limited company; VAT number once VAT-registered; PAYE reference once you employ staff</w:t>
            </w:r>
          </w:p>
        </w:tc>
        <w:tc>
          <w:tcPr>
            <w:tcW w:type="dxa" w:w="1915"/>
          </w:tcPr>
          <w:p>
            <w:pPr>
              <w:spacing w:before="0" w:after="0" w:line="240" w:lineRule="auto"/>
            </w:pPr>
            <w:r>
              <w:rPr>
                <w:color w:val="1A1A1A"/>
                <w:sz w:val="16"/>
              </w:rPr>
              <w:t>Business number (BN) from the CRA</w:t>
            </w:r>
          </w:p>
        </w:tc>
        <w:tc>
          <w:tcPr>
            <w:tcW w:type="dxa" w:w="1829"/>
          </w:tcPr>
          <w:p>
            <w:pPr>
              <w:spacing w:before="0" w:after="0" w:line="240" w:lineRule="auto"/>
            </w:pPr>
            <w:r>
              <w:rPr>
                <w:color w:val="1A1A1A"/>
                <w:sz w:val="16"/>
              </w:rPr>
              <w:t>ABN: an 11-digit number, free from the Australian Business Register</w:t>
            </w:r>
          </w:p>
        </w:tc>
      </w:tr>
      <w:tr>
        <w:trPr>
          <w:cantSplit/>
        </w:trPr>
        <w:tc>
          <w:tcPr>
            <w:tcW w:type="dxa" w:w="1656"/>
            <w:shd w:val="clear" w:color="auto" w:fill="F3EBD8"/>
          </w:tcPr>
          <w:p>
            <w:pPr>
              <w:spacing w:before="0" w:after="0" w:line="240" w:lineRule="auto"/>
            </w:pPr>
            <w:r>
              <w:rPr>
                <w:b/>
                <w:color w:val="1A1A1A"/>
                <w:sz w:val="16"/>
              </w:rPr>
              <w:t>Sales tax registration</w:t>
            </w:r>
          </w:p>
        </w:tc>
        <w:tc>
          <w:tcPr>
            <w:tcW w:type="dxa" w:w="1800"/>
            <w:shd w:val="clear" w:color="auto" w:fill="FAF7F0"/>
          </w:tcPr>
          <w:p>
            <w:pPr>
              <w:spacing w:before="0" w:after="0" w:line="240" w:lineRule="auto"/>
            </w:pPr>
            <w:r>
              <w:rPr>
                <w:color w:val="1A1A1A"/>
                <w:sz w:val="16"/>
              </w:rPr>
              <w:t>State sales tax permit</w:t>
            </w:r>
          </w:p>
        </w:tc>
        <w:tc>
          <w:tcPr>
            <w:tcW w:type="dxa" w:w="1915"/>
            <w:shd w:val="clear" w:color="auto" w:fill="FAF7F0"/>
          </w:tcPr>
          <w:p>
            <w:pPr>
              <w:spacing w:before="0" w:after="0" w:line="240" w:lineRule="auto"/>
            </w:pPr>
            <w:r>
              <w:rPr>
                <w:color w:val="1A1A1A"/>
                <w:sz w:val="16"/>
              </w:rPr>
              <w:t>VAT registration (threshold on gov.uk)</w:t>
            </w:r>
          </w:p>
        </w:tc>
        <w:tc>
          <w:tcPr>
            <w:tcW w:type="dxa" w:w="1915"/>
            <w:shd w:val="clear" w:color="auto" w:fill="FAF7F0"/>
          </w:tcPr>
          <w:p>
            <w:pPr>
              <w:spacing w:before="0" w:after="0" w:line="240" w:lineRule="auto"/>
            </w:pPr>
            <w:r>
              <w:rPr>
                <w:color w:val="1A1A1A"/>
                <w:sz w:val="16"/>
              </w:rPr>
              <w:t>GST/HST account under the BN</w:t>
            </w:r>
          </w:p>
        </w:tc>
        <w:tc>
          <w:tcPr>
            <w:tcW w:type="dxa" w:w="1829"/>
            <w:shd w:val="clear" w:color="auto" w:fill="FAF7F0"/>
          </w:tcPr>
          <w:p>
            <w:pPr>
              <w:spacing w:before="0" w:after="0" w:line="240" w:lineRule="auto"/>
            </w:pPr>
            <w:r>
              <w:rPr>
                <w:color w:val="1A1A1A"/>
                <w:sz w:val="16"/>
              </w:rPr>
              <w:t>GST registration (threshold on business.gov.au)</w:t>
            </w:r>
          </w:p>
        </w:tc>
      </w:tr>
      <w:tr>
        <w:trPr>
          <w:cantSplit/>
        </w:trPr>
        <w:tc>
          <w:tcPr>
            <w:tcW w:type="dxa" w:w="1656"/>
            <w:shd w:val="clear" w:color="auto" w:fill="F3EBD8"/>
          </w:tcPr>
          <w:p>
            <w:pPr>
              <w:spacing w:before="0" w:after="0" w:line="240" w:lineRule="auto"/>
            </w:pPr>
            <w:r>
              <w:rPr>
                <w:b/>
                <w:color w:val="1A1A1A"/>
                <w:sz w:val="16"/>
              </w:rPr>
              <w:t>Becoming an employer</w:t>
            </w:r>
          </w:p>
        </w:tc>
        <w:tc>
          <w:tcPr>
            <w:tcW w:type="dxa" w:w="1800"/>
          </w:tcPr>
          <w:p>
            <w:pPr>
              <w:spacing w:before="0" w:after="0" w:line="240" w:lineRule="auto"/>
            </w:pPr>
            <w:r>
              <w:rPr>
                <w:color w:val="1A1A1A"/>
                <w:sz w:val="16"/>
              </w:rPr>
              <w:t>Register with your state for unemployment tax and withholding; workers' comp</w:t>
            </w:r>
          </w:p>
        </w:tc>
        <w:tc>
          <w:tcPr>
            <w:tcW w:type="dxa" w:w="1915"/>
          </w:tcPr>
          <w:p>
            <w:pPr>
              <w:spacing w:before="0" w:after="0" w:line="240" w:lineRule="auto"/>
            </w:pPr>
            <w:r>
              <w:rPr>
                <w:color w:val="1A1A1A"/>
                <w:sz w:val="16"/>
              </w:rPr>
              <w:t>Register as an employer with HMRC and set up PAYE; employers' liability insurance; workplace pension</w:t>
            </w:r>
          </w:p>
        </w:tc>
        <w:tc>
          <w:tcPr>
            <w:tcW w:type="dxa" w:w="1915"/>
          </w:tcPr>
          <w:p>
            <w:pPr>
              <w:spacing w:before="0" w:after="0" w:line="240" w:lineRule="auto"/>
            </w:pPr>
            <w:r>
              <w:rPr>
                <w:color w:val="1A1A1A"/>
                <w:sz w:val="16"/>
              </w:rPr>
              <w:t>Payroll account with the CRA; provincial workers' compensation</w:t>
            </w:r>
          </w:p>
        </w:tc>
        <w:tc>
          <w:tcPr>
            <w:tcW w:type="dxa" w:w="1829"/>
          </w:tcPr>
          <w:p>
            <w:pPr>
              <w:spacing w:before="0" w:after="0" w:line="240" w:lineRule="auto"/>
            </w:pPr>
            <w:r>
              <w:rPr>
                <w:color w:val="1A1A1A"/>
                <w:sz w:val="16"/>
              </w:rPr>
              <w:t>PAYG withholding registration with the ATO; super; workers' compensation</w:t>
            </w:r>
          </w:p>
        </w:tc>
      </w:tr>
      <w:tr>
        <w:trPr>
          <w:cantSplit/>
        </w:trPr>
        <w:tc>
          <w:tcPr>
            <w:tcW w:type="dxa" w:w="1656"/>
            <w:shd w:val="clear" w:color="auto" w:fill="F3EBD8"/>
          </w:tcPr>
          <w:p>
            <w:pPr>
              <w:spacing w:before="0" w:after="0" w:line="240" w:lineRule="auto"/>
            </w:pPr>
            <w:r>
              <w:rPr>
                <w:b/>
                <w:color w:val="1A1A1A"/>
                <w:sz w:val="16"/>
              </w:rPr>
              <w:t>Food business</w:t>
            </w:r>
          </w:p>
        </w:tc>
        <w:tc>
          <w:tcPr>
            <w:tcW w:type="dxa" w:w="1800"/>
            <w:shd w:val="clear" w:color="auto" w:fill="FAF7F0"/>
          </w:tcPr>
          <w:p>
            <w:pPr>
              <w:spacing w:before="0" w:after="0" w:line="240" w:lineRule="auto"/>
            </w:pPr>
            <w:r>
              <w:rPr>
                <w:color w:val="1A1A1A"/>
                <w:sz w:val="16"/>
              </w:rPr>
              <w:t>Health permit from the state or local health department</w:t>
            </w:r>
          </w:p>
        </w:tc>
        <w:tc>
          <w:tcPr>
            <w:tcW w:type="dxa" w:w="1915"/>
            <w:shd w:val="clear" w:color="auto" w:fill="FAF7F0"/>
          </w:tcPr>
          <w:p>
            <w:pPr>
              <w:spacing w:before="0" w:after="0" w:line="240" w:lineRule="auto"/>
            </w:pPr>
            <w:r>
              <w:rPr>
                <w:color w:val="1A1A1A"/>
                <w:sz w:val="16"/>
              </w:rPr>
              <w:t>Register with the council at least 28 days before trading</w:t>
            </w:r>
          </w:p>
        </w:tc>
        <w:tc>
          <w:tcPr>
            <w:tcW w:type="dxa" w:w="1915"/>
            <w:shd w:val="clear" w:color="auto" w:fill="FAF7F0"/>
          </w:tcPr>
          <w:p>
            <w:pPr>
              <w:spacing w:before="0" w:after="0" w:line="240" w:lineRule="auto"/>
            </w:pPr>
            <w:r>
              <w:rPr>
                <w:color w:val="1A1A1A"/>
                <w:sz w:val="16"/>
              </w:rPr>
              <w:t>Permit or approval from the local public health unit</w:t>
            </w:r>
          </w:p>
        </w:tc>
        <w:tc>
          <w:tcPr>
            <w:tcW w:type="dxa" w:w="1829"/>
            <w:shd w:val="clear" w:color="auto" w:fill="FAF7F0"/>
          </w:tcPr>
          <w:p>
            <w:pPr>
              <w:spacing w:before="0" w:after="0" w:line="240" w:lineRule="auto"/>
            </w:pPr>
            <w:r>
              <w:rPr>
                <w:color w:val="1A1A1A"/>
                <w:sz w:val="16"/>
              </w:rPr>
              <w:t>Register or notify the local council</w:t>
            </w:r>
          </w:p>
        </w:tc>
      </w:tr>
    </w:tbl>
    <w:p>
      <w:pPr>
        <w:spacing w:after="40"/>
      </w:pPr>
    </w:p>
    <w:p>
      <w:pPr>
        <w:spacing w:line="288" w:lineRule="auto"/>
      </w:pPr>
      <w:r>
        <w:rPr>
          <w:b/>
        </w:rPr>
        <w:t>In the kits:</w:t>
      </w:r>
      <w:r>
        <w:t xml:space="preserve"> the opening checklists list US steps in order. Keep the order (structure, tax number, sales tax registration, food permit, alcohol, employer registration, insurance) and swap each US step for the line in this table.</w:t>
      </w:r>
    </w:p>
    <w:p>
      <w:pPr>
        <w:pStyle w:val="Heading1"/>
        <w:keepNext/>
        <w:pageBreakBefore w:val="0"/>
        <w:spacing w:before="440"/>
      </w:pPr>
      <w:r>
        <w:t>9. Units Cheat Sheet</w:t>
      </w:r>
    </w:p>
    <w:p>
      <w:pPr>
        <w:keepNext/>
      </w:pPr>
      <w:r>
        <w:rPr>
          <w:color w:val="C6A664"/>
          <w:sz w:val="16"/>
        </w:rPr>
        <w:t>━━━━━━━━━━━━━━━━━━━━━━━━━━━━━━━━━━━━━━━━━━━━━━━━━━</w:t>
      </w:r>
    </w:p>
    <w:p>
      <w:pPr>
        <w:spacing w:line="288" w:lineRule="auto"/>
      </w:pPr>
      <w:r>
        <w:t>The kits accept metric units next to US ones, but a few traps catch everyone: an ounce of weight is not a fluid ounce, and US pints and gallons are smaller than imperial ones. The factors below come from NIST Handbook 44, Appendix C, rounded where needed.</w:t>
      </w:r>
    </w:p>
    <w:p>
      <w:pPr>
        <w:pStyle w:val="Heading2"/>
        <w:spacing w:before="280"/>
      </w:pPr>
      <w:r>
        <w:t>Formulas</w:t>
      </w:r>
    </w:p>
    <w:p>
      <w:pPr>
        <w:pStyle w:val="ListBullet"/>
        <w:spacing w:after="60" w:line="264" w:lineRule="auto"/>
      </w:pPr>
      <w:r>
        <w:rPr>
          <w:b/>
        </w:rPr>
        <w:t>Temperature:</w:t>
      </w:r>
      <w:r>
        <w:t xml:space="preserve"> °C = (°F − 32) × 5 ÷ 9 · °F = °C × 9 ÷ 5 + 32</w:t>
      </w:r>
    </w:p>
    <w:p>
      <w:pPr>
        <w:pStyle w:val="ListBullet"/>
        <w:spacing w:after="60" w:line="264" w:lineRule="auto"/>
      </w:pPr>
      <w:r>
        <w:rPr>
          <w:b/>
        </w:rPr>
        <w:t>Weight:</w:t>
      </w:r>
      <w:r>
        <w:t xml:space="preserve"> 1 oz = 28.349523125 g · 1 lb = 16 oz = 453.59237 g = 0.45359237 kg · 1 kg = 2.2046 lb</w:t>
      </w:r>
    </w:p>
    <w:p>
      <w:pPr>
        <w:pStyle w:val="ListBullet"/>
        <w:spacing w:after="60" w:line="264" w:lineRule="auto"/>
      </w:pPr>
      <w:r>
        <w:rPr>
          <w:b/>
        </w:rPr>
        <w:t>US volume:</w:t>
      </w:r>
      <w:r>
        <w:t xml:space="preserve"> 1 US fl oz = 29.5735 ml · 1 cup = 8 fl oz (about 237 ml) · 1 US pint = 16 fl oz (473 ml) · 1 US gallon = 128 fl oz = 3.785411784 L</w:t>
      </w:r>
    </w:p>
    <w:p>
      <w:pPr>
        <w:pStyle w:val="ListBullet"/>
        <w:spacing w:after="60" w:line="264" w:lineRule="auto"/>
      </w:pPr>
      <w:r>
        <w:rPr>
          <w:b/>
        </w:rPr>
        <w:t>Imperial volume (UK):</w:t>
      </w:r>
      <w:r>
        <w:t xml:space="preserve"> 1 imperial gallon = 160 imperial fl oz (4.546 L) · 1 imperial pint = 20 imperial fl oz (568 ml) · 1 imperial fl oz = 28.41 ml</w:t>
      </w:r>
    </w:p>
    <w:p>
      <w:pPr>
        <w:pStyle w:val="ListBullet"/>
        <w:spacing w:after="60" w:line="264" w:lineRule="auto"/>
      </w:pPr>
      <w:r>
        <w:rPr>
          <w:b/>
        </w:rPr>
        <w:t>Spoons:</w:t>
      </w:r>
      <w:r>
        <w:t xml:space="preserve"> 1 US tablespoon = 3 teaspoons (half a US fl oz, 14.79 ml) · 1 teaspoon about 5 ml. An Australian tablespoon is 20 ml (4 teaspoons) and an Australian metric cup is 250 ml: the kit's “tbsp” and “cup” are US measures, so type Australian measures in ml.</w:t>
      </w:r>
    </w:p>
    <w:p>
      <w:pPr>
        <w:pStyle w:val="ListBullet"/>
        <w:spacing w:after="60" w:line="264" w:lineRule="auto"/>
      </w:pPr>
      <w:r>
        <w:rPr>
          <w:b/>
        </w:rPr>
        <w:t>Area:</w:t>
      </w:r>
      <w:r>
        <w:t xml:space="preserve"> 1 sq ft = 0.09290304 m² · 1 m² = 10.764 sq ft · </w:t>
      </w:r>
      <w:r>
        <w:rPr>
          <w:b/>
        </w:rPr>
        <w:t>Distance:</w:t>
      </w:r>
      <w:r>
        <w:t xml:space="preserve"> 1 mile = 1.609344 km · 1 km = 0.6214 mile</w:t>
      </w:r>
    </w:p>
    <w:p>
      <w:pPr>
        <w:pStyle w:val="Heading2"/>
        <w:spacing w:before="280"/>
      </w:pPr>
      <w:r>
        <w:t>Which units each country uses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655"/>
        <w:gridCol w:w="1800"/>
        <w:gridCol w:w="1915"/>
        <w:gridCol w:w="1915"/>
        <w:gridCol w:w="1828"/>
      </w:tblGrid>
      <w:tr>
        <w:trPr>
          <w:tblHeader w:val="true"/>
          <w:cantSplit/>
        </w:trPr>
        <w:tc>
          <w:tcPr>
            <w:tcW w:type="dxa" w:w="1656"/>
            <w:shd w:val="clear" w:color="auto" w:fill="1A1A1A"/>
          </w:tcPr>
          <w:p>
            <w:pPr>
              <w:spacing w:before="0" w:after="0" w:line="240" w:lineRule="auto"/>
            </w:pPr>
            <w:r>
              <w:rPr>
                <w:b/>
                <w:color w:val="FFFFFF"/>
                <w:sz w:val="16"/>
              </w:rPr>
              <w:t>Measure</w:t>
            </w:r>
          </w:p>
        </w:tc>
        <w:tc>
          <w:tcPr>
            <w:tcW w:type="dxa" w:w="1800"/>
            <w:shd w:val="clear" w:color="auto" w:fill="1A1A1A"/>
          </w:tcPr>
          <w:p>
            <w:pPr>
              <w:spacing w:before="0" w:after="0" w:line="240" w:lineRule="auto"/>
            </w:pPr>
            <w:r>
              <w:rPr>
                <w:b/>
                <w:color w:val="FFFFFF"/>
                <w:sz w:val="16"/>
              </w:rPr>
              <w:t>US</w:t>
            </w:r>
          </w:p>
        </w:tc>
        <w:tc>
          <w:tcPr>
            <w:tcW w:type="dxa" w:w="1915"/>
            <w:shd w:val="clear" w:color="auto" w:fill="1A1A1A"/>
          </w:tcPr>
          <w:p>
            <w:pPr>
              <w:spacing w:before="0" w:after="0" w:line="240" w:lineRule="auto"/>
            </w:pPr>
            <w:r>
              <w:rPr>
                <w:b/>
                <w:color w:val="FFFFFF"/>
                <w:sz w:val="16"/>
              </w:rPr>
              <w:t>UK</w:t>
            </w:r>
          </w:p>
        </w:tc>
        <w:tc>
          <w:tcPr>
            <w:tcW w:type="dxa" w:w="1915"/>
            <w:shd w:val="clear" w:color="auto" w:fill="1A1A1A"/>
          </w:tcPr>
          <w:p>
            <w:pPr>
              <w:spacing w:before="0" w:after="0" w:line="240" w:lineRule="auto"/>
            </w:pPr>
            <w:r>
              <w:rPr>
                <w:b/>
                <w:color w:val="FFFFFF"/>
                <w:sz w:val="16"/>
              </w:rPr>
              <w:t>Canada</w:t>
            </w:r>
          </w:p>
        </w:tc>
        <w:tc>
          <w:tcPr>
            <w:tcW w:type="dxa" w:w="1829"/>
            <w:shd w:val="clear" w:color="auto" w:fill="1A1A1A"/>
          </w:tcPr>
          <w:p>
            <w:pPr>
              <w:spacing w:before="0" w:after="0" w:line="240" w:lineRule="auto"/>
            </w:pPr>
            <w:r>
              <w:rPr>
                <w:b/>
                <w:color w:val="FFFFFF"/>
                <w:sz w:val="16"/>
              </w:rPr>
              <w:t>Australia</w:t>
            </w:r>
          </w:p>
        </w:tc>
      </w:tr>
      <w:tr>
        <w:trPr>
          <w:cantSplit/>
        </w:trPr>
        <w:tc>
          <w:tcPr>
            <w:tcW w:type="dxa" w:w="1656"/>
            <w:shd w:val="clear" w:color="auto" w:fill="F3EBD8"/>
          </w:tcPr>
          <w:p>
            <w:pPr>
              <w:spacing w:before="0" w:after="0" w:line="240" w:lineRule="auto"/>
            </w:pPr>
            <w:r>
              <w:rPr>
                <w:b/>
                <w:color w:val="1A1A1A"/>
                <w:sz w:val="16"/>
              </w:rPr>
              <w:t>Kitchen weights</w:t>
            </w:r>
          </w:p>
        </w:tc>
        <w:tc>
          <w:tcPr>
            <w:tcW w:type="dxa" w:w="1800"/>
          </w:tcPr>
          <w:p>
            <w:pPr>
              <w:spacing w:before="0" w:after="0" w:line="240" w:lineRule="auto"/>
            </w:pPr>
            <w:r>
              <w:rPr>
                <w:color w:val="1A1A1A"/>
                <w:sz w:val="16"/>
              </w:rPr>
              <w:t>lb, oz</w:t>
            </w:r>
          </w:p>
        </w:tc>
        <w:tc>
          <w:tcPr>
            <w:tcW w:type="dxa" w:w="1915"/>
          </w:tcPr>
          <w:p>
            <w:pPr>
              <w:spacing w:before="0" w:after="0" w:line="240" w:lineRule="auto"/>
            </w:pPr>
            <w:r>
              <w:rPr>
                <w:color w:val="1A1A1A"/>
                <w:sz w:val="16"/>
              </w:rPr>
              <w:t>g, kg</w:t>
            </w:r>
          </w:p>
        </w:tc>
        <w:tc>
          <w:tcPr>
            <w:tcW w:type="dxa" w:w="1915"/>
          </w:tcPr>
          <w:p>
            <w:pPr>
              <w:spacing w:before="0" w:after="0" w:line="240" w:lineRule="auto"/>
            </w:pPr>
            <w:r>
              <w:rPr>
                <w:color w:val="1A1A1A"/>
                <w:sz w:val="16"/>
              </w:rPr>
              <w:t>g, kg (many suppliers still quote lb)</w:t>
            </w:r>
          </w:p>
        </w:tc>
        <w:tc>
          <w:tcPr>
            <w:tcW w:type="dxa" w:w="1829"/>
          </w:tcPr>
          <w:p>
            <w:pPr>
              <w:spacing w:before="0" w:after="0" w:line="240" w:lineRule="auto"/>
            </w:pPr>
            <w:r>
              <w:rPr>
                <w:color w:val="1A1A1A"/>
                <w:sz w:val="16"/>
              </w:rPr>
              <w:t>g, kg</w:t>
            </w:r>
          </w:p>
        </w:tc>
      </w:tr>
      <w:tr>
        <w:trPr>
          <w:cantSplit/>
        </w:trPr>
        <w:tc>
          <w:tcPr>
            <w:tcW w:type="dxa" w:w="1656"/>
            <w:shd w:val="clear" w:color="auto" w:fill="F3EBD8"/>
          </w:tcPr>
          <w:p>
            <w:pPr>
              <w:spacing w:before="0" w:after="0" w:line="240" w:lineRule="auto"/>
            </w:pPr>
            <w:r>
              <w:rPr>
                <w:b/>
                <w:color w:val="1A1A1A"/>
                <w:sz w:val="16"/>
              </w:rPr>
              <w:t>Kitchen liquids</w:t>
            </w:r>
          </w:p>
        </w:tc>
        <w:tc>
          <w:tcPr>
            <w:tcW w:type="dxa" w:w="1800"/>
            <w:shd w:val="clear" w:color="auto" w:fill="FAF7F0"/>
          </w:tcPr>
          <w:p>
            <w:pPr>
              <w:spacing w:before="0" w:after="0" w:line="240" w:lineRule="auto"/>
            </w:pPr>
            <w:r>
              <w:rPr>
                <w:color w:val="1A1A1A"/>
                <w:sz w:val="16"/>
              </w:rPr>
              <w:t>fl oz, cup, qt, gal</w:t>
            </w:r>
          </w:p>
        </w:tc>
        <w:tc>
          <w:tcPr>
            <w:tcW w:type="dxa" w:w="1915"/>
            <w:shd w:val="clear" w:color="auto" w:fill="FAF7F0"/>
          </w:tcPr>
          <w:p>
            <w:pPr>
              <w:spacing w:before="0" w:after="0" w:line="240" w:lineRule="auto"/>
            </w:pPr>
            <w:r>
              <w:rPr>
                <w:color w:val="1A1A1A"/>
                <w:sz w:val="16"/>
              </w:rPr>
              <w:t>ml, L</w:t>
            </w:r>
          </w:p>
        </w:tc>
        <w:tc>
          <w:tcPr>
            <w:tcW w:type="dxa" w:w="1915"/>
            <w:shd w:val="clear" w:color="auto" w:fill="FAF7F0"/>
          </w:tcPr>
          <w:p>
            <w:pPr>
              <w:spacing w:before="0" w:after="0" w:line="240" w:lineRule="auto"/>
            </w:pPr>
            <w:r>
              <w:rPr>
                <w:color w:val="1A1A1A"/>
                <w:sz w:val="16"/>
              </w:rPr>
              <w:t>ml, L</w:t>
            </w:r>
          </w:p>
        </w:tc>
        <w:tc>
          <w:tcPr>
            <w:tcW w:type="dxa" w:w="1829"/>
            <w:shd w:val="clear" w:color="auto" w:fill="FAF7F0"/>
          </w:tcPr>
          <w:p>
            <w:pPr>
              <w:spacing w:before="0" w:after="0" w:line="240" w:lineRule="auto"/>
            </w:pPr>
            <w:r>
              <w:rPr>
                <w:color w:val="1A1A1A"/>
                <w:sz w:val="16"/>
              </w:rPr>
              <w:t>ml, L</w:t>
            </w:r>
          </w:p>
        </w:tc>
      </w:tr>
      <w:tr>
        <w:trPr>
          <w:cantSplit/>
        </w:trPr>
        <w:tc>
          <w:tcPr>
            <w:tcW w:type="dxa" w:w="1656"/>
            <w:shd w:val="clear" w:color="auto" w:fill="F3EBD8"/>
          </w:tcPr>
          <w:p>
            <w:pPr>
              <w:spacing w:before="0" w:after="0" w:line="240" w:lineRule="auto"/>
            </w:pPr>
            <w:r>
              <w:rPr>
                <w:b/>
                <w:color w:val="1A1A1A"/>
                <w:sz w:val="16"/>
              </w:rPr>
              <w:t>Temperature</w:t>
            </w:r>
          </w:p>
        </w:tc>
        <w:tc>
          <w:tcPr>
            <w:tcW w:type="dxa" w:w="1800"/>
          </w:tcPr>
          <w:p>
            <w:pPr>
              <w:spacing w:before="0" w:after="0" w:line="240" w:lineRule="auto"/>
            </w:pPr>
            <w:r>
              <w:rPr>
                <w:color w:val="1A1A1A"/>
                <w:sz w:val="16"/>
              </w:rPr>
              <w:t>°F</w:t>
            </w:r>
          </w:p>
        </w:tc>
        <w:tc>
          <w:tcPr>
            <w:tcW w:type="dxa" w:w="1915"/>
          </w:tcPr>
          <w:p>
            <w:pPr>
              <w:spacing w:before="0" w:after="0" w:line="240" w:lineRule="auto"/>
            </w:pPr>
            <w:r>
              <w:rPr>
                <w:color w:val="1A1A1A"/>
                <w:sz w:val="16"/>
              </w:rPr>
              <w:t>°C</w:t>
            </w:r>
          </w:p>
        </w:tc>
        <w:tc>
          <w:tcPr>
            <w:tcW w:type="dxa" w:w="1915"/>
          </w:tcPr>
          <w:p>
            <w:pPr>
              <w:spacing w:before="0" w:after="0" w:line="240" w:lineRule="auto"/>
            </w:pPr>
            <w:r>
              <w:rPr>
                <w:color w:val="1A1A1A"/>
                <w:sz w:val="16"/>
              </w:rPr>
              <w:t>°C for food safety; ovens and many recipes still in °F</w:t>
            </w:r>
          </w:p>
        </w:tc>
        <w:tc>
          <w:tcPr>
            <w:tcW w:type="dxa" w:w="1829"/>
          </w:tcPr>
          <w:p>
            <w:pPr>
              <w:spacing w:before="0" w:after="0" w:line="240" w:lineRule="auto"/>
            </w:pPr>
            <w:r>
              <w:rPr>
                <w:color w:val="1A1A1A"/>
                <w:sz w:val="16"/>
              </w:rPr>
              <w:t>°C</w:t>
            </w:r>
          </w:p>
        </w:tc>
      </w:tr>
      <w:tr>
        <w:trPr>
          <w:cantSplit/>
        </w:trPr>
        <w:tc>
          <w:tcPr>
            <w:tcW w:type="dxa" w:w="1656"/>
            <w:shd w:val="clear" w:color="auto" w:fill="F3EBD8"/>
          </w:tcPr>
          <w:p>
            <w:pPr>
              <w:spacing w:before="0" w:after="0" w:line="240" w:lineRule="auto"/>
            </w:pPr>
            <w:r>
              <w:rPr>
                <w:b/>
                <w:color w:val="1A1A1A"/>
                <w:sz w:val="16"/>
              </w:rPr>
              <w:t>Draft beer</w:t>
            </w:r>
          </w:p>
        </w:tc>
        <w:tc>
          <w:tcPr>
            <w:tcW w:type="dxa" w:w="1800"/>
            <w:shd w:val="clear" w:color="auto" w:fill="FAF7F0"/>
          </w:tcPr>
          <w:p>
            <w:pPr>
              <w:spacing w:before="0" w:after="0" w:line="240" w:lineRule="auto"/>
            </w:pPr>
            <w:r>
              <w:rPr>
                <w:color w:val="1A1A1A"/>
                <w:sz w:val="16"/>
              </w:rPr>
              <w:t>Usually a 16 fl oz US pint (473 ml)</w:t>
            </w:r>
          </w:p>
        </w:tc>
        <w:tc>
          <w:tcPr>
            <w:tcW w:type="dxa" w:w="1915"/>
            <w:shd w:val="clear" w:color="auto" w:fill="FAF7F0"/>
          </w:tcPr>
          <w:p>
            <w:pPr>
              <w:spacing w:before="0" w:after="0" w:line="240" w:lineRule="auto"/>
            </w:pPr>
            <w:r>
              <w:rPr>
                <w:color w:val="1A1A1A"/>
                <w:sz w:val="16"/>
              </w:rPr>
              <w:t>Imperial pint (568 ml) and half pint</w:t>
            </w:r>
          </w:p>
        </w:tc>
        <w:tc>
          <w:tcPr>
            <w:tcW w:type="dxa" w:w="1915"/>
            <w:shd w:val="clear" w:color="auto" w:fill="FAF7F0"/>
          </w:tcPr>
          <w:p>
            <w:pPr>
              <w:spacing w:before="0" w:after="0" w:line="240" w:lineRule="auto"/>
            </w:pPr>
            <w:r>
              <w:rPr>
                <w:color w:val="1A1A1A"/>
                <w:sz w:val="16"/>
              </w:rPr>
              <w:t>Imperial pint (568 ml, 20 imperial fl oz), imperial fl oz or ml; draft beer cannot be sold by the 16 fl oz US pint (Measurement Canada)</w:t>
            </w:r>
          </w:p>
        </w:tc>
        <w:tc>
          <w:tcPr>
            <w:tcW w:type="dxa" w:w="1829"/>
            <w:shd w:val="clear" w:color="auto" w:fill="FAF7F0"/>
          </w:tcPr>
          <w:p>
            <w:pPr>
              <w:spacing w:before="0" w:after="0" w:line="240" w:lineRule="auto"/>
            </w:pPr>
            <w:r>
              <w:rPr>
                <w:color w:val="1A1A1A"/>
                <w:sz w:val="16"/>
              </w:rPr>
              <w:t>Glass names and sizes vary by state</w:t>
            </w:r>
          </w:p>
        </w:tc>
      </w:tr>
      <w:tr>
        <w:trPr>
          <w:cantSplit/>
        </w:trPr>
        <w:tc>
          <w:tcPr>
            <w:tcW w:type="dxa" w:w="1656"/>
            <w:shd w:val="clear" w:color="auto" w:fill="F3EBD8"/>
          </w:tcPr>
          <w:p>
            <w:pPr>
              <w:spacing w:before="0" w:after="0" w:line="240" w:lineRule="auto"/>
            </w:pPr>
            <w:r>
              <w:rPr>
                <w:b/>
                <w:color w:val="1A1A1A"/>
                <w:sz w:val="16"/>
              </w:rPr>
              <w:t>Spirits</w:t>
            </w:r>
          </w:p>
        </w:tc>
        <w:tc>
          <w:tcPr>
            <w:tcW w:type="dxa" w:w="1800"/>
          </w:tcPr>
          <w:p>
            <w:pPr>
              <w:spacing w:before="0" w:after="0" w:line="240" w:lineRule="auto"/>
            </w:pPr>
            <w:r>
              <w:rPr>
                <w:color w:val="1A1A1A"/>
                <w:sz w:val="16"/>
              </w:rPr>
              <w:t>Bottles in ml (750 ml = 25.4 US fl oz); pours in fl oz</w:t>
            </w:r>
          </w:p>
        </w:tc>
        <w:tc>
          <w:tcPr>
            <w:tcW w:type="dxa" w:w="1915"/>
          </w:tcPr>
          <w:p>
            <w:pPr>
              <w:spacing w:before="0" w:after="0" w:line="240" w:lineRule="auto"/>
            </w:pPr>
            <w:r>
              <w:rPr>
                <w:color w:val="1A1A1A"/>
                <w:sz w:val="16"/>
              </w:rPr>
              <w:t>25 ml or 35 ml measures (see section 7); 70 cl bottles common</w:t>
            </w:r>
          </w:p>
        </w:tc>
        <w:tc>
          <w:tcPr>
            <w:tcW w:type="dxa" w:w="1915"/>
          </w:tcPr>
          <w:p>
            <w:pPr>
              <w:spacing w:before="0" w:after="0" w:line="240" w:lineRule="auto"/>
            </w:pPr>
            <w:r>
              <w:rPr>
                <w:color w:val="1A1A1A"/>
                <w:sz w:val="16"/>
              </w:rPr>
              <w:t>Bottles in ml; pours in oz or ml</w:t>
            </w:r>
          </w:p>
        </w:tc>
        <w:tc>
          <w:tcPr>
            <w:tcW w:type="dxa" w:w="1829"/>
          </w:tcPr>
          <w:p>
            <w:pPr>
              <w:spacing w:before="0" w:after="0" w:line="240" w:lineRule="auto"/>
            </w:pPr>
            <w:r>
              <w:rPr>
                <w:color w:val="1A1A1A"/>
                <w:sz w:val="16"/>
              </w:rPr>
              <w:t>Bottles and pours in ml</w:t>
            </w:r>
          </w:p>
        </w:tc>
      </w:tr>
      <w:tr>
        <w:trPr>
          <w:cantSplit/>
        </w:trPr>
        <w:tc>
          <w:tcPr>
            <w:tcW w:type="dxa" w:w="1656"/>
            <w:shd w:val="clear" w:color="auto" w:fill="F3EBD8"/>
          </w:tcPr>
          <w:p>
            <w:pPr>
              <w:spacing w:before="0" w:after="0" w:line="240" w:lineRule="auto"/>
            </w:pPr>
            <w:r>
              <w:rPr>
                <w:b/>
                <w:color w:val="1A1A1A"/>
                <w:sz w:val="16"/>
              </w:rPr>
              <w:t>Floor area</w:t>
            </w:r>
          </w:p>
        </w:tc>
        <w:tc>
          <w:tcPr>
            <w:tcW w:type="dxa" w:w="1800"/>
            <w:shd w:val="clear" w:color="auto" w:fill="FAF7F0"/>
          </w:tcPr>
          <w:p>
            <w:pPr>
              <w:spacing w:before="0" w:after="0" w:line="240" w:lineRule="auto"/>
            </w:pPr>
            <w:r>
              <w:rPr>
                <w:color w:val="1A1A1A"/>
                <w:sz w:val="16"/>
              </w:rPr>
              <w:t>sq ft</w:t>
            </w:r>
          </w:p>
        </w:tc>
        <w:tc>
          <w:tcPr>
            <w:tcW w:type="dxa" w:w="1915"/>
            <w:shd w:val="clear" w:color="auto" w:fill="FAF7F0"/>
          </w:tcPr>
          <w:p>
            <w:pPr>
              <w:spacing w:before="0" w:after="0" w:line="240" w:lineRule="auto"/>
            </w:pPr>
            <w:r>
              <w:rPr>
                <w:color w:val="1A1A1A"/>
                <w:sz w:val="16"/>
              </w:rPr>
              <w:t>m² (sq ft in many property listings)</w:t>
            </w:r>
          </w:p>
        </w:tc>
        <w:tc>
          <w:tcPr>
            <w:tcW w:type="dxa" w:w="1915"/>
            <w:shd w:val="clear" w:color="auto" w:fill="FAF7F0"/>
          </w:tcPr>
          <w:p>
            <w:pPr>
              <w:spacing w:before="0" w:after="0" w:line="240" w:lineRule="auto"/>
            </w:pPr>
            <w:r>
              <w:rPr>
                <w:color w:val="1A1A1A"/>
                <w:sz w:val="16"/>
              </w:rPr>
              <w:t>sq ft and m²</w:t>
            </w:r>
          </w:p>
        </w:tc>
        <w:tc>
          <w:tcPr>
            <w:tcW w:type="dxa" w:w="1829"/>
            <w:shd w:val="clear" w:color="auto" w:fill="FAF7F0"/>
          </w:tcPr>
          <w:p>
            <w:pPr>
              <w:spacing w:before="0" w:after="0" w:line="240" w:lineRule="auto"/>
            </w:pPr>
            <w:r>
              <w:rPr>
                <w:color w:val="1A1A1A"/>
                <w:sz w:val="16"/>
              </w:rPr>
              <w:t>m²</w:t>
            </w:r>
          </w:p>
        </w:tc>
      </w:tr>
      <w:tr>
        <w:trPr>
          <w:cantSplit/>
        </w:trPr>
        <w:tc>
          <w:tcPr>
            <w:tcW w:type="dxa" w:w="1656"/>
            <w:shd w:val="clear" w:color="auto" w:fill="F3EBD8"/>
          </w:tcPr>
          <w:p>
            <w:pPr>
              <w:spacing w:before="0" w:after="0" w:line="240" w:lineRule="auto"/>
            </w:pPr>
            <w:r>
              <w:rPr>
                <w:b/>
                <w:color w:val="1A1A1A"/>
                <w:sz w:val="16"/>
              </w:rPr>
              <w:t>Distance</w:t>
            </w:r>
          </w:p>
        </w:tc>
        <w:tc>
          <w:tcPr>
            <w:tcW w:type="dxa" w:w="1800"/>
          </w:tcPr>
          <w:p>
            <w:pPr>
              <w:spacing w:before="0" w:after="0" w:line="240" w:lineRule="auto"/>
            </w:pPr>
            <w:r>
              <w:rPr>
                <w:color w:val="1A1A1A"/>
                <w:sz w:val="16"/>
              </w:rPr>
              <w:t>miles</w:t>
            </w:r>
          </w:p>
        </w:tc>
        <w:tc>
          <w:tcPr>
            <w:tcW w:type="dxa" w:w="1915"/>
          </w:tcPr>
          <w:p>
            <w:pPr>
              <w:spacing w:before="0" w:after="0" w:line="240" w:lineRule="auto"/>
            </w:pPr>
            <w:r>
              <w:rPr>
                <w:color w:val="1A1A1A"/>
                <w:sz w:val="16"/>
              </w:rPr>
              <w:t>miles</w:t>
            </w:r>
          </w:p>
        </w:tc>
        <w:tc>
          <w:tcPr>
            <w:tcW w:type="dxa" w:w="1915"/>
          </w:tcPr>
          <w:p>
            <w:pPr>
              <w:spacing w:before="0" w:after="0" w:line="240" w:lineRule="auto"/>
            </w:pPr>
            <w:r>
              <w:rPr>
                <w:color w:val="1A1A1A"/>
                <w:sz w:val="16"/>
              </w:rPr>
              <w:t>km</w:t>
            </w:r>
          </w:p>
        </w:tc>
        <w:tc>
          <w:tcPr>
            <w:tcW w:type="dxa" w:w="1829"/>
          </w:tcPr>
          <w:p>
            <w:pPr>
              <w:spacing w:before="0" w:after="0" w:line="240" w:lineRule="auto"/>
            </w:pPr>
            <w:r>
              <w:rPr>
                <w:color w:val="1A1A1A"/>
                <w:sz w:val="16"/>
              </w:rPr>
              <w:t>km</w:t>
            </w:r>
          </w:p>
        </w:tc>
      </w:tr>
    </w:tbl>
    <w:p>
      <w:pPr>
        <w:spacing w:after="40"/>
      </w:pPr>
    </w:p>
    <w:p>
      <w:pPr>
        <w:pStyle w:val="Heading2"/>
        <w:spacing w:before="280"/>
      </w:pPr>
      <w:r>
        <w:t>Quick temperature table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296"/>
        <w:gridCol w:w="1296"/>
        <w:gridCol w:w="6523"/>
      </w:tblGrid>
      <w:tr>
        <w:trPr>
          <w:tblHeader w:val="true"/>
          <w:cantSplit/>
        </w:trPr>
        <w:tc>
          <w:tcPr>
            <w:tcW w:type="dxa" w:w="1296"/>
            <w:shd w:val="clear" w:color="auto" w:fill="1A1A1A"/>
          </w:tcPr>
          <w:p>
            <w:pPr>
              <w:spacing w:before="0" w:after="0" w:line="240" w:lineRule="auto"/>
            </w:pPr>
            <w:r>
              <w:rPr>
                <w:b/>
                <w:color w:val="FFFFFF"/>
                <w:sz w:val="16"/>
              </w:rPr>
              <w:t>°F</w:t>
            </w:r>
          </w:p>
        </w:tc>
        <w:tc>
          <w:tcPr>
            <w:tcW w:type="dxa" w:w="1296"/>
            <w:shd w:val="clear" w:color="auto" w:fill="1A1A1A"/>
          </w:tcPr>
          <w:p>
            <w:pPr>
              <w:spacing w:before="0" w:after="0" w:line="240" w:lineRule="auto"/>
            </w:pPr>
            <w:r>
              <w:rPr>
                <w:b/>
                <w:color w:val="FFFFFF"/>
                <w:sz w:val="16"/>
              </w:rPr>
              <w:t>°C</w:t>
            </w:r>
          </w:p>
        </w:tc>
        <w:tc>
          <w:tcPr>
            <w:tcW w:type="dxa" w:w="6523"/>
            <w:shd w:val="clear" w:color="auto" w:fill="1A1A1A"/>
          </w:tcPr>
          <w:p>
            <w:pPr>
              <w:spacing w:before="0" w:after="0" w:line="240" w:lineRule="auto"/>
            </w:pPr>
            <w:r>
              <w:rPr>
                <w:b/>
                <w:color w:val="FFFFFF"/>
                <w:sz w:val="16"/>
              </w:rPr>
              <w:t>Where you will see it</w:t>
            </w:r>
          </w:p>
        </w:tc>
      </w:tr>
      <w:tr>
        <w:trPr>
          <w:cantSplit/>
        </w:trPr>
        <w:tc>
          <w:tcPr>
            <w:tcW w:type="dxa" w:w="1296"/>
          </w:tcPr>
          <w:p>
            <w:pPr>
              <w:spacing w:before="0" w:after="0" w:line="240" w:lineRule="auto"/>
            </w:pPr>
            <w:r>
              <w:rPr>
                <w:color w:val="1A1A1A"/>
                <w:sz w:val="16"/>
              </w:rPr>
              <w:t>0</w:t>
            </w:r>
          </w:p>
        </w:tc>
        <w:tc>
          <w:tcPr>
            <w:tcW w:type="dxa" w:w="1296"/>
          </w:tcPr>
          <w:p>
            <w:pPr>
              <w:spacing w:before="0" w:after="0" w:line="240" w:lineRule="auto"/>
            </w:pPr>
            <w:r>
              <w:rPr>
                <w:color w:val="1A1A1A"/>
                <w:sz w:val="16"/>
              </w:rPr>
              <w:t>−17.8</w:t>
            </w:r>
          </w:p>
        </w:tc>
        <w:tc>
          <w:tcPr>
            <w:tcW w:type="dxa" w:w="6523"/>
          </w:tcPr>
          <w:p>
            <w:pPr>
              <w:spacing w:before="0" w:after="0" w:line="240" w:lineRule="auto"/>
            </w:pPr>
            <w:r>
              <w:rPr>
                <w:color w:val="1A1A1A"/>
                <w:sz w:val="16"/>
              </w:rPr>
              <w:t>Freezer: Health Canada advises −18 °C (0 °F) or lower</w:t>
            </w:r>
          </w:p>
        </w:tc>
      </w:tr>
      <w:tr>
        <w:trPr>
          <w:cantSplit/>
        </w:trPr>
        <w:tc>
          <w:tcPr>
            <w:tcW w:type="dxa" w:w="1296"/>
            <w:shd w:val="clear" w:color="auto" w:fill="FAF7F0"/>
          </w:tcPr>
          <w:p>
            <w:pPr>
              <w:spacing w:before="0" w:after="0" w:line="240" w:lineRule="auto"/>
            </w:pPr>
            <w:r>
              <w:rPr>
                <w:color w:val="1A1A1A"/>
                <w:sz w:val="16"/>
              </w:rPr>
              <w:t>32</w:t>
            </w:r>
          </w:p>
        </w:tc>
        <w:tc>
          <w:tcPr>
            <w:tcW w:type="dxa" w:w="1296"/>
            <w:shd w:val="clear" w:color="auto" w:fill="FAF7F0"/>
          </w:tcPr>
          <w:p>
            <w:pPr>
              <w:spacing w:before="0" w:after="0" w:line="240" w:lineRule="auto"/>
            </w:pPr>
            <w:r>
              <w:rPr>
                <w:color w:val="1A1A1A"/>
                <w:sz w:val="16"/>
              </w:rPr>
              <w:t>0</w:t>
            </w:r>
          </w:p>
        </w:tc>
        <w:tc>
          <w:tcPr>
            <w:tcW w:type="dxa" w:w="6523"/>
            <w:shd w:val="clear" w:color="auto" w:fill="FAF7F0"/>
          </w:tcPr>
          <w:p>
            <w:pPr>
              <w:spacing w:before="0" w:after="0" w:line="240" w:lineRule="auto"/>
            </w:pPr>
            <w:r>
              <w:rPr>
                <w:color w:val="1A1A1A"/>
                <w:sz w:val="16"/>
              </w:rPr>
              <w:t>Water freezes</w:t>
            </w:r>
          </w:p>
        </w:tc>
      </w:tr>
      <w:tr>
        <w:trPr>
          <w:cantSplit/>
        </w:trPr>
        <w:tc>
          <w:tcPr>
            <w:tcW w:type="dxa" w:w="1296"/>
          </w:tcPr>
          <w:p>
            <w:pPr>
              <w:spacing w:before="0" w:after="0" w:line="240" w:lineRule="auto"/>
            </w:pPr>
            <w:r>
              <w:rPr>
                <w:color w:val="1A1A1A"/>
                <w:sz w:val="16"/>
              </w:rPr>
              <w:t>40</w:t>
            </w:r>
          </w:p>
        </w:tc>
        <w:tc>
          <w:tcPr>
            <w:tcW w:type="dxa" w:w="1296"/>
          </w:tcPr>
          <w:p>
            <w:pPr>
              <w:spacing w:before="0" w:after="0" w:line="240" w:lineRule="auto"/>
            </w:pPr>
            <w:r>
              <w:rPr>
                <w:color w:val="1A1A1A"/>
                <w:sz w:val="16"/>
              </w:rPr>
              <w:t>4.4</w:t>
            </w:r>
          </w:p>
        </w:tc>
        <w:tc>
          <w:tcPr>
            <w:tcW w:type="dxa" w:w="6523"/>
          </w:tcPr>
          <w:p>
            <w:pPr>
              <w:spacing w:before="0" w:after="0" w:line="240" w:lineRule="auto"/>
            </w:pPr>
            <w:r>
              <w:rPr>
                <w:color w:val="1A1A1A"/>
                <w:sz w:val="16"/>
              </w:rPr>
              <w:t>Canada: fridge at 4 °C (40 °F) or below</w:t>
            </w:r>
          </w:p>
        </w:tc>
      </w:tr>
      <w:tr>
        <w:trPr>
          <w:cantSplit/>
        </w:trPr>
        <w:tc>
          <w:tcPr>
            <w:tcW w:type="dxa" w:w="1296"/>
            <w:shd w:val="clear" w:color="auto" w:fill="FAF7F0"/>
          </w:tcPr>
          <w:p>
            <w:pPr>
              <w:spacing w:before="0" w:after="0" w:line="240" w:lineRule="auto"/>
            </w:pPr>
            <w:r>
              <w:rPr>
                <w:color w:val="1A1A1A"/>
                <w:sz w:val="16"/>
              </w:rPr>
              <w:t>41</w:t>
            </w:r>
          </w:p>
        </w:tc>
        <w:tc>
          <w:tcPr>
            <w:tcW w:type="dxa" w:w="1296"/>
            <w:shd w:val="clear" w:color="auto" w:fill="FAF7F0"/>
          </w:tcPr>
          <w:p>
            <w:pPr>
              <w:spacing w:before="0" w:after="0" w:line="240" w:lineRule="auto"/>
            </w:pPr>
            <w:r>
              <w:rPr>
                <w:color w:val="1A1A1A"/>
                <w:sz w:val="16"/>
              </w:rPr>
              <w:t>5.0</w:t>
            </w:r>
          </w:p>
        </w:tc>
        <w:tc>
          <w:tcPr>
            <w:tcW w:type="dxa" w:w="6523"/>
            <w:shd w:val="clear" w:color="auto" w:fill="FAF7F0"/>
          </w:tcPr>
          <w:p>
            <w:pPr>
              <w:spacing w:before="0" w:after="0" w:line="240" w:lineRule="auto"/>
            </w:pPr>
            <w:r>
              <w:rPr>
                <w:color w:val="1A1A1A"/>
                <w:sz w:val="16"/>
              </w:rPr>
              <w:t>US cold holding; Australia 5 °C</w:t>
            </w:r>
          </w:p>
        </w:tc>
      </w:tr>
      <w:tr>
        <w:trPr>
          <w:cantSplit/>
        </w:trPr>
        <w:tc>
          <w:tcPr>
            <w:tcW w:type="dxa" w:w="1296"/>
          </w:tcPr>
          <w:p>
            <w:pPr>
              <w:spacing w:before="0" w:after="0" w:line="240" w:lineRule="auto"/>
            </w:pPr>
            <w:r>
              <w:rPr>
                <w:color w:val="1A1A1A"/>
                <w:sz w:val="16"/>
              </w:rPr>
              <w:t>46.4</w:t>
            </w:r>
          </w:p>
        </w:tc>
        <w:tc>
          <w:tcPr>
            <w:tcW w:type="dxa" w:w="1296"/>
          </w:tcPr>
          <w:p>
            <w:pPr>
              <w:spacing w:before="0" w:after="0" w:line="240" w:lineRule="auto"/>
            </w:pPr>
            <w:r>
              <w:rPr>
                <w:color w:val="1A1A1A"/>
                <w:sz w:val="16"/>
              </w:rPr>
              <w:t>8.0</w:t>
            </w:r>
          </w:p>
        </w:tc>
        <w:tc>
          <w:tcPr>
            <w:tcW w:type="dxa" w:w="6523"/>
          </w:tcPr>
          <w:p>
            <w:pPr>
              <w:spacing w:before="0" w:after="0" w:line="240" w:lineRule="auto"/>
            </w:pPr>
            <w:r>
              <w:rPr>
                <w:color w:val="1A1A1A"/>
                <w:sz w:val="16"/>
              </w:rPr>
              <w:t>UK chilled food limit (8 °C)</w:t>
            </w:r>
          </w:p>
        </w:tc>
      </w:tr>
      <w:tr>
        <w:trPr>
          <w:cantSplit/>
        </w:trPr>
        <w:tc>
          <w:tcPr>
            <w:tcW w:type="dxa" w:w="1296"/>
            <w:shd w:val="clear" w:color="auto" w:fill="FAF7F0"/>
          </w:tcPr>
          <w:p>
            <w:pPr>
              <w:spacing w:before="0" w:after="0" w:line="240" w:lineRule="auto"/>
            </w:pPr>
            <w:r>
              <w:rPr>
                <w:color w:val="1A1A1A"/>
                <w:sz w:val="16"/>
              </w:rPr>
              <w:t>70</w:t>
            </w:r>
          </w:p>
        </w:tc>
        <w:tc>
          <w:tcPr>
            <w:tcW w:type="dxa" w:w="1296"/>
            <w:shd w:val="clear" w:color="auto" w:fill="FAF7F0"/>
          </w:tcPr>
          <w:p>
            <w:pPr>
              <w:spacing w:before="0" w:after="0" w:line="240" w:lineRule="auto"/>
            </w:pPr>
            <w:r>
              <w:rPr>
                <w:color w:val="1A1A1A"/>
                <w:sz w:val="16"/>
              </w:rPr>
              <w:t>21.1</w:t>
            </w:r>
          </w:p>
        </w:tc>
        <w:tc>
          <w:tcPr>
            <w:tcW w:type="dxa" w:w="6523"/>
            <w:shd w:val="clear" w:color="auto" w:fill="FAF7F0"/>
          </w:tcPr>
          <w:p>
            <w:pPr>
              <w:spacing w:before="0" w:after="0" w:line="240" w:lineRule="auto"/>
            </w:pPr>
            <w:r>
              <w:rPr>
                <w:color w:val="1A1A1A"/>
                <w:sz w:val="16"/>
              </w:rPr>
              <w:t>Cooling checkpoint (US 70 °F, Australia 21 °C)</w:t>
            </w:r>
          </w:p>
        </w:tc>
      </w:tr>
      <w:tr>
        <w:trPr>
          <w:cantSplit/>
        </w:trPr>
        <w:tc>
          <w:tcPr>
            <w:tcW w:type="dxa" w:w="1296"/>
          </w:tcPr>
          <w:p>
            <w:pPr>
              <w:spacing w:before="0" w:after="0" w:line="240" w:lineRule="auto"/>
            </w:pPr>
            <w:r>
              <w:rPr>
                <w:color w:val="1A1A1A"/>
                <w:sz w:val="16"/>
              </w:rPr>
              <w:t>135</w:t>
            </w:r>
          </w:p>
        </w:tc>
        <w:tc>
          <w:tcPr>
            <w:tcW w:type="dxa" w:w="1296"/>
          </w:tcPr>
          <w:p>
            <w:pPr>
              <w:spacing w:before="0" w:after="0" w:line="240" w:lineRule="auto"/>
            </w:pPr>
            <w:r>
              <w:rPr>
                <w:color w:val="1A1A1A"/>
                <w:sz w:val="16"/>
              </w:rPr>
              <w:t>57.2</w:t>
            </w:r>
          </w:p>
        </w:tc>
        <w:tc>
          <w:tcPr>
            <w:tcW w:type="dxa" w:w="6523"/>
          </w:tcPr>
          <w:p>
            <w:pPr>
              <w:spacing w:before="0" w:after="0" w:line="240" w:lineRule="auto"/>
            </w:pPr>
            <w:r>
              <w:rPr>
                <w:color w:val="1A1A1A"/>
                <w:sz w:val="16"/>
              </w:rPr>
              <w:t>US hot holding</w:t>
            </w:r>
          </w:p>
        </w:tc>
      </w:tr>
      <w:tr>
        <w:trPr>
          <w:cantSplit/>
        </w:trPr>
        <w:tc>
          <w:tcPr>
            <w:tcW w:type="dxa" w:w="1296"/>
            <w:shd w:val="clear" w:color="auto" w:fill="FAF7F0"/>
          </w:tcPr>
          <w:p>
            <w:pPr>
              <w:spacing w:before="0" w:after="0" w:line="240" w:lineRule="auto"/>
            </w:pPr>
            <w:r>
              <w:rPr>
                <w:color w:val="1A1A1A"/>
                <w:sz w:val="16"/>
              </w:rPr>
              <w:t>140</w:t>
            </w:r>
          </w:p>
        </w:tc>
        <w:tc>
          <w:tcPr>
            <w:tcW w:type="dxa" w:w="1296"/>
            <w:shd w:val="clear" w:color="auto" w:fill="FAF7F0"/>
          </w:tcPr>
          <w:p>
            <w:pPr>
              <w:spacing w:before="0" w:after="0" w:line="240" w:lineRule="auto"/>
            </w:pPr>
            <w:r>
              <w:rPr>
                <w:color w:val="1A1A1A"/>
                <w:sz w:val="16"/>
              </w:rPr>
              <w:t>60.0</w:t>
            </w:r>
          </w:p>
        </w:tc>
        <w:tc>
          <w:tcPr>
            <w:tcW w:type="dxa" w:w="6523"/>
            <w:shd w:val="clear" w:color="auto" w:fill="FAF7F0"/>
          </w:tcPr>
          <w:p>
            <w:pPr>
              <w:spacing w:before="0" w:after="0" w:line="240" w:lineRule="auto"/>
            </w:pPr>
            <w:r>
              <w:rPr>
                <w:color w:val="1A1A1A"/>
                <w:sz w:val="16"/>
              </w:rPr>
              <w:t>Hot holding in Canada and Australia</w:t>
            </w:r>
          </w:p>
        </w:tc>
      </w:tr>
      <w:tr>
        <w:trPr>
          <w:cantSplit/>
        </w:trPr>
        <w:tc>
          <w:tcPr>
            <w:tcW w:type="dxa" w:w="1296"/>
          </w:tcPr>
          <w:p>
            <w:pPr>
              <w:spacing w:before="0" w:after="0" w:line="240" w:lineRule="auto"/>
            </w:pPr>
            <w:r>
              <w:rPr>
                <w:color w:val="1A1A1A"/>
                <w:sz w:val="16"/>
              </w:rPr>
              <w:t>145</w:t>
            </w:r>
          </w:p>
        </w:tc>
        <w:tc>
          <w:tcPr>
            <w:tcW w:type="dxa" w:w="1296"/>
          </w:tcPr>
          <w:p>
            <w:pPr>
              <w:spacing w:before="0" w:after="0" w:line="240" w:lineRule="auto"/>
            </w:pPr>
            <w:r>
              <w:rPr>
                <w:color w:val="1A1A1A"/>
                <w:sz w:val="16"/>
              </w:rPr>
              <w:t>62.8</w:t>
            </w:r>
          </w:p>
        </w:tc>
        <w:tc>
          <w:tcPr>
            <w:tcW w:type="dxa" w:w="6523"/>
          </w:tcPr>
          <w:p>
            <w:pPr>
              <w:spacing w:before="0" w:after="0" w:line="240" w:lineRule="auto"/>
            </w:pPr>
            <w:r>
              <w:rPr>
                <w:color w:val="1A1A1A"/>
                <w:sz w:val="16"/>
              </w:rPr>
              <w:t>US: fish and whole cuts, 15 seconds</w:t>
            </w:r>
          </w:p>
        </w:tc>
      </w:tr>
      <w:tr>
        <w:trPr>
          <w:cantSplit/>
        </w:trPr>
        <w:tc>
          <w:tcPr>
            <w:tcW w:type="dxa" w:w="1296"/>
            <w:shd w:val="clear" w:color="auto" w:fill="FAF7F0"/>
          </w:tcPr>
          <w:p>
            <w:pPr>
              <w:spacing w:before="0" w:after="0" w:line="240" w:lineRule="auto"/>
            </w:pPr>
            <w:r>
              <w:rPr>
                <w:color w:val="1A1A1A"/>
                <w:sz w:val="16"/>
              </w:rPr>
              <w:t>145.4</w:t>
            </w:r>
          </w:p>
        </w:tc>
        <w:tc>
          <w:tcPr>
            <w:tcW w:type="dxa" w:w="1296"/>
            <w:shd w:val="clear" w:color="auto" w:fill="FAF7F0"/>
          </w:tcPr>
          <w:p>
            <w:pPr>
              <w:spacing w:before="0" w:after="0" w:line="240" w:lineRule="auto"/>
            </w:pPr>
            <w:r>
              <w:rPr>
                <w:color w:val="1A1A1A"/>
                <w:sz w:val="16"/>
              </w:rPr>
              <w:t>63.0</w:t>
            </w:r>
          </w:p>
        </w:tc>
        <w:tc>
          <w:tcPr>
            <w:tcW w:type="dxa" w:w="6523"/>
            <w:shd w:val="clear" w:color="auto" w:fill="FAF7F0"/>
          </w:tcPr>
          <w:p>
            <w:pPr>
              <w:spacing w:before="0" w:after="0" w:line="240" w:lineRule="auto"/>
            </w:pPr>
            <w:r>
              <w:rPr>
                <w:color w:val="1A1A1A"/>
                <w:sz w:val="16"/>
              </w:rPr>
              <w:t>UK hot holding</w:t>
            </w:r>
          </w:p>
        </w:tc>
      </w:tr>
      <w:tr>
        <w:trPr>
          <w:cantSplit/>
        </w:trPr>
        <w:tc>
          <w:tcPr>
            <w:tcW w:type="dxa" w:w="1296"/>
          </w:tcPr>
          <w:p>
            <w:pPr>
              <w:spacing w:before="0" w:after="0" w:line="240" w:lineRule="auto"/>
            </w:pPr>
            <w:r>
              <w:rPr>
                <w:color w:val="1A1A1A"/>
                <w:sz w:val="16"/>
              </w:rPr>
              <w:t>155</w:t>
            </w:r>
          </w:p>
        </w:tc>
        <w:tc>
          <w:tcPr>
            <w:tcW w:type="dxa" w:w="1296"/>
          </w:tcPr>
          <w:p>
            <w:pPr>
              <w:spacing w:before="0" w:after="0" w:line="240" w:lineRule="auto"/>
            </w:pPr>
            <w:r>
              <w:rPr>
                <w:color w:val="1A1A1A"/>
                <w:sz w:val="16"/>
              </w:rPr>
              <w:t>68.3</w:t>
            </w:r>
          </w:p>
        </w:tc>
        <w:tc>
          <w:tcPr>
            <w:tcW w:type="dxa" w:w="6523"/>
          </w:tcPr>
          <w:p>
            <w:pPr>
              <w:spacing w:before="0" w:after="0" w:line="240" w:lineRule="auto"/>
            </w:pPr>
            <w:r>
              <w:rPr>
                <w:color w:val="1A1A1A"/>
                <w:sz w:val="16"/>
              </w:rPr>
              <w:t>US: ground meat, 17 seconds</w:t>
            </w:r>
          </w:p>
        </w:tc>
      </w:tr>
      <w:tr>
        <w:trPr>
          <w:cantSplit/>
        </w:trPr>
        <w:tc>
          <w:tcPr>
            <w:tcW w:type="dxa" w:w="1296"/>
            <w:shd w:val="clear" w:color="auto" w:fill="FAF7F0"/>
          </w:tcPr>
          <w:p>
            <w:pPr>
              <w:spacing w:before="0" w:after="0" w:line="240" w:lineRule="auto"/>
            </w:pPr>
            <w:r>
              <w:rPr>
                <w:color w:val="1A1A1A"/>
                <w:sz w:val="16"/>
              </w:rPr>
              <w:t>158</w:t>
            </w:r>
          </w:p>
        </w:tc>
        <w:tc>
          <w:tcPr>
            <w:tcW w:type="dxa" w:w="1296"/>
            <w:shd w:val="clear" w:color="auto" w:fill="FAF7F0"/>
          </w:tcPr>
          <w:p>
            <w:pPr>
              <w:spacing w:before="0" w:after="0" w:line="240" w:lineRule="auto"/>
            </w:pPr>
            <w:r>
              <w:rPr>
                <w:color w:val="1A1A1A"/>
                <w:sz w:val="16"/>
              </w:rPr>
              <w:t>70.0</w:t>
            </w:r>
          </w:p>
        </w:tc>
        <w:tc>
          <w:tcPr>
            <w:tcW w:type="dxa" w:w="6523"/>
            <w:shd w:val="clear" w:color="auto" w:fill="FAF7F0"/>
          </w:tcPr>
          <w:p>
            <w:pPr>
              <w:spacing w:before="0" w:after="0" w:line="240" w:lineRule="auto"/>
            </w:pPr>
            <w:r>
              <w:rPr>
                <w:color w:val="1A1A1A"/>
                <w:sz w:val="16"/>
              </w:rPr>
              <w:t>UK standard cooking advice (2 minutes); Canada: fish</w:t>
            </w:r>
          </w:p>
        </w:tc>
      </w:tr>
      <w:tr>
        <w:trPr>
          <w:cantSplit/>
        </w:trPr>
        <w:tc>
          <w:tcPr>
            <w:tcW w:type="dxa" w:w="1296"/>
          </w:tcPr>
          <w:p>
            <w:pPr>
              <w:spacing w:before="0" w:after="0" w:line="240" w:lineRule="auto"/>
            </w:pPr>
            <w:r>
              <w:rPr>
                <w:color w:val="1A1A1A"/>
                <w:sz w:val="16"/>
              </w:rPr>
              <w:t>160</w:t>
            </w:r>
          </w:p>
        </w:tc>
        <w:tc>
          <w:tcPr>
            <w:tcW w:type="dxa" w:w="1296"/>
          </w:tcPr>
          <w:p>
            <w:pPr>
              <w:spacing w:before="0" w:after="0" w:line="240" w:lineRule="auto"/>
            </w:pPr>
            <w:r>
              <w:rPr>
                <w:color w:val="1A1A1A"/>
                <w:sz w:val="16"/>
              </w:rPr>
              <w:t>71.1</w:t>
            </w:r>
          </w:p>
        </w:tc>
        <w:tc>
          <w:tcPr>
            <w:tcW w:type="dxa" w:w="6523"/>
          </w:tcPr>
          <w:p>
            <w:pPr>
              <w:spacing w:before="0" w:after="0" w:line="240" w:lineRule="auto"/>
            </w:pPr>
            <w:r>
              <w:rPr>
                <w:color w:val="1A1A1A"/>
                <w:sz w:val="16"/>
              </w:rPr>
              <w:t>Canada: ground beef and pork</w:t>
            </w:r>
          </w:p>
        </w:tc>
      </w:tr>
      <w:tr>
        <w:trPr>
          <w:cantSplit/>
        </w:trPr>
        <w:tc>
          <w:tcPr>
            <w:tcW w:type="dxa" w:w="1296"/>
            <w:shd w:val="clear" w:color="auto" w:fill="FAF7F0"/>
          </w:tcPr>
          <w:p>
            <w:pPr>
              <w:spacing w:before="0" w:after="0" w:line="240" w:lineRule="auto"/>
            </w:pPr>
            <w:r>
              <w:rPr>
                <w:color w:val="1A1A1A"/>
                <w:sz w:val="16"/>
              </w:rPr>
              <w:t>165</w:t>
            </w:r>
          </w:p>
        </w:tc>
        <w:tc>
          <w:tcPr>
            <w:tcW w:type="dxa" w:w="1296"/>
            <w:shd w:val="clear" w:color="auto" w:fill="FAF7F0"/>
          </w:tcPr>
          <w:p>
            <w:pPr>
              <w:spacing w:before="0" w:after="0" w:line="240" w:lineRule="auto"/>
            </w:pPr>
            <w:r>
              <w:rPr>
                <w:color w:val="1A1A1A"/>
                <w:sz w:val="16"/>
              </w:rPr>
              <w:t>73.9</w:t>
            </w:r>
          </w:p>
        </w:tc>
        <w:tc>
          <w:tcPr>
            <w:tcW w:type="dxa" w:w="6523"/>
            <w:shd w:val="clear" w:color="auto" w:fill="FAF7F0"/>
          </w:tcPr>
          <w:p>
            <w:pPr>
              <w:spacing w:before="0" w:after="0" w:line="240" w:lineRule="auto"/>
            </w:pPr>
            <w:r>
              <w:rPr>
                <w:color w:val="1A1A1A"/>
                <w:sz w:val="16"/>
              </w:rPr>
              <w:t>US: poultry and reheating; Canada: poultry pieces and leftovers</w:t>
            </w:r>
          </w:p>
        </w:tc>
      </w:tr>
      <w:tr>
        <w:trPr>
          <w:cantSplit/>
        </w:trPr>
        <w:tc>
          <w:tcPr>
            <w:tcW w:type="dxa" w:w="1296"/>
          </w:tcPr>
          <w:p>
            <w:pPr>
              <w:spacing w:before="0" w:after="0" w:line="240" w:lineRule="auto"/>
            </w:pPr>
            <w:r>
              <w:rPr>
                <w:color w:val="1A1A1A"/>
                <w:sz w:val="16"/>
              </w:rPr>
              <w:t>167</w:t>
            </w:r>
          </w:p>
        </w:tc>
        <w:tc>
          <w:tcPr>
            <w:tcW w:type="dxa" w:w="1296"/>
          </w:tcPr>
          <w:p>
            <w:pPr>
              <w:spacing w:before="0" w:after="0" w:line="240" w:lineRule="auto"/>
            </w:pPr>
            <w:r>
              <w:rPr>
                <w:color w:val="1A1A1A"/>
                <w:sz w:val="16"/>
              </w:rPr>
              <w:t>75.0</w:t>
            </w:r>
          </w:p>
        </w:tc>
        <w:tc>
          <w:tcPr>
            <w:tcW w:type="dxa" w:w="6523"/>
          </w:tcPr>
          <w:p>
            <w:pPr>
              <w:spacing w:before="0" w:after="0" w:line="240" w:lineRule="auto"/>
            </w:pPr>
            <w:r>
              <w:rPr>
                <w:color w:val="1A1A1A"/>
                <w:sz w:val="16"/>
              </w:rPr>
              <w:t>UK: 75 °C for 30 seconds</w:t>
            </w:r>
          </w:p>
        </w:tc>
      </w:tr>
      <w:tr>
        <w:trPr>
          <w:cantSplit/>
        </w:trPr>
        <w:tc>
          <w:tcPr>
            <w:tcW w:type="dxa" w:w="1296"/>
            <w:shd w:val="clear" w:color="auto" w:fill="FAF7F0"/>
          </w:tcPr>
          <w:p>
            <w:pPr>
              <w:spacing w:before="0" w:after="0" w:line="240" w:lineRule="auto"/>
            </w:pPr>
            <w:r>
              <w:rPr>
                <w:color w:val="1A1A1A"/>
                <w:sz w:val="16"/>
              </w:rPr>
              <w:t>176</w:t>
            </w:r>
          </w:p>
        </w:tc>
        <w:tc>
          <w:tcPr>
            <w:tcW w:type="dxa" w:w="1296"/>
            <w:shd w:val="clear" w:color="auto" w:fill="FAF7F0"/>
          </w:tcPr>
          <w:p>
            <w:pPr>
              <w:spacing w:before="0" w:after="0" w:line="240" w:lineRule="auto"/>
            </w:pPr>
            <w:r>
              <w:rPr>
                <w:color w:val="1A1A1A"/>
                <w:sz w:val="16"/>
              </w:rPr>
              <w:t>80.0</w:t>
            </w:r>
          </w:p>
        </w:tc>
        <w:tc>
          <w:tcPr>
            <w:tcW w:type="dxa" w:w="6523"/>
            <w:shd w:val="clear" w:color="auto" w:fill="FAF7F0"/>
          </w:tcPr>
          <w:p>
            <w:pPr>
              <w:spacing w:before="0" w:after="0" w:line="240" w:lineRule="auto"/>
            </w:pPr>
            <w:r>
              <w:rPr>
                <w:color w:val="1A1A1A"/>
                <w:sz w:val="16"/>
              </w:rPr>
              <w:t>UK: 80 °C for 6 seconds</w:t>
            </w:r>
          </w:p>
        </w:tc>
      </w:tr>
      <w:tr>
        <w:trPr>
          <w:cantSplit/>
        </w:trPr>
        <w:tc>
          <w:tcPr>
            <w:tcW w:type="dxa" w:w="1296"/>
          </w:tcPr>
          <w:p>
            <w:pPr>
              <w:spacing w:before="0" w:after="0" w:line="240" w:lineRule="auto"/>
            </w:pPr>
            <w:r>
              <w:rPr>
                <w:color w:val="1A1A1A"/>
                <w:sz w:val="16"/>
              </w:rPr>
              <w:t>212</w:t>
            </w:r>
          </w:p>
        </w:tc>
        <w:tc>
          <w:tcPr>
            <w:tcW w:type="dxa" w:w="1296"/>
          </w:tcPr>
          <w:p>
            <w:pPr>
              <w:spacing w:before="0" w:after="0" w:line="240" w:lineRule="auto"/>
            </w:pPr>
            <w:r>
              <w:rPr>
                <w:color w:val="1A1A1A"/>
                <w:sz w:val="16"/>
              </w:rPr>
              <w:t>100.0</w:t>
            </w:r>
          </w:p>
        </w:tc>
        <w:tc>
          <w:tcPr>
            <w:tcW w:type="dxa" w:w="6523"/>
          </w:tcPr>
          <w:p>
            <w:pPr>
              <w:spacing w:before="0" w:after="0" w:line="240" w:lineRule="auto"/>
            </w:pPr>
            <w:r>
              <w:rPr>
                <w:color w:val="1A1A1A"/>
                <w:sz w:val="16"/>
              </w:rPr>
              <w:t>Water boils at sea level</w:t>
            </w:r>
          </w:p>
        </w:tc>
      </w:tr>
      <w:tr>
        <w:trPr>
          <w:cantSplit/>
        </w:trPr>
        <w:tc>
          <w:tcPr>
            <w:tcW w:type="dxa" w:w="1296"/>
            <w:shd w:val="clear" w:color="auto" w:fill="FAF7F0"/>
          </w:tcPr>
          <w:p>
            <w:pPr>
              <w:spacing w:before="0" w:after="0" w:line="240" w:lineRule="auto"/>
            </w:pPr>
            <w:r>
              <w:rPr>
                <w:color w:val="1A1A1A"/>
                <w:sz w:val="16"/>
              </w:rPr>
              <w:t>350</w:t>
            </w:r>
          </w:p>
        </w:tc>
        <w:tc>
          <w:tcPr>
            <w:tcW w:type="dxa" w:w="1296"/>
            <w:shd w:val="clear" w:color="auto" w:fill="FAF7F0"/>
          </w:tcPr>
          <w:p>
            <w:pPr>
              <w:spacing w:before="0" w:after="0" w:line="240" w:lineRule="auto"/>
            </w:pPr>
            <w:r>
              <w:rPr>
                <w:color w:val="1A1A1A"/>
                <w:sz w:val="16"/>
              </w:rPr>
              <w:t>176.7</w:t>
            </w:r>
          </w:p>
        </w:tc>
        <w:tc>
          <w:tcPr>
            <w:tcW w:type="dxa" w:w="6523"/>
            <w:shd w:val="clear" w:color="auto" w:fill="FAF7F0"/>
          </w:tcPr>
          <w:p>
            <w:pPr>
              <w:spacing w:before="0" w:after="0" w:line="240" w:lineRule="auto"/>
            </w:pPr>
            <w:r>
              <w:rPr>
                <w:color w:val="1A1A1A"/>
                <w:sz w:val="16"/>
              </w:rPr>
              <w:t>Moderate oven</w:t>
            </w:r>
          </w:p>
        </w:tc>
      </w:tr>
    </w:tbl>
    <w:p>
      <w:pPr>
        <w:spacing w:after="40"/>
      </w:pPr>
    </w:p>
    <w:p>
      <w:pPr>
        <w:pStyle w:val="Heading2"/>
        <w:spacing w:before="280"/>
      </w:pPr>
      <w:r>
        <w:t>Quick weight, volume and area table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304"/>
        <w:gridCol w:w="2015"/>
        <w:gridCol w:w="4795"/>
      </w:tblGrid>
      <w:tr>
        <w:trPr>
          <w:tblHeader w:val="true"/>
          <w:cantSplit/>
        </w:trPr>
        <w:tc>
          <w:tcPr>
            <w:tcW w:type="dxa" w:w="2304"/>
            <w:shd w:val="clear" w:color="auto" w:fill="1A1A1A"/>
          </w:tcPr>
          <w:p>
            <w:pPr>
              <w:spacing w:before="0" w:after="0" w:line="240" w:lineRule="auto"/>
            </w:pPr>
            <w:r>
              <w:rPr>
                <w:b/>
                <w:color w:val="FFFFFF"/>
                <w:sz w:val="16"/>
              </w:rPr>
              <w:t>US or imperial</w:t>
            </w:r>
          </w:p>
        </w:tc>
        <w:tc>
          <w:tcPr>
            <w:tcW w:type="dxa" w:w="2016"/>
            <w:shd w:val="clear" w:color="auto" w:fill="1A1A1A"/>
          </w:tcPr>
          <w:p>
            <w:pPr>
              <w:spacing w:before="0" w:after="0" w:line="240" w:lineRule="auto"/>
            </w:pPr>
            <w:r>
              <w:rPr>
                <w:b/>
                <w:color w:val="FFFFFF"/>
                <w:sz w:val="16"/>
              </w:rPr>
              <w:t>Metric</w:t>
            </w:r>
          </w:p>
        </w:tc>
        <w:tc>
          <w:tcPr>
            <w:tcW w:type="dxa" w:w="4795"/>
            <w:shd w:val="clear" w:color="auto" w:fill="1A1A1A"/>
          </w:tcPr>
          <w:p>
            <w:pPr>
              <w:spacing w:before="0" w:after="0" w:line="240" w:lineRule="auto"/>
            </w:pPr>
            <w:r>
              <w:rPr>
                <w:b/>
                <w:color w:val="FFFFFF"/>
                <w:sz w:val="16"/>
              </w:rPr>
              <w:t>Note</w:t>
            </w:r>
          </w:p>
        </w:tc>
      </w:tr>
      <w:tr>
        <w:trPr>
          <w:cantSplit/>
        </w:trPr>
        <w:tc>
          <w:tcPr>
            <w:tcW w:type="dxa" w:w="2304"/>
          </w:tcPr>
          <w:p>
            <w:pPr>
              <w:spacing w:before="0" w:after="0" w:line="240" w:lineRule="auto"/>
            </w:pPr>
            <w:r>
              <w:rPr>
                <w:color w:val="1A1A1A"/>
                <w:sz w:val="16"/>
              </w:rPr>
              <w:t>1 oz</w:t>
            </w:r>
          </w:p>
        </w:tc>
        <w:tc>
          <w:tcPr>
            <w:tcW w:type="dxa" w:w="2016"/>
          </w:tcPr>
          <w:p>
            <w:pPr>
              <w:spacing w:before="0" w:after="0" w:line="240" w:lineRule="auto"/>
            </w:pPr>
            <w:r>
              <w:rPr>
                <w:color w:val="1A1A1A"/>
                <w:sz w:val="16"/>
              </w:rPr>
              <w:t>28.35 g</w:t>
            </w:r>
          </w:p>
        </w:tc>
        <w:tc>
          <w:tcPr>
            <w:tcW w:type="dxa" w:w="4795"/>
          </w:tcPr>
          <w:p>
            <w:pPr>
              <w:spacing w:before="0" w:after="0" w:line="240" w:lineRule="auto"/>
            </w:pPr>
            <w:r>
              <w:rPr>
                <w:color w:val="1A1A1A"/>
                <w:sz w:val="16"/>
              </w:rPr>
              <w:t>Weight ounce</w:t>
            </w:r>
          </w:p>
        </w:tc>
      </w:tr>
      <w:tr>
        <w:trPr>
          <w:cantSplit/>
        </w:trPr>
        <w:tc>
          <w:tcPr>
            <w:tcW w:type="dxa" w:w="2304"/>
            <w:shd w:val="clear" w:color="auto" w:fill="FAF7F0"/>
          </w:tcPr>
          <w:p>
            <w:pPr>
              <w:spacing w:before="0" w:after="0" w:line="240" w:lineRule="auto"/>
            </w:pPr>
            <w:r>
              <w:rPr>
                <w:color w:val="1A1A1A"/>
                <w:sz w:val="16"/>
              </w:rPr>
              <w:t>4 oz</w:t>
            </w:r>
          </w:p>
        </w:tc>
        <w:tc>
          <w:tcPr>
            <w:tcW w:type="dxa" w:w="2016"/>
            <w:shd w:val="clear" w:color="auto" w:fill="FAF7F0"/>
          </w:tcPr>
          <w:p>
            <w:pPr>
              <w:spacing w:before="0" w:after="0" w:line="240" w:lineRule="auto"/>
            </w:pPr>
            <w:r>
              <w:rPr>
                <w:color w:val="1A1A1A"/>
                <w:sz w:val="16"/>
              </w:rPr>
              <w:t>113.4 g</w:t>
            </w:r>
          </w:p>
        </w:tc>
        <w:tc>
          <w:tcPr>
            <w:tcW w:type="dxa" w:w="4795"/>
            <w:shd w:val="clear" w:color="auto" w:fill="FAF7F0"/>
          </w:tcPr>
          <w:p>
            <w:pPr>
              <w:spacing w:before="0" w:after="0" w:line="240" w:lineRule="auto"/>
            </w:pPr>
            <w:r>
              <w:rPr>
                <w:color w:val="1A1A1A"/>
                <w:sz w:val="16"/>
              </w:rPr>
              <w:t>Quarter pound</w:t>
            </w:r>
          </w:p>
        </w:tc>
      </w:tr>
      <w:tr>
        <w:trPr>
          <w:cantSplit/>
        </w:trPr>
        <w:tc>
          <w:tcPr>
            <w:tcW w:type="dxa" w:w="2304"/>
          </w:tcPr>
          <w:p>
            <w:pPr>
              <w:spacing w:before="0" w:after="0" w:line="240" w:lineRule="auto"/>
            </w:pPr>
            <w:r>
              <w:rPr>
                <w:color w:val="1A1A1A"/>
                <w:sz w:val="16"/>
              </w:rPr>
              <w:t>1 lb</w:t>
            </w:r>
          </w:p>
        </w:tc>
        <w:tc>
          <w:tcPr>
            <w:tcW w:type="dxa" w:w="2016"/>
          </w:tcPr>
          <w:p>
            <w:pPr>
              <w:spacing w:before="0" w:after="0" w:line="240" w:lineRule="auto"/>
            </w:pPr>
            <w:r>
              <w:rPr>
                <w:color w:val="1A1A1A"/>
                <w:sz w:val="16"/>
              </w:rPr>
              <w:t>453.6 g</w:t>
            </w:r>
          </w:p>
        </w:tc>
        <w:tc>
          <w:tcPr>
            <w:tcW w:type="dxa" w:w="4795"/>
          </w:tcPr>
          <w:p>
            <w:pPr>
              <w:spacing w:before="0" w:after="0" w:line="240" w:lineRule="auto"/>
            </w:pPr>
            <w:r>
              <w:rPr>
                <w:color w:val="1A1A1A"/>
                <w:sz w:val="16"/>
              </w:rPr>
              <w:t>16 oz</w:t>
            </w:r>
          </w:p>
        </w:tc>
      </w:tr>
      <w:tr>
        <w:trPr>
          <w:cantSplit/>
        </w:trPr>
        <w:tc>
          <w:tcPr>
            <w:tcW w:type="dxa" w:w="2304"/>
            <w:shd w:val="clear" w:color="auto" w:fill="FAF7F0"/>
          </w:tcPr>
          <w:p>
            <w:pPr>
              <w:spacing w:before="0" w:after="0" w:line="240" w:lineRule="auto"/>
            </w:pPr>
            <w:r>
              <w:rPr>
                <w:color w:val="1A1A1A"/>
                <w:sz w:val="16"/>
              </w:rPr>
              <w:t>5 lb</w:t>
            </w:r>
          </w:p>
        </w:tc>
        <w:tc>
          <w:tcPr>
            <w:tcW w:type="dxa" w:w="2016"/>
            <w:shd w:val="clear" w:color="auto" w:fill="FAF7F0"/>
          </w:tcPr>
          <w:p>
            <w:pPr>
              <w:spacing w:before="0" w:after="0" w:line="240" w:lineRule="auto"/>
            </w:pPr>
            <w:r>
              <w:rPr>
                <w:color w:val="1A1A1A"/>
                <w:sz w:val="16"/>
              </w:rPr>
              <w:t>2.268 kg</w:t>
            </w:r>
          </w:p>
        </w:tc>
        <w:tc>
          <w:tcPr>
            <w:tcW w:type="dxa" w:w="4795"/>
            <w:shd w:val="clear" w:color="auto" w:fill="FAF7F0"/>
          </w:tcPr>
          <w:p>
            <w:pPr>
              <w:spacing w:before="0" w:after="0" w:line="240" w:lineRule="auto"/>
            </w:pPr>
          </w:p>
        </w:tc>
      </w:tr>
      <w:tr>
        <w:trPr>
          <w:cantSplit/>
        </w:trPr>
        <w:tc>
          <w:tcPr>
            <w:tcW w:type="dxa" w:w="2304"/>
          </w:tcPr>
          <w:p>
            <w:pPr>
              <w:spacing w:before="0" w:after="0" w:line="240" w:lineRule="auto"/>
            </w:pPr>
            <w:r>
              <w:rPr>
                <w:color w:val="1A1A1A"/>
                <w:sz w:val="16"/>
              </w:rPr>
              <w:t>50 lb</w:t>
            </w:r>
          </w:p>
        </w:tc>
        <w:tc>
          <w:tcPr>
            <w:tcW w:type="dxa" w:w="2016"/>
          </w:tcPr>
          <w:p>
            <w:pPr>
              <w:spacing w:before="0" w:after="0" w:line="240" w:lineRule="auto"/>
            </w:pPr>
            <w:r>
              <w:rPr>
                <w:color w:val="1A1A1A"/>
                <w:sz w:val="16"/>
              </w:rPr>
              <w:t>22.68 kg</w:t>
            </w:r>
          </w:p>
        </w:tc>
        <w:tc>
          <w:tcPr>
            <w:tcW w:type="dxa" w:w="4795"/>
          </w:tcPr>
          <w:p>
            <w:pPr>
              <w:spacing w:before="0" w:after="0" w:line="240" w:lineRule="auto"/>
            </w:pPr>
          </w:p>
        </w:tc>
      </w:tr>
      <w:tr>
        <w:trPr>
          <w:cantSplit/>
        </w:trPr>
        <w:tc>
          <w:tcPr>
            <w:tcW w:type="dxa" w:w="2304"/>
            <w:shd w:val="clear" w:color="auto" w:fill="FAF7F0"/>
          </w:tcPr>
          <w:p>
            <w:pPr>
              <w:spacing w:before="0" w:after="0" w:line="240" w:lineRule="auto"/>
            </w:pPr>
            <w:r>
              <w:rPr>
                <w:color w:val="1A1A1A"/>
                <w:sz w:val="16"/>
              </w:rPr>
              <w:t>1 US fl oz</w:t>
            </w:r>
          </w:p>
        </w:tc>
        <w:tc>
          <w:tcPr>
            <w:tcW w:type="dxa" w:w="2016"/>
            <w:shd w:val="clear" w:color="auto" w:fill="FAF7F0"/>
          </w:tcPr>
          <w:p>
            <w:pPr>
              <w:spacing w:before="0" w:after="0" w:line="240" w:lineRule="auto"/>
            </w:pPr>
            <w:r>
              <w:rPr>
                <w:color w:val="1A1A1A"/>
                <w:sz w:val="16"/>
              </w:rPr>
              <w:t>29.57 ml</w:t>
            </w:r>
          </w:p>
        </w:tc>
        <w:tc>
          <w:tcPr>
            <w:tcW w:type="dxa" w:w="4795"/>
            <w:shd w:val="clear" w:color="auto" w:fill="FAF7F0"/>
          </w:tcPr>
          <w:p>
            <w:pPr>
              <w:spacing w:before="0" w:after="0" w:line="240" w:lineRule="auto"/>
            </w:pPr>
            <w:r>
              <w:rPr>
                <w:color w:val="1A1A1A"/>
                <w:sz w:val="16"/>
              </w:rPr>
              <w:t>Volume, not weight</w:t>
            </w:r>
          </w:p>
        </w:tc>
      </w:tr>
      <w:tr>
        <w:trPr>
          <w:cantSplit/>
        </w:trPr>
        <w:tc>
          <w:tcPr>
            <w:tcW w:type="dxa" w:w="2304"/>
          </w:tcPr>
          <w:p>
            <w:pPr>
              <w:spacing w:before="0" w:after="0" w:line="240" w:lineRule="auto"/>
            </w:pPr>
            <w:r>
              <w:rPr>
                <w:color w:val="1A1A1A"/>
                <w:sz w:val="16"/>
              </w:rPr>
              <w:t>1.5 US fl oz</w:t>
            </w:r>
          </w:p>
        </w:tc>
        <w:tc>
          <w:tcPr>
            <w:tcW w:type="dxa" w:w="2016"/>
          </w:tcPr>
          <w:p>
            <w:pPr>
              <w:spacing w:before="0" w:after="0" w:line="240" w:lineRule="auto"/>
            </w:pPr>
            <w:r>
              <w:rPr>
                <w:color w:val="1A1A1A"/>
                <w:sz w:val="16"/>
              </w:rPr>
              <w:t>44.4 ml</w:t>
            </w:r>
          </w:p>
        </w:tc>
        <w:tc>
          <w:tcPr>
            <w:tcW w:type="dxa" w:w="4795"/>
          </w:tcPr>
          <w:p>
            <w:pPr>
              <w:spacing w:before="0" w:after="0" w:line="240" w:lineRule="auto"/>
            </w:pPr>
            <w:r>
              <w:rPr>
                <w:color w:val="1A1A1A"/>
                <w:sz w:val="16"/>
              </w:rPr>
              <w:t>US standard spirits pour</w:t>
            </w:r>
          </w:p>
        </w:tc>
      </w:tr>
      <w:tr>
        <w:trPr>
          <w:cantSplit/>
        </w:trPr>
        <w:tc>
          <w:tcPr>
            <w:tcW w:type="dxa" w:w="2304"/>
            <w:shd w:val="clear" w:color="auto" w:fill="FAF7F0"/>
          </w:tcPr>
          <w:p>
            <w:pPr>
              <w:spacing w:before="0" w:after="0" w:line="240" w:lineRule="auto"/>
            </w:pPr>
            <w:r>
              <w:rPr>
                <w:color w:val="1A1A1A"/>
                <w:sz w:val="16"/>
              </w:rPr>
              <w:t>1 cup</w:t>
            </w:r>
          </w:p>
        </w:tc>
        <w:tc>
          <w:tcPr>
            <w:tcW w:type="dxa" w:w="2016"/>
            <w:shd w:val="clear" w:color="auto" w:fill="FAF7F0"/>
          </w:tcPr>
          <w:p>
            <w:pPr>
              <w:spacing w:before="0" w:after="0" w:line="240" w:lineRule="auto"/>
            </w:pPr>
            <w:r>
              <w:rPr>
                <w:color w:val="1A1A1A"/>
                <w:sz w:val="16"/>
              </w:rPr>
              <w:t>237 ml</w:t>
            </w:r>
          </w:p>
        </w:tc>
        <w:tc>
          <w:tcPr>
            <w:tcW w:type="dxa" w:w="4795"/>
            <w:shd w:val="clear" w:color="auto" w:fill="FAF7F0"/>
          </w:tcPr>
          <w:p>
            <w:pPr>
              <w:spacing w:before="0" w:after="0" w:line="240" w:lineRule="auto"/>
            </w:pPr>
            <w:r>
              <w:rPr>
                <w:color w:val="1A1A1A"/>
                <w:sz w:val="16"/>
              </w:rPr>
              <w:t>8 US fl oz</w:t>
            </w:r>
          </w:p>
        </w:tc>
      </w:tr>
      <w:tr>
        <w:trPr>
          <w:cantSplit/>
        </w:trPr>
        <w:tc>
          <w:tcPr>
            <w:tcW w:type="dxa" w:w="2304"/>
          </w:tcPr>
          <w:p>
            <w:pPr>
              <w:spacing w:before="0" w:after="0" w:line="240" w:lineRule="auto"/>
            </w:pPr>
            <w:r>
              <w:rPr>
                <w:color w:val="1A1A1A"/>
                <w:sz w:val="16"/>
              </w:rPr>
              <w:t>1 US pint</w:t>
            </w:r>
          </w:p>
        </w:tc>
        <w:tc>
          <w:tcPr>
            <w:tcW w:type="dxa" w:w="2016"/>
          </w:tcPr>
          <w:p>
            <w:pPr>
              <w:spacing w:before="0" w:after="0" w:line="240" w:lineRule="auto"/>
            </w:pPr>
            <w:r>
              <w:rPr>
                <w:color w:val="1A1A1A"/>
                <w:sz w:val="16"/>
              </w:rPr>
              <w:t>473 ml</w:t>
            </w:r>
          </w:p>
        </w:tc>
        <w:tc>
          <w:tcPr>
            <w:tcW w:type="dxa" w:w="4795"/>
          </w:tcPr>
          <w:p>
            <w:pPr>
              <w:spacing w:before="0" w:after="0" w:line="240" w:lineRule="auto"/>
            </w:pPr>
            <w:r>
              <w:rPr>
                <w:color w:val="1A1A1A"/>
                <w:sz w:val="16"/>
              </w:rPr>
              <w:t>16 US fl oz</w:t>
            </w:r>
          </w:p>
        </w:tc>
      </w:tr>
      <w:tr>
        <w:trPr>
          <w:cantSplit/>
        </w:trPr>
        <w:tc>
          <w:tcPr>
            <w:tcW w:type="dxa" w:w="2304"/>
            <w:shd w:val="clear" w:color="auto" w:fill="FAF7F0"/>
          </w:tcPr>
          <w:p>
            <w:pPr>
              <w:spacing w:before="0" w:after="0" w:line="240" w:lineRule="auto"/>
            </w:pPr>
            <w:r>
              <w:rPr>
                <w:color w:val="1A1A1A"/>
                <w:sz w:val="16"/>
              </w:rPr>
              <w:t>1 imperial pint</w:t>
            </w:r>
          </w:p>
        </w:tc>
        <w:tc>
          <w:tcPr>
            <w:tcW w:type="dxa" w:w="2016"/>
            <w:shd w:val="clear" w:color="auto" w:fill="FAF7F0"/>
          </w:tcPr>
          <w:p>
            <w:pPr>
              <w:spacing w:before="0" w:after="0" w:line="240" w:lineRule="auto"/>
            </w:pPr>
            <w:r>
              <w:rPr>
                <w:color w:val="1A1A1A"/>
                <w:sz w:val="16"/>
              </w:rPr>
              <w:t>568 ml</w:t>
            </w:r>
          </w:p>
        </w:tc>
        <w:tc>
          <w:tcPr>
            <w:tcW w:type="dxa" w:w="4795"/>
            <w:shd w:val="clear" w:color="auto" w:fill="FAF7F0"/>
          </w:tcPr>
          <w:p>
            <w:pPr>
              <w:spacing w:before="0" w:after="0" w:line="240" w:lineRule="auto"/>
            </w:pPr>
            <w:r>
              <w:rPr>
                <w:color w:val="1A1A1A"/>
                <w:sz w:val="16"/>
              </w:rPr>
              <w:t>20 imperial fl oz</w:t>
            </w:r>
          </w:p>
        </w:tc>
      </w:tr>
      <w:tr>
        <w:trPr>
          <w:cantSplit/>
        </w:trPr>
        <w:tc>
          <w:tcPr>
            <w:tcW w:type="dxa" w:w="2304"/>
          </w:tcPr>
          <w:p>
            <w:pPr>
              <w:spacing w:before="0" w:after="0" w:line="240" w:lineRule="auto"/>
            </w:pPr>
            <w:r>
              <w:rPr>
                <w:color w:val="1A1A1A"/>
                <w:sz w:val="16"/>
              </w:rPr>
              <w:t>1 US quart</w:t>
            </w:r>
          </w:p>
        </w:tc>
        <w:tc>
          <w:tcPr>
            <w:tcW w:type="dxa" w:w="2016"/>
          </w:tcPr>
          <w:p>
            <w:pPr>
              <w:spacing w:before="0" w:after="0" w:line="240" w:lineRule="auto"/>
            </w:pPr>
            <w:r>
              <w:rPr>
                <w:color w:val="1A1A1A"/>
                <w:sz w:val="16"/>
              </w:rPr>
              <w:t>946 ml</w:t>
            </w:r>
          </w:p>
        </w:tc>
        <w:tc>
          <w:tcPr>
            <w:tcW w:type="dxa" w:w="4795"/>
          </w:tcPr>
          <w:p>
            <w:pPr>
              <w:spacing w:before="0" w:after="0" w:line="240" w:lineRule="auto"/>
            </w:pPr>
            <w:r>
              <w:rPr>
                <w:color w:val="1A1A1A"/>
                <w:sz w:val="16"/>
              </w:rPr>
              <w:t>32 US fl oz</w:t>
            </w:r>
          </w:p>
        </w:tc>
      </w:tr>
      <w:tr>
        <w:trPr>
          <w:cantSplit/>
        </w:trPr>
        <w:tc>
          <w:tcPr>
            <w:tcW w:type="dxa" w:w="2304"/>
            <w:shd w:val="clear" w:color="auto" w:fill="FAF7F0"/>
          </w:tcPr>
          <w:p>
            <w:pPr>
              <w:spacing w:before="0" w:after="0" w:line="240" w:lineRule="auto"/>
            </w:pPr>
            <w:r>
              <w:rPr>
                <w:color w:val="1A1A1A"/>
                <w:sz w:val="16"/>
              </w:rPr>
              <w:t>1 US gallon</w:t>
            </w:r>
          </w:p>
        </w:tc>
        <w:tc>
          <w:tcPr>
            <w:tcW w:type="dxa" w:w="2016"/>
            <w:shd w:val="clear" w:color="auto" w:fill="FAF7F0"/>
          </w:tcPr>
          <w:p>
            <w:pPr>
              <w:spacing w:before="0" w:after="0" w:line="240" w:lineRule="auto"/>
            </w:pPr>
            <w:r>
              <w:rPr>
                <w:color w:val="1A1A1A"/>
                <w:sz w:val="16"/>
              </w:rPr>
              <w:t>3.785 L</w:t>
            </w:r>
          </w:p>
        </w:tc>
        <w:tc>
          <w:tcPr>
            <w:tcW w:type="dxa" w:w="4795"/>
            <w:shd w:val="clear" w:color="auto" w:fill="FAF7F0"/>
          </w:tcPr>
          <w:p>
            <w:pPr>
              <w:spacing w:before="0" w:after="0" w:line="240" w:lineRule="auto"/>
            </w:pPr>
            <w:r>
              <w:rPr>
                <w:color w:val="1A1A1A"/>
                <w:sz w:val="16"/>
              </w:rPr>
              <w:t>128 US fl oz</w:t>
            </w:r>
          </w:p>
        </w:tc>
      </w:tr>
      <w:tr>
        <w:trPr>
          <w:cantSplit/>
        </w:trPr>
        <w:tc>
          <w:tcPr>
            <w:tcW w:type="dxa" w:w="2304"/>
          </w:tcPr>
          <w:p>
            <w:pPr>
              <w:spacing w:before="0" w:after="0" w:line="240" w:lineRule="auto"/>
            </w:pPr>
            <w:r>
              <w:rPr>
                <w:color w:val="1A1A1A"/>
                <w:sz w:val="16"/>
              </w:rPr>
              <w:t>1 imperial gallon</w:t>
            </w:r>
          </w:p>
        </w:tc>
        <w:tc>
          <w:tcPr>
            <w:tcW w:type="dxa" w:w="2016"/>
          </w:tcPr>
          <w:p>
            <w:pPr>
              <w:spacing w:before="0" w:after="0" w:line="240" w:lineRule="auto"/>
            </w:pPr>
            <w:r>
              <w:rPr>
                <w:color w:val="1A1A1A"/>
                <w:sz w:val="16"/>
              </w:rPr>
              <w:t>4.546 L</w:t>
            </w:r>
          </w:p>
        </w:tc>
        <w:tc>
          <w:tcPr>
            <w:tcW w:type="dxa" w:w="4795"/>
          </w:tcPr>
          <w:p>
            <w:pPr>
              <w:spacing w:before="0" w:after="0" w:line="240" w:lineRule="auto"/>
            </w:pPr>
            <w:r>
              <w:rPr>
                <w:color w:val="1A1A1A"/>
                <w:sz w:val="16"/>
              </w:rPr>
              <w:t>About 20% larger than a US gallon</w:t>
            </w:r>
          </w:p>
        </w:tc>
      </w:tr>
      <w:tr>
        <w:trPr>
          <w:cantSplit/>
        </w:trPr>
        <w:tc>
          <w:tcPr>
            <w:tcW w:type="dxa" w:w="2304"/>
            <w:shd w:val="clear" w:color="auto" w:fill="FAF7F0"/>
          </w:tcPr>
          <w:p>
            <w:pPr>
              <w:spacing w:before="0" w:after="0" w:line="240" w:lineRule="auto"/>
            </w:pPr>
            <w:r>
              <w:rPr>
                <w:color w:val="1A1A1A"/>
                <w:sz w:val="16"/>
              </w:rPr>
              <w:t>750 ml bottle</w:t>
            </w:r>
          </w:p>
        </w:tc>
        <w:tc>
          <w:tcPr>
            <w:tcW w:type="dxa" w:w="2016"/>
            <w:shd w:val="clear" w:color="auto" w:fill="FAF7F0"/>
          </w:tcPr>
          <w:p>
            <w:pPr>
              <w:spacing w:before="0" w:after="0" w:line="240" w:lineRule="auto"/>
            </w:pPr>
            <w:r>
              <w:rPr>
                <w:color w:val="1A1A1A"/>
                <w:sz w:val="16"/>
              </w:rPr>
              <w:t>25.4 US fl oz</w:t>
            </w:r>
          </w:p>
        </w:tc>
        <w:tc>
          <w:tcPr>
            <w:tcW w:type="dxa" w:w="4795"/>
            <w:shd w:val="clear" w:color="auto" w:fill="FAF7F0"/>
          </w:tcPr>
          <w:p>
            <w:pPr>
              <w:spacing w:before="0" w:after="0" w:line="240" w:lineRule="auto"/>
            </w:pPr>
            <w:r>
              <w:rPr>
                <w:color w:val="1A1A1A"/>
                <w:sz w:val="16"/>
              </w:rPr>
              <w:t>Wine and spirits</w:t>
            </w:r>
          </w:p>
        </w:tc>
      </w:tr>
      <w:tr>
        <w:trPr>
          <w:cantSplit/>
        </w:trPr>
        <w:tc>
          <w:tcPr>
            <w:tcW w:type="dxa" w:w="2304"/>
          </w:tcPr>
          <w:p>
            <w:pPr>
              <w:spacing w:before="0" w:after="0" w:line="240" w:lineRule="auto"/>
            </w:pPr>
            <w:r>
              <w:rPr>
                <w:color w:val="1A1A1A"/>
                <w:sz w:val="16"/>
              </w:rPr>
              <w:t>1 L</w:t>
            </w:r>
          </w:p>
        </w:tc>
        <w:tc>
          <w:tcPr>
            <w:tcW w:type="dxa" w:w="2016"/>
          </w:tcPr>
          <w:p>
            <w:pPr>
              <w:spacing w:before="0" w:after="0" w:line="240" w:lineRule="auto"/>
            </w:pPr>
            <w:r>
              <w:rPr>
                <w:color w:val="1A1A1A"/>
                <w:sz w:val="16"/>
              </w:rPr>
              <w:t>33.8 US fl oz</w:t>
            </w:r>
          </w:p>
        </w:tc>
        <w:tc>
          <w:tcPr>
            <w:tcW w:type="dxa" w:w="4795"/>
          </w:tcPr>
          <w:p>
            <w:pPr>
              <w:spacing w:before="0" w:after="0" w:line="240" w:lineRule="auto"/>
            </w:pPr>
            <w:r>
              <w:rPr>
                <w:color w:val="1A1A1A"/>
                <w:sz w:val="16"/>
              </w:rPr>
              <w:t>35.2 imperial fl oz</w:t>
            </w:r>
          </w:p>
        </w:tc>
      </w:tr>
      <w:tr>
        <w:trPr>
          <w:cantSplit/>
        </w:trPr>
        <w:tc>
          <w:tcPr>
            <w:tcW w:type="dxa" w:w="2304"/>
            <w:shd w:val="clear" w:color="auto" w:fill="FAF7F0"/>
          </w:tcPr>
          <w:p>
            <w:pPr>
              <w:spacing w:before="0" w:after="0" w:line="240" w:lineRule="auto"/>
            </w:pPr>
            <w:r>
              <w:rPr>
                <w:color w:val="1A1A1A"/>
                <w:sz w:val="16"/>
              </w:rPr>
              <w:t>100 sq ft</w:t>
            </w:r>
          </w:p>
        </w:tc>
        <w:tc>
          <w:tcPr>
            <w:tcW w:type="dxa" w:w="2016"/>
            <w:shd w:val="clear" w:color="auto" w:fill="FAF7F0"/>
          </w:tcPr>
          <w:p>
            <w:pPr>
              <w:spacing w:before="0" w:after="0" w:line="240" w:lineRule="auto"/>
            </w:pPr>
            <w:r>
              <w:rPr>
                <w:color w:val="1A1A1A"/>
                <w:sz w:val="16"/>
              </w:rPr>
              <w:t>9.29 m²</w:t>
            </w:r>
          </w:p>
        </w:tc>
        <w:tc>
          <w:tcPr>
            <w:tcW w:type="dxa" w:w="4795"/>
            <w:shd w:val="clear" w:color="auto" w:fill="FAF7F0"/>
          </w:tcPr>
          <w:p>
            <w:pPr>
              <w:spacing w:before="0" w:after="0" w:line="240" w:lineRule="auto"/>
            </w:pPr>
          </w:p>
        </w:tc>
      </w:tr>
      <w:tr>
        <w:trPr>
          <w:cantSplit/>
        </w:trPr>
        <w:tc>
          <w:tcPr>
            <w:tcW w:type="dxa" w:w="2304"/>
          </w:tcPr>
          <w:p>
            <w:pPr>
              <w:spacing w:before="0" w:after="0" w:line="240" w:lineRule="auto"/>
            </w:pPr>
            <w:r>
              <w:rPr>
                <w:color w:val="1A1A1A"/>
                <w:sz w:val="16"/>
              </w:rPr>
              <w:t>1,000 sq ft</w:t>
            </w:r>
          </w:p>
        </w:tc>
        <w:tc>
          <w:tcPr>
            <w:tcW w:type="dxa" w:w="2016"/>
          </w:tcPr>
          <w:p>
            <w:pPr>
              <w:spacing w:before="0" w:after="0" w:line="240" w:lineRule="auto"/>
            </w:pPr>
            <w:r>
              <w:rPr>
                <w:color w:val="1A1A1A"/>
                <w:sz w:val="16"/>
              </w:rPr>
              <w:t>92.9 m²</w:t>
            </w:r>
          </w:p>
        </w:tc>
        <w:tc>
          <w:tcPr>
            <w:tcW w:type="dxa" w:w="4795"/>
          </w:tcPr>
          <w:p>
            <w:pPr>
              <w:spacing w:before="0" w:after="0" w:line="240" w:lineRule="auto"/>
            </w:pPr>
          </w:p>
        </w:tc>
      </w:tr>
      <w:tr>
        <w:trPr>
          <w:cantSplit/>
        </w:trPr>
        <w:tc>
          <w:tcPr>
            <w:tcW w:type="dxa" w:w="2304"/>
            <w:shd w:val="clear" w:color="auto" w:fill="FAF7F0"/>
          </w:tcPr>
          <w:p>
            <w:pPr>
              <w:spacing w:before="0" w:after="0" w:line="240" w:lineRule="auto"/>
            </w:pPr>
            <w:r>
              <w:rPr>
                <w:color w:val="1A1A1A"/>
                <w:sz w:val="16"/>
              </w:rPr>
              <w:t>2,500 sq ft</w:t>
            </w:r>
          </w:p>
        </w:tc>
        <w:tc>
          <w:tcPr>
            <w:tcW w:type="dxa" w:w="2016"/>
            <w:shd w:val="clear" w:color="auto" w:fill="FAF7F0"/>
          </w:tcPr>
          <w:p>
            <w:pPr>
              <w:spacing w:before="0" w:after="0" w:line="240" w:lineRule="auto"/>
            </w:pPr>
            <w:r>
              <w:rPr>
                <w:color w:val="1A1A1A"/>
                <w:sz w:val="16"/>
              </w:rPr>
              <w:t>232.3 m²</w:t>
            </w:r>
          </w:p>
        </w:tc>
        <w:tc>
          <w:tcPr>
            <w:tcW w:type="dxa" w:w="4795"/>
            <w:shd w:val="clear" w:color="auto" w:fill="FAF7F0"/>
          </w:tcPr>
          <w:p>
            <w:pPr>
              <w:spacing w:before="0" w:after="0" w:line="240" w:lineRule="auto"/>
            </w:pPr>
          </w:p>
        </w:tc>
      </w:tr>
    </w:tbl>
    <w:p>
      <w:pPr>
        <w:spacing w:after="40"/>
      </w:pPr>
    </w:p>
    <w:p>
      <w:pPr>
        <w:pStyle w:val="Heading1"/>
        <w:keepNext/>
        <w:pageBreakBefore w:val="0"/>
        <w:spacing w:before="440"/>
      </w:pPr>
      <w:r>
        <w:t>10. Where to Check</w:t>
      </w:r>
    </w:p>
    <w:p>
      <w:pPr>
        <w:keepNext/>
      </w:pPr>
      <w:r>
        <w:rPr>
          <w:color w:val="C6A664"/>
          <w:sz w:val="16"/>
        </w:rPr>
        <w:t>━━━━━━━━━━━━━━━━━━━━━━━━━━━━━━━━━━━━━━━━━━━━━━━━━━</w:t>
      </w:r>
    </w:p>
    <w:p>
      <w:pPr>
        <w:spacing w:line="288" w:lineRule="auto"/>
      </w:pPr>
      <w:r>
        <w:t>These are the official pages behind this guide, checked in October 2026, and the places to look up the figures that change every year (minimum wages, thresholds, contribution rates). Go back to them before you rely on a number: the page is always more current than any printed guide.</w:t>
      </w:r>
    </w:p>
    <w:p>
      <w:pPr>
        <w:pStyle w:val="Heading2"/>
        <w:spacing w:before="280"/>
      </w:pPr>
      <w:r>
        <w:t>United States</w:t>
      </w:r>
    </w:p>
    <w:p>
      <w:pPr>
        <w:pStyle w:val="ListBullet"/>
        <w:spacing w:after="20" w:line="240" w:lineRule="auto"/>
      </w:pPr>
      <w:r>
        <w:rPr>
          <w:b/>
          <w:sz w:val="18"/>
        </w:rPr>
        <w:t xml:space="preserve">FDA Food Code 2022: </w:t>
      </w:r>
      <w:hyperlink r:id="rId11">
        <w:r>
          <w:rPr>
            <w:color w:val="8A6D2B"/>
            <w:u w:val="single"/>
            <w:sz w:val="17"/>
          </w:rPr>
          <w:t xml:space="preserve">www.fda.gov/food/fda-food-code/food-code-2022</w:t>
        </w:r>
      </w:hyperlink>
    </w:p>
    <w:p>
      <w:pPr>
        <w:pStyle w:val="ListBullet"/>
        <w:spacing w:after="20" w:line="240" w:lineRule="auto"/>
      </w:pPr>
      <w:r>
        <w:rPr>
          <w:b/>
          <w:sz w:val="18"/>
        </w:rPr>
        <w:t xml:space="preserve">FDA: the 9 major food allergens: </w:t>
      </w:r>
      <w:hyperlink r:id="rId12">
        <w:r>
          <w:rPr>
            <w:color w:val="8A6D2B"/>
            <w:u w:val="single"/>
            <w:sz w:val="17"/>
          </w:rPr>
          <w:t xml:space="preserve">www.fda.gov/food/nutrition-food-labeling-and-critical-foods/food-allergies</w:t>
        </w:r>
      </w:hyperlink>
    </w:p>
    <w:p>
      <w:pPr>
        <w:pStyle w:val="ListBullet"/>
        <w:spacing w:after="20" w:line="240" w:lineRule="auto"/>
      </w:pPr>
      <w:r>
        <w:rPr>
          <w:b/>
          <w:sz w:val="18"/>
        </w:rPr>
        <w:t xml:space="preserve">Department of Labor: overtime (FLSA): </w:t>
      </w:r>
      <w:hyperlink r:id="rId13">
        <w:r>
          <w:rPr>
            <w:color w:val="8A6D2B"/>
            <w:u w:val="single"/>
            <w:sz w:val="17"/>
          </w:rPr>
          <w:t xml:space="preserve">www.dol.gov/agencies/whd/overtime</w:t>
        </w:r>
      </w:hyperlink>
    </w:p>
    <w:p>
      <w:pPr>
        <w:pStyle w:val="ListBullet"/>
        <w:spacing w:after="20" w:line="240" w:lineRule="auto"/>
      </w:pPr>
      <w:r>
        <w:rPr>
          <w:b/>
          <w:sz w:val="18"/>
        </w:rPr>
        <w:t xml:space="preserve">Department of Labor: state minimum wages: </w:t>
      </w:r>
      <w:hyperlink r:id="rId14">
        <w:r>
          <w:rPr>
            <w:color w:val="8A6D2B"/>
            <w:u w:val="single"/>
            <w:sz w:val="17"/>
          </w:rPr>
          <w:t xml:space="preserve">www.dol.gov/agencies/whd/minimum-wage/state</w:t>
        </w:r>
      </w:hyperlink>
    </w:p>
    <w:p>
      <w:pPr>
        <w:pStyle w:val="ListBullet"/>
        <w:spacing w:after="20" w:line="240" w:lineRule="auto"/>
      </w:pPr>
      <w:r>
        <w:rPr>
          <w:b/>
          <w:sz w:val="18"/>
        </w:rPr>
        <w:t xml:space="preserve">IRS Topic 751: Social Security and Medicare: </w:t>
      </w:r>
      <w:hyperlink r:id="rId15">
        <w:r>
          <w:rPr>
            <w:color w:val="8A6D2B"/>
            <w:u w:val="single"/>
            <w:sz w:val="17"/>
          </w:rPr>
          <w:t xml:space="preserve">www.irs.gov/taxtopics/tc751</w:t>
        </w:r>
      </w:hyperlink>
    </w:p>
    <w:p>
      <w:pPr>
        <w:pStyle w:val="ListBullet"/>
        <w:spacing w:after="20" w:line="240" w:lineRule="auto"/>
      </w:pPr>
      <w:r>
        <w:rPr>
          <w:b/>
          <w:sz w:val="18"/>
        </w:rPr>
        <w:t xml:space="preserve">IRS Topic 759: federal unemployment tax (FUTA): </w:t>
      </w:r>
      <w:hyperlink r:id="rId16">
        <w:r>
          <w:rPr>
            <w:color w:val="8A6D2B"/>
            <w:u w:val="single"/>
            <w:sz w:val="17"/>
          </w:rPr>
          <w:t xml:space="preserve">www.irs.gov/taxtopics/tc759</w:t>
        </w:r>
      </w:hyperlink>
    </w:p>
    <w:p>
      <w:pPr>
        <w:pStyle w:val="ListBullet"/>
        <w:spacing w:after="20" w:line="240" w:lineRule="auto"/>
      </w:pPr>
      <w:r>
        <w:rPr>
          <w:b/>
          <w:sz w:val="18"/>
        </w:rPr>
        <w:t xml:space="preserve">IRS: tips and service charges: </w:t>
      </w:r>
      <w:hyperlink r:id="rId17">
        <w:r>
          <w:rPr>
            <w:color w:val="8A6D2B"/>
            <w:u w:val="single"/>
            <w:sz w:val="17"/>
          </w:rPr>
          <w:t xml:space="preserve">www.irs.gov/businesses/small-businesses-self-employed/tip-recordkeeping-and-reporting</w:t>
        </w:r>
      </w:hyperlink>
    </w:p>
    <w:p>
      <w:pPr>
        <w:pStyle w:val="ListBullet"/>
        <w:spacing w:after="20" w:line="240" w:lineRule="auto"/>
      </w:pPr>
      <w:r>
        <w:rPr>
          <w:b/>
          <w:sz w:val="18"/>
        </w:rPr>
        <w:t xml:space="preserve">IRS: get an EIN: </w:t>
      </w:r>
      <w:hyperlink r:id="rId18">
        <w:r>
          <w:rPr>
            <w:color w:val="8A6D2B"/>
            <w:u w:val="single"/>
            <w:sz w:val="17"/>
          </w:rPr>
          <w:t xml:space="preserve">www.irs.gov/businesses/small-businesses-self-employed/get-an-employer-identification-number</w:t>
        </w:r>
      </w:hyperlink>
    </w:p>
    <w:p>
      <w:pPr>
        <w:pStyle w:val="ListBullet"/>
        <w:spacing w:after="20" w:line="240" w:lineRule="auto"/>
      </w:pPr>
      <w:r>
        <w:rPr>
          <w:b/>
          <w:sz w:val="18"/>
        </w:rPr>
        <w:t xml:space="preserve">SBA: choose a business structure: </w:t>
      </w:r>
      <w:hyperlink r:id="rId19">
        <w:r>
          <w:rPr>
            <w:color w:val="8A6D2B"/>
            <w:u w:val="single"/>
            <w:sz w:val="17"/>
          </w:rPr>
          <w:t xml:space="preserve">www.sba.gov/business-guide/launch-your-business/choose-business-structure</w:t>
        </w:r>
      </w:hyperlink>
    </w:p>
    <w:p>
      <w:pPr>
        <w:pStyle w:val="ListBullet"/>
        <w:spacing w:after="20" w:line="240" w:lineRule="auto"/>
      </w:pPr>
      <w:r>
        <w:rPr>
          <w:b/>
          <w:sz w:val="18"/>
        </w:rPr>
        <w:t xml:space="preserve">SBA: pay taxes: </w:t>
      </w:r>
      <w:hyperlink r:id="rId20">
        <w:r>
          <w:rPr>
            <w:color w:val="8A6D2B"/>
            <w:u w:val="single"/>
            <w:sz w:val="17"/>
          </w:rPr>
          <w:t xml:space="preserve">www.sba.gov/business-guide/manage-your-business/pay-taxes</w:t>
        </w:r>
      </w:hyperlink>
    </w:p>
    <w:p>
      <w:pPr>
        <w:pStyle w:val="ListBullet"/>
        <w:spacing w:after="20" w:line="240" w:lineRule="auto"/>
      </w:pPr>
      <w:r>
        <w:rPr>
          <w:b/>
          <w:sz w:val="18"/>
        </w:rPr>
        <w:t xml:space="preserve">NIAAA: what is a standard drink: </w:t>
      </w:r>
      <w:hyperlink r:id="rId21">
        <w:r>
          <w:rPr>
            <w:color w:val="8A6D2B"/>
            <w:u w:val="single"/>
            <w:sz w:val="17"/>
          </w:rPr>
          <w:t xml:space="preserve">www.niaaa.nih.gov/alcohols-effects-health/what-standard-drink</w:t>
        </w:r>
      </w:hyperlink>
    </w:p>
    <w:p>
      <w:pPr>
        <w:pStyle w:val="ListBullet"/>
        <w:spacing w:after="20" w:line="240" w:lineRule="auto"/>
      </w:pPr>
      <w:r>
        <w:rPr>
          <w:b/>
          <w:sz w:val="18"/>
        </w:rPr>
        <w:t xml:space="preserve">California ABC: Responsible Beverage Service training: </w:t>
      </w:r>
      <w:hyperlink r:id="rId22">
        <w:r>
          <w:rPr>
            <w:color w:val="8A6D2B"/>
            <w:u w:val="single"/>
            <w:sz w:val="17"/>
          </w:rPr>
          <w:t xml:space="preserve">www.abc.ca.gov/education/rbs/</w:t>
        </w:r>
      </w:hyperlink>
    </w:p>
    <w:p>
      <w:pPr>
        <w:pStyle w:val="ListBullet"/>
        <w:spacing w:after="20" w:line="240" w:lineRule="auto"/>
      </w:pPr>
      <w:r>
        <w:rPr>
          <w:b/>
          <w:sz w:val="18"/>
        </w:rPr>
        <w:t xml:space="preserve">Texas TABC: certification FAQs: </w:t>
      </w:r>
      <w:hyperlink r:id="rId23">
        <w:r>
          <w:rPr>
            <w:color w:val="8A6D2B"/>
            <w:u w:val="single"/>
            <w:sz w:val="17"/>
          </w:rPr>
          <w:t xml:space="preserve">www.tabc.texas.gov/faqs/tabc-certification-faqs/</w:t>
        </w:r>
      </w:hyperlink>
    </w:p>
    <w:p>
      <w:pPr>
        <w:pStyle w:val="ListBullet"/>
        <w:spacing w:after="20" w:line="240" w:lineRule="auto"/>
      </w:pPr>
      <w:r>
        <w:rPr>
          <w:b/>
          <w:sz w:val="18"/>
        </w:rPr>
        <w:t xml:space="preserve">NIST Handbook 44, Appendix C: units and conversions: </w:t>
      </w:r>
      <w:hyperlink r:id="rId24">
        <w:r>
          <w:rPr>
            <w:color w:val="8A6D2B"/>
            <w:u w:val="single"/>
            <w:sz w:val="17"/>
          </w:rPr>
          <w:t xml:space="preserve">www.nist.gov/document/2026-nist-handbook-44-appendix-c</w:t>
        </w:r>
      </w:hyperlink>
    </w:p>
    <w:p>
      <w:pPr>
        <w:pStyle w:val="Heading2"/>
        <w:spacing w:before="280"/>
      </w:pPr>
      <w:r>
        <w:t>United Kingdom</w:t>
      </w:r>
    </w:p>
    <w:p>
      <w:pPr>
        <w:pStyle w:val="ListBullet"/>
        <w:spacing w:after="20" w:line="240" w:lineRule="auto"/>
      </w:pPr>
      <w:r>
        <w:rPr>
          <w:b/>
          <w:sz w:val="18"/>
        </w:rPr>
        <w:t xml:space="preserve">VAT rates: </w:t>
      </w:r>
      <w:hyperlink r:id="rId25">
        <w:r>
          <w:rPr>
            <w:color w:val="8A6D2B"/>
            <w:u w:val="single"/>
            <w:sz w:val="17"/>
          </w:rPr>
          <w:t xml:space="preserve">www.gov.uk/vat-rates</w:t>
        </w:r>
      </w:hyperlink>
    </w:p>
    <w:p>
      <w:pPr>
        <w:pStyle w:val="ListBullet"/>
        <w:spacing w:after="20" w:line="240" w:lineRule="auto"/>
      </w:pPr>
      <w:r>
        <w:rPr>
          <w:b/>
          <w:sz w:val="18"/>
        </w:rPr>
        <w:t xml:space="preserve">VAT Notice 701/14: food products (drinks, confectionery, crisps): </w:t>
      </w:r>
      <w:hyperlink r:id="rId26">
        <w:r>
          <w:rPr>
            <w:color w:val="8A6D2B"/>
            <w:u w:val="single"/>
            <w:sz w:val="17"/>
          </w:rPr>
          <w:t xml:space="preserve">www.gov.uk/guidance/food-products-and-vat-notice-70114</w:t>
        </w:r>
      </w:hyperlink>
    </w:p>
    <w:p>
      <w:pPr>
        <w:pStyle w:val="ListBullet"/>
        <w:spacing w:after="20" w:line="240" w:lineRule="auto"/>
      </w:pPr>
      <w:r>
        <w:rPr>
          <w:b/>
          <w:sz w:val="18"/>
        </w:rPr>
        <w:t xml:space="preserve">VAT Notice 709/1: catering and takeaway food: </w:t>
      </w:r>
      <w:hyperlink r:id="rId27">
        <w:r>
          <w:rPr>
            <w:color w:val="8A6D2B"/>
            <w:u w:val="single"/>
            <w:sz w:val="17"/>
          </w:rPr>
          <w:t xml:space="preserve">www.gov.uk/guidance/catering-takeaway-food-and-vat-notice-7091</w:t>
        </w:r>
      </w:hyperlink>
    </w:p>
    <w:p>
      <w:pPr>
        <w:pStyle w:val="ListBullet"/>
        <w:spacing w:after="20" w:line="240" w:lineRule="auto"/>
      </w:pPr>
      <w:r>
        <w:rPr>
          <w:b/>
          <w:sz w:val="18"/>
        </w:rPr>
        <w:t xml:space="preserve">Register for VAT: </w:t>
      </w:r>
      <w:hyperlink r:id="rId28">
        <w:r>
          <w:rPr>
            <w:color w:val="8A6D2B"/>
            <w:u w:val="single"/>
            <w:sz w:val="17"/>
          </w:rPr>
          <w:t xml:space="preserve">www.gov.uk/register-for-vat</w:t>
        </w:r>
      </w:hyperlink>
    </w:p>
    <w:p>
      <w:pPr>
        <w:pStyle w:val="ListBullet"/>
        <w:spacing w:after="20" w:line="240" w:lineRule="auto"/>
      </w:pPr>
      <w:r>
        <w:rPr>
          <w:b/>
          <w:sz w:val="18"/>
        </w:rPr>
        <w:t xml:space="preserve">Find your UTR number: </w:t>
      </w:r>
      <w:hyperlink r:id="rId29">
        <w:r>
          <w:rPr>
            <w:color w:val="8A6D2B"/>
            <w:u w:val="single"/>
            <w:sz w:val="17"/>
          </w:rPr>
          <w:t xml:space="preserve">www.gov.uk/find-utr-number</w:t>
        </w:r>
      </w:hyperlink>
    </w:p>
    <w:p>
      <w:pPr>
        <w:pStyle w:val="ListBullet"/>
        <w:spacing w:after="20" w:line="240" w:lineRule="auto"/>
      </w:pPr>
      <w:r>
        <w:rPr>
          <w:b/>
          <w:sz w:val="18"/>
        </w:rPr>
        <w:t xml:space="preserve">Introduction to business rates: </w:t>
      </w:r>
      <w:hyperlink r:id="rId30">
        <w:r>
          <w:rPr>
            <w:color w:val="8A6D2B"/>
            <w:u w:val="single"/>
            <w:sz w:val="17"/>
          </w:rPr>
          <w:t xml:space="preserve">www.gov.uk/introduction-to-business-rates</w:t>
        </w:r>
      </w:hyperlink>
    </w:p>
    <w:p>
      <w:pPr>
        <w:pStyle w:val="ListBullet"/>
        <w:spacing w:after="20" w:line="240" w:lineRule="auto"/>
      </w:pPr>
      <w:r>
        <w:rPr>
          <w:b/>
          <w:sz w:val="18"/>
        </w:rPr>
        <w:t xml:space="preserve">Price Marking (Food and Drink Services) Order 2003: </w:t>
      </w:r>
      <w:hyperlink r:id="rId31">
        <w:r>
          <w:rPr>
            <w:color w:val="8A6D2B"/>
            <w:u w:val="single"/>
            <w:sz w:val="17"/>
          </w:rPr>
          <w:t xml:space="preserve">www.legislation.gov.uk/uksi/2003/2253/made</w:t>
        </w:r>
      </w:hyperlink>
    </w:p>
    <w:p>
      <w:pPr>
        <w:pStyle w:val="ListBullet"/>
        <w:spacing w:after="20" w:line="240" w:lineRule="auto"/>
      </w:pPr>
      <w:r>
        <w:rPr>
          <w:b/>
          <w:sz w:val="18"/>
        </w:rPr>
        <w:t xml:space="preserve">Code of practice on the fair distribution of tips: </w:t>
      </w:r>
      <w:hyperlink r:id="rId32">
        <w:r>
          <w:rPr>
            <w:color w:val="8A6D2B"/>
            <w:u w:val="single"/>
            <w:sz w:val="17"/>
          </w:rPr>
          <w:t xml:space="preserve">www.gov.uk/government/publications/distributing-tips-fairly-statutory-code-of-practice/code-of-practice-on-fair-and-transparent-distribution-of-tips-html-version</w:t>
        </w:r>
      </w:hyperlink>
    </w:p>
    <w:p>
      <w:pPr>
        <w:pStyle w:val="ListBullet"/>
        <w:spacing w:after="20" w:line="240" w:lineRule="auto"/>
      </w:pPr>
      <w:r>
        <w:rPr>
          <w:b/>
          <w:sz w:val="18"/>
        </w:rPr>
        <w:t xml:space="preserve">Register a food business: </w:t>
      </w:r>
      <w:hyperlink r:id="rId33">
        <w:r>
          <w:rPr>
            <w:color w:val="8A6D2B"/>
            <w:u w:val="single"/>
            <w:sz w:val="17"/>
          </w:rPr>
          <w:t xml:space="preserve">www.gov.uk/food-business-registration</w:t>
        </w:r>
      </w:hyperlink>
    </w:p>
    <w:p>
      <w:pPr>
        <w:pStyle w:val="ListBullet"/>
        <w:spacing w:after="20" w:line="240" w:lineRule="auto"/>
      </w:pPr>
      <w:r>
        <w:rPr>
          <w:b/>
          <w:sz w:val="18"/>
        </w:rPr>
        <w:t xml:space="preserve">Food hygiene for businesses: chilling: </w:t>
      </w:r>
      <w:hyperlink r:id="rId34">
        <w:r>
          <w:rPr>
            <w:color w:val="8A6D2B"/>
            <w:u w:val="single"/>
            <w:sz w:val="17"/>
          </w:rPr>
          <w:t xml:space="preserve">www.gov.uk/food-hygiene-businesses/chilling-and-freezing</w:t>
        </w:r>
      </w:hyperlink>
    </w:p>
    <w:p>
      <w:pPr>
        <w:pStyle w:val="ListBullet"/>
        <w:spacing w:after="20" w:line="240" w:lineRule="auto"/>
      </w:pPr>
      <w:r>
        <w:rPr>
          <w:b/>
          <w:sz w:val="18"/>
        </w:rPr>
        <w:t xml:space="preserve">Food hygiene for businesses: cooking: </w:t>
      </w:r>
      <w:hyperlink r:id="rId35">
        <w:r>
          <w:rPr>
            <w:color w:val="8A6D2B"/>
            <w:u w:val="single"/>
            <w:sz w:val="17"/>
          </w:rPr>
          <w:t xml:space="preserve">www.gov.uk/food-hygiene-businesses/cooking</w:t>
        </w:r>
      </w:hyperlink>
    </w:p>
    <w:p>
      <w:pPr>
        <w:pStyle w:val="ListBullet"/>
        <w:spacing w:after="20" w:line="240" w:lineRule="auto"/>
      </w:pPr>
      <w:r>
        <w:rPr>
          <w:b/>
          <w:sz w:val="18"/>
        </w:rPr>
        <w:t xml:space="preserve">Safer Food, Better Business for caterers (FSA): </w:t>
      </w:r>
      <w:hyperlink r:id="rId36">
        <w:r>
          <w:rPr>
            <w:color w:val="8A6D2B"/>
            <w:u w:val="single"/>
            <w:sz w:val="17"/>
          </w:rPr>
          <w:t xml:space="preserve">www.gov.uk/government/publications/safer-food-better-business-for-caterers</w:t>
        </w:r>
      </w:hyperlink>
    </w:p>
    <w:p>
      <w:pPr>
        <w:pStyle w:val="ListBullet"/>
        <w:spacing w:after="20" w:line="240" w:lineRule="auto"/>
      </w:pPr>
      <w:r>
        <w:rPr>
          <w:b/>
          <w:sz w:val="18"/>
        </w:rPr>
        <w:t xml:space="preserve">Council example, cooling target (Torbay): </w:t>
      </w:r>
      <w:hyperlink r:id="rId37">
        <w:r>
          <w:rPr>
            <w:color w:val="8A6D2B"/>
            <w:u w:val="single"/>
            <w:sz w:val="17"/>
          </w:rPr>
          <w:t xml:space="preserve">www.torbay.gov.uk/business/food-safety/controlling-food-temperatures/</w:t>
        </w:r>
      </w:hyperlink>
    </w:p>
    <w:p>
      <w:pPr>
        <w:pStyle w:val="ListBullet"/>
        <w:spacing w:after="20" w:line="240" w:lineRule="auto"/>
      </w:pPr>
      <w:r>
        <w:rPr>
          <w:b/>
          <w:sz w:val="18"/>
        </w:rPr>
        <w:t xml:space="preserve">Allergen guidance for food businesses: </w:t>
      </w:r>
      <w:hyperlink r:id="rId38">
        <w:r>
          <w:rPr>
            <w:color w:val="8A6D2B"/>
            <w:u w:val="single"/>
            <w:sz w:val="17"/>
          </w:rPr>
          <w:t xml:space="preserve">www.gov.uk/government/publications/allergen-guidance-for-food-businesses/allergen-guidance-for-food-businesses</w:t>
        </w:r>
      </w:hyperlink>
    </w:p>
    <w:p>
      <w:pPr>
        <w:pStyle w:val="ListBullet"/>
        <w:spacing w:after="20" w:line="240" w:lineRule="auto"/>
      </w:pPr>
      <w:r>
        <w:rPr>
          <w:b/>
          <w:sz w:val="18"/>
        </w:rPr>
        <w:t xml:space="preserve">Food hygiene ratings: </w:t>
      </w:r>
      <w:hyperlink r:id="rId39">
        <w:r>
          <w:rPr>
            <w:color w:val="8A6D2B"/>
            <w:u w:val="single"/>
            <w:sz w:val="17"/>
          </w:rPr>
          <w:t xml:space="preserve">ratings.food.gov.uk/</w:t>
        </w:r>
      </w:hyperlink>
    </w:p>
    <w:p>
      <w:pPr>
        <w:pStyle w:val="ListBullet"/>
        <w:spacing w:after="20" w:line="240" w:lineRule="auto"/>
      </w:pPr>
      <w:r>
        <w:rPr>
          <w:b/>
          <w:sz w:val="18"/>
        </w:rPr>
        <w:t xml:space="preserve">Food Hygiene Information Scheme (Scotland): </w:t>
      </w:r>
      <w:hyperlink r:id="rId40">
        <w:r>
          <w:rPr>
            <w:color w:val="8A6D2B"/>
            <w:u w:val="single"/>
            <w:sz w:val="17"/>
          </w:rPr>
          <w:t xml:space="preserve">www.foodstandards.gov.scot/business-guidance/running-a-food-business/hygiene-ratings-and-awards/food-hygiene-information-scheme-business-guidance</w:t>
        </w:r>
      </w:hyperlink>
    </w:p>
    <w:p>
      <w:pPr>
        <w:pStyle w:val="ListBullet"/>
        <w:spacing w:after="20" w:line="240" w:lineRule="auto"/>
      </w:pPr>
      <w:r>
        <w:rPr>
          <w:b/>
          <w:sz w:val="18"/>
        </w:rPr>
        <w:t xml:space="preserve">Maximum weekly working hours: </w:t>
      </w:r>
      <w:hyperlink r:id="rId41">
        <w:r>
          <w:rPr>
            <w:color w:val="8A6D2B"/>
            <w:u w:val="single"/>
            <w:sz w:val="17"/>
          </w:rPr>
          <w:t xml:space="preserve">www.gov.uk/maximum-weekly-working-hours</w:t>
        </w:r>
      </w:hyperlink>
    </w:p>
    <w:p>
      <w:pPr>
        <w:pStyle w:val="ListBullet"/>
        <w:spacing w:after="20" w:line="240" w:lineRule="auto"/>
      </w:pPr>
      <w:r>
        <w:rPr>
          <w:b/>
          <w:sz w:val="18"/>
        </w:rPr>
        <w:t xml:space="preserve">Overtime: your rights: </w:t>
      </w:r>
      <w:hyperlink r:id="rId42">
        <w:r>
          <w:rPr>
            <w:color w:val="8A6D2B"/>
            <w:u w:val="single"/>
            <w:sz w:val="17"/>
          </w:rPr>
          <w:t xml:space="preserve">www.gov.uk/overtime-your-rights</w:t>
        </w:r>
      </w:hyperlink>
    </w:p>
    <w:p>
      <w:pPr>
        <w:pStyle w:val="ListBullet"/>
        <w:spacing w:after="20" w:line="240" w:lineRule="auto"/>
      </w:pPr>
      <w:r>
        <w:rPr>
          <w:b/>
          <w:sz w:val="18"/>
        </w:rPr>
        <w:t xml:space="preserve">Rest breaks at work: </w:t>
      </w:r>
      <w:hyperlink r:id="rId43">
        <w:r>
          <w:rPr>
            <w:color w:val="8A6D2B"/>
            <w:u w:val="single"/>
            <w:sz w:val="17"/>
          </w:rPr>
          <w:t xml:space="preserve">www.gov.uk/rest-breaks-work</w:t>
        </w:r>
      </w:hyperlink>
    </w:p>
    <w:p>
      <w:pPr>
        <w:pStyle w:val="ListBullet"/>
        <w:spacing w:after="20" w:line="240" w:lineRule="auto"/>
      </w:pPr>
      <w:r>
        <w:rPr>
          <w:b/>
          <w:sz w:val="18"/>
        </w:rPr>
        <w:t xml:space="preserve">Holiday entitlement: </w:t>
      </w:r>
      <w:hyperlink r:id="rId44">
        <w:r>
          <w:rPr>
            <w:color w:val="8A6D2B"/>
            <w:u w:val="single"/>
            <w:sz w:val="17"/>
          </w:rPr>
          <w:t xml:space="preserve">www.gov.uk/holiday-entitlement-rights</w:t>
        </w:r>
      </w:hyperlink>
    </w:p>
    <w:p>
      <w:pPr>
        <w:pStyle w:val="ListBullet"/>
        <w:spacing w:after="20" w:line="240" w:lineRule="auto"/>
      </w:pPr>
      <w:r>
        <w:rPr>
          <w:b/>
          <w:sz w:val="18"/>
        </w:rPr>
        <w:t xml:space="preserve">National Minimum Wage rates: </w:t>
      </w:r>
      <w:hyperlink r:id="rId45">
        <w:r>
          <w:rPr>
            <w:color w:val="8A6D2B"/>
            <w:u w:val="single"/>
            <w:sz w:val="17"/>
          </w:rPr>
          <w:t xml:space="preserve">www.gov.uk/national-minimum-wage-rates</w:t>
        </w:r>
      </w:hyperlink>
    </w:p>
    <w:p>
      <w:pPr>
        <w:pStyle w:val="ListBullet"/>
        <w:spacing w:after="20" w:line="240" w:lineRule="auto"/>
      </w:pPr>
      <w:r>
        <w:rPr>
          <w:b/>
          <w:sz w:val="18"/>
        </w:rPr>
        <w:t xml:space="preserve">Rates and thresholds for employers: </w:t>
      </w:r>
      <w:hyperlink r:id="rId46">
        <w:r>
          <w:rPr>
            <w:color w:val="8A6D2B"/>
            <w:u w:val="single"/>
            <w:sz w:val="17"/>
          </w:rPr>
          <w:t xml:space="preserve">www.gov.uk/guidance/rates-and-thresholds-for-employers-2026-to-2027</w:t>
        </w:r>
      </w:hyperlink>
    </w:p>
    <w:p>
      <w:pPr>
        <w:pStyle w:val="ListBullet"/>
        <w:spacing w:after="20" w:line="240" w:lineRule="auto"/>
      </w:pPr>
      <w:r>
        <w:rPr>
          <w:b/>
          <w:sz w:val="18"/>
        </w:rPr>
        <w:t xml:space="preserve">Employing staff: </w:t>
      </w:r>
      <w:hyperlink r:id="rId47">
        <w:r>
          <w:rPr>
            <w:color w:val="8A6D2B"/>
            <w:u w:val="single"/>
            <w:sz w:val="17"/>
          </w:rPr>
          <w:t xml:space="preserve">www.gov.uk/employing-staff</w:t>
        </w:r>
      </w:hyperlink>
    </w:p>
    <w:p>
      <w:pPr>
        <w:pStyle w:val="ListBullet"/>
        <w:spacing w:after="20" w:line="240" w:lineRule="auto"/>
      </w:pPr>
      <w:r>
        <w:rPr>
          <w:b/>
          <w:sz w:val="18"/>
        </w:rPr>
        <w:t xml:space="preserve">Workplace pensions for employers: </w:t>
      </w:r>
      <w:hyperlink r:id="rId48">
        <w:r>
          <w:rPr>
            <w:color w:val="8A6D2B"/>
            <w:u w:val="single"/>
            <w:sz w:val="17"/>
          </w:rPr>
          <w:t xml:space="preserve">www.gov.uk/workplace-pensions-employers</w:t>
        </w:r>
      </w:hyperlink>
    </w:p>
    <w:p>
      <w:pPr>
        <w:pStyle w:val="ListBullet"/>
        <w:spacing w:after="20" w:line="240" w:lineRule="auto"/>
      </w:pPr>
      <w:r>
        <w:rPr>
          <w:b/>
          <w:sz w:val="18"/>
        </w:rPr>
        <w:t xml:space="preserve">Employers' liability insurance: </w:t>
      </w:r>
      <w:hyperlink r:id="rId49">
        <w:r>
          <w:rPr>
            <w:color w:val="8A6D2B"/>
            <w:u w:val="single"/>
            <w:sz w:val="17"/>
          </w:rPr>
          <w:t xml:space="preserve">www.gov.uk/employers-liability-insurance</w:t>
        </w:r>
      </w:hyperlink>
    </w:p>
    <w:p>
      <w:pPr>
        <w:pStyle w:val="ListBullet"/>
        <w:spacing w:after="20" w:line="240" w:lineRule="auto"/>
      </w:pPr>
      <w:r>
        <w:rPr>
          <w:b/>
          <w:sz w:val="18"/>
        </w:rPr>
        <w:t xml:space="preserve">Alcohol licensing: </w:t>
      </w:r>
      <w:hyperlink r:id="rId50">
        <w:r>
          <w:rPr>
            <w:color w:val="8A6D2B"/>
            <w:u w:val="single"/>
            <w:sz w:val="17"/>
          </w:rPr>
          <w:t xml:space="preserve">www.gov.uk/guidance/alcohol-licensing</w:t>
        </w:r>
      </w:hyperlink>
    </w:p>
    <w:p>
      <w:pPr>
        <w:pStyle w:val="ListBullet"/>
        <w:spacing w:after="20" w:line="240" w:lineRule="auto"/>
      </w:pPr>
      <w:r>
        <w:rPr>
          <w:b/>
          <w:sz w:val="18"/>
        </w:rPr>
        <w:t xml:space="preserve">Personal licence to sell alcohol: </w:t>
      </w:r>
      <w:hyperlink r:id="rId51">
        <w:r>
          <w:rPr>
            <w:color w:val="8A6D2B"/>
            <w:u w:val="single"/>
            <w:sz w:val="17"/>
          </w:rPr>
          <w:t xml:space="preserve">www.gov.uk/personal-licence-to-sell-alcohol</w:t>
        </w:r>
      </w:hyperlink>
    </w:p>
    <w:p>
      <w:pPr>
        <w:pStyle w:val="ListBullet"/>
        <w:spacing w:after="20" w:line="240" w:lineRule="auto"/>
      </w:pPr>
      <w:r>
        <w:rPr>
          <w:b/>
          <w:sz w:val="18"/>
        </w:rPr>
        <w:t xml:space="preserve">Temporary Event Notice: </w:t>
      </w:r>
      <w:hyperlink r:id="rId52">
        <w:r>
          <w:rPr>
            <w:color w:val="8A6D2B"/>
            <w:u w:val="single"/>
            <w:sz w:val="17"/>
          </w:rPr>
          <w:t xml:space="preserve">www.gov.uk/temporary-events-notice</w:t>
        </w:r>
      </w:hyperlink>
    </w:p>
    <w:p>
      <w:pPr>
        <w:pStyle w:val="ListBullet"/>
        <w:spacing w:after="20" w:line="240" w:lineRule="auto"/>
      </w:pPr>
      <w:r>
        <w:rPr>
          <w:b/>
          <w:sz w:val="18"/>
        </w:rPr>
        <w:t xml:space="preserve">Weights and Measures (Intoxicating Liquor) Order 1988: </w:t>
      </w:r>
      <w:hyperlink r:id="rId53">
        <w:r>
          <w:rPr>
            <w:color w:val="8A6D2B"/>
            <w:u w:val="single"/>
            <w:sz w:val="17"/>
          </w:rPr>
          <w:t xml:space="preserve">www.legislation.gov.uk/uksi/1988/2039</w:t>
        </w:r>
      </w:hyperlink>
    </w:p>
    <w:p>
      <w:pPr>
        <w:pStyle w:val="ListBullet"/>
        <w:spacing w:after="20" w:line="240" w:lineRule="auto"/>
      </w:pPr>
      <w:r>
        <w:rPr>
          <w:b/>
          <w:sz w:val="18"/>
        </w:rPr>
        <w:t xml:space="preserve">Set up a business: </w:t>
      </w:r>
      <w:hyperlink r:id="rId54">
        <w:r>
          <w:rPr>
            <w:color w:val="8A6D2B"/>
            <w:u w:val="single"/>
            <w:sz w:val="17"/>
          </w:rPr>
          <w:t xml:space="preserve">www.gov.uk/set-up-business</w:t>
        </w:r>
      </w:hyperlink>
    </w:p>
    <w:p>
      <w:pPr>
        <w:pStyle w:val="ListBullet"/>
        <w:spacing w:after="20" w:line="240" w:lineRule="auto"/>
      </w:pPr>
      <w:r>
        <w:rPr>
          <w:b/>
          <w:sz w:val="18"/>
        </w:rPr>
        <w:t xml:space="preserve">Set up a limited company: </w:t>
      </w:r>
      <w:hyperlink r:id="rId55">
        <w:r>
          <w:rPr>
            <w:color w:val="8A6D2B"/>
            <w:u w:val="single"/>
            <w:sz w:val="17"/>
          </w:rPr>
          <w:t xml:space="preserve">www.gov.uk/limited-company-formation</w:t>
        </w:r>
      </w:hyperlink>
    </w:p>
    <w:p>
      <w:pPr>
        <w:pStyle w:val="Heading2"/>
        <w:spacing w:before="280"/>
      </w:pPr>
      <w:r>
        <w:t>Canada</w:t>
      </w:r>
    </w:p>
    <w:p>
      <w:pPr>
        <w:pStyle w:val="ListBullet"/>
        <w:spacing w:after="20" w:line="240" w:lineRule="auto"/>
      </w:pPr>
      <w:r>
        <w:rPr>
          <w:b/>
          <w:sz w:val="18"/>
        </w:rPr>
        <w:t xml:space="preserve">CRA: which GST/HST rate to charge: </w:t>
      </w:r>
      <w:hyperlink r:id="rId56">
        <w:r>
          <w:rPr>
            <w:color w:val="8A6D2B"/>
            <w:u w:val="single"/>
            <w:sz w:val="17"/>
          </w:rPr>
          <w:t xml:space="preserve">www.canada.ca/en/revenue-agency/services/tax/businesses/topics/gst-hst-businesses/charge-collect-which-rate.html</w:t>
        </w:r>
      </w:hyperlink>
    </w:p>
    <w:p>
      <w:pPr>
        <w:pStyle w:val="ListBullet"/>
        <w:spacing w:after="20" w:line="240" w:lineRule="auto"/>
      </w:pPr>
      <w:r>
        <w:rPr>
          <w:b/>
          <w:sz w:val="18"/>
        </w:rPr>
        <w:t xml:space="preserve">CRA: business number: </w:t>
      </w:r>
      <w:hyperlink r:id="rId57">
        <w:r>
          <w:rPr>
            <w:color w:val="8A6D2B"/>
            <w:u w:val="single"/>
            <w:sz w:val="17"/>
          </w:rPr>
          <w:t xml:space="preserve">www.canada.ca/en/revenue-agency/services/tax/businesses/topics/registering-your-business/you-need-a-business-number-a-program-account.html</w:t>
        </w:r>
      </w:hyperlink>
    </w:p>
    <w:p>
      <w:pPr>
        <w:pStyle w:val="ListBullet"/>
        <w:spacing w:after="20" w:line="240" w:lineRule="auto"/>
      </w:pPr>
      <w:r>
        <w:rPr>
          <w:b/>
          <w:sz w:val="18"/>
        </w:rPr>
        <w:t xml:space="preserve">CRA: Employment Insurance premiums: </w:t>
      </w:r>
      <w:hyperlink r:id="rId58">
        <w:r>
          <w:rPr>
            <w:color w:val="8A6D2B"/>
            <w:u w:val="single"/>
            <w:sz w:val="17"/>
          </w:rPr>
          <w:t xml:space="preserve">www.canada.ca/en/revenue-agency/services/tax/businesses/topics/payroll/payroll-deductions-contributions/employment-insurance-ei.html</w:t>
        </w:r>
      </w:hyperlink>
    </w:p>
    <w:p>
      <w:pPr>
        <w:pStyle w:val="ListBullet"/>
        <w:spacing w:after="20" w:line="240" w:lineRule="auto"/>
      </w:pPr>
      <w:r>
        <w:rPr>
          <w:b/>
          <w:sz w:val="18"/>
        </w:rPr>
        <w:t xml:space="preserve">CRA: Canada Pension Plan contributions: </w:t>
      </w:r>
      <w:hyperlink r:id="rId59">
        <w:r>
          <w:rPr>
            <w:color w:val="8A6D2B"/>
            <w:u w:val="single"/>
            <w:sz w:val="17"/>
          </w:rPr>
          <w:t xml:space="preserve">www.canada.ca/en/revenue-agency/services/tax/businesses/topics/payroll/payroll-deductions-contributions/canada-pension-plan-cpp.html</w:t>
        </w:r>
      </w:hyperlink>
    </w:p>
    <w:p>
      <w:pPr>
        <w:pStyle w:val="ListBullet"/>
        <w:spacing w:after="20" w:line="240" w:lineRule="auto"/>
      </w:pPr>
      <w:r>
        <w:rPr>
          <w:b/>
          <w:sz w:val="18"/>
        </w:rPr>
        <w:t xml:space="preserve">Health Canada: priority food allergens: </w:t>
      </w:r>
      <w:hyperlink r:id="rId60">
        <w:r>
          <w:rPr>
            <w:color w:val="8A6D2B"/>
            <w:u w:val="single"/>
            <w:sz w:val="17"/>
          </w:rPr>
          <w:t xml:space="preserve">www.canada.ca/en/health-canada/services/food-allergies-intolerances/food-allergies.html</w:t>
        </w:r>
      </w:hyperlink>
    </w:p>
    <w:p>
      <w:pPr>
        <w:pStyle w:val="ListBullet"/>
        <w:spacing w:after="20" w:line="240" w:lineRule="auto"/>
      </w:pPr>
      <w:r>
        <w:rPr>
          <w:b/>
          <w:sz w:val="18"/>
        </w:rPr>
        <w:t xml:space="preserve">Health Canada: safe internal cooking temperatures: </w:t>
      </w:r>
      <w:hyperlink r:id="rId61">
        <w:r>
          <w:rPr>
            <w:color w:val="8A6D2B"/>
            <w:u w:val="single"/>
            <w:sz w:val="17"/>
          </w:rPr>
          <w:t xml:space="preserve">www.canada.ca/en/health-canada/services/general-food-safety-tips/safe-internal-cooking-temperatures.html</w:t>
        </w:r>
      </w:hyperlink>
    </w:p>
    <w:p>
      <w:pPr>
        <w:pStyle w:val="ListBullet"/>
        <w:spacing w:after="20" w:line="240" w:lineRule="auto"/>
      </w:pPr>
      <w:r>
        <w:rPr>
          <w:b/>
          <w:sz w:val="18"/>
        </w:rPr>
        <w:t xml:space="preserve">Health Canada: food safety and you: </w:t>
      </w:r>
      <w:hyperlink r:id="rId62">
        <w:r>
          <w:rPr>
            <w:color w:val="8A6D2B"/>
            <w:u w:val="single"/>
            <w:sz w:val="17"/>
          </w:rPr>
          <w:t xml:space="preserve">www.canada.ca/en/health-canada/services/general-food-safety-tips/food-safety-you.html</w:t>
        </w:r>
      </w:hyperlink>
    </w:p>
    <w:p>
      <w:pPr>
        <w:pStyle w:val="ListBullet"/>
        <w:spacing w:after="20" w:line="240" w:lineRule="auto"/>
      </w:pPr>
      <w:r>
        <w:rPr>
          <w:b/>
          <w:sz w:val="18"/>
        </w:rPr>
        <w:t xml:space="preserve">CFIA: who inspects restaurants: </w:t>
      </w:r>
      <w:hyperlink r:id="rId63">
        <w:r>
          <w:rPr>
            <w:color w:val="8A6D2B"/>
            <w:u w:val="single"/>
            <w:sz w:val="17"/>
          </w:rPr>
          <w:t xml:space="preserve">inspection.canada.ca/food-safety-for-consumers/where-to-report-a-complaint/restaurants-and-food-services/eng/1323139279504/1323140830752</w:t>
        </w:r>
      </w:hyperlink>
    </w:p>
    <w:p>
      <w:pPr>
        <w:pStyle w:val="ListBullet"/>
        <w:spacing w:after="20" w:line="240" w:lineRule="auto"/>
      </w:pPr>
      <w:r>
        <w:rPr>
          <w:b/>
          <w:sz w:val="18"/>
        </w:rPr>
        <w:t xml:space="preserve">Ontario: overtime pay: </w:t>
      </w:r>
      <w:hyperlink r:id="rId64">
        <w:r>
          <w:rPr>
            <w:color w:val="8A6D2B"/>
            <w:u w:val="single"/>
            <w:sz w:val="17"/>
          </w:rPr>
          <w:t xml:space="preserve">www.ontario.ca/document/your-guide-employment-standards-act-0/overtime-pay</w:t>
        </w:r>
      </w:hyperlink>
    </w:p>
    <w:p>
      <w:pPr>
        <w:pStyle w:val="ListBullet"/>
        <w:spacing w:after="20" w:line="240" w:lineRule="auto"/>
      </w:pPr>
      <w:r>
        <w:rPr>
          <w:b/>
          <w:sz w:val="18"/>
        </w:rPr>
        <w:t xml:space="preserve">Ontario: tips and other gratuities: </w:t>
      </w:r>
      <w:hyperlink r:id="rId65">
        <w:r>
          <w:rPr>
            <w:color w:val="8A6D2B"/>
            <w:u w:val="single"/>
            <w:sz w:val="17"/>
          </w:rPr>
          <w:t xml:space="preserve">www.ontario.ca/document/your-guide-employment-standards-act-0/tips-and-other-gratuities</w:t>
        </w:r>
      </w:hyperlink>
    </w:p>
    <w:p>
      <w:pPr>
        <w:pStyle w:val="ListBullet"/>
        <w:spacing w:after="20" w:line="240" w:lineRule="auto"/>
      </w:pPr>
      <w:r>
        <w:rPr>
          <w:b/>
          <w:sz w:val="18"/>
        </w:rPr>
        <w:t xml:space="preserve">British Columbia: overtime pay: </w:t>
      </w:r>
      <w:hyperlink r:id="rId66">
        <w:r>
          <w:rPr>
            <w:color w:val="8A6D2B"/>
            <w:u w:val="single"/>
            <w:sz w:val="17"/>
          </w:rPr>
          <w:t xml:space="preserve">www2.gov.bc.ca/gov/content/employment-business/employment-standards-advice/employment-standards/hours/overtime-pay</w:t>
        </w:r>
      </w:hyperlink>
    </w:p>
    <w:p>
      <w:pPr>
        <w:pStyle w:val="ListBullet"/>
        <w:spacing w:after="20" w:line="240" w:lineRule="auto"/>
      </w:pPr>
      <w:r>
        <w:rPr>
          <w:b/>
          <w:sz w:val="18"/>
        </w:rPr>
        <w:t xml:space="preserve">AGCO (Ontario): liquor sale and service training: </w:t>
      </w:r>
      <w:hyperlink r:id="rId67">
        <w:r>
          <w:rPr>
            <w:color w:val="8A6D2B"/>
            <w:u w:val="single"/>
            <w:sz w:val="17"/>
          </w:rPr>
          <w:t xml:space="preserve">www.agco.ca/en/alcohol/guides/chapter-2-features-requirements-under-new-llca-legislative-framework</w:t>
        </w:r>
      </w:hyperlink>
    </w:p>
    <w:p>
      <w:pPr>
        <w:pStyle w:val="ListBullet"/>
        <w:spacing w:after="20" w:line="240" w:lineRule="auto"/>
      </w:pPr>
      <w:r>
        <w:rPr>
          <w:b/>
          <w:sz w:val="18"/>
        </w:rPr>
        <w:t xml:space="preserve">AGCO (Ontario): Special Occasion Permit for a private event: </w:t>
      </w:r>
      <w:hyperlink r:id="rId68">
        <w:r>
          <w:rPr>
            <w:color w:val="8A6D2B"/>
            <w:u w:val="single"/>
            <w:sz w:val="17"/>
          </w:rPr>
          <w:t xml:space="preserve">www.agco.ca/en/alcohol/apply-sell-or-serve-alcohol-private-event</w:t>
        </w:r>
      </w:hyperlink>
    </w:p>
    <w:p>
      <w:pPr>
        <w:pStyle w:val="ListBullet"/>
        <w:spacing w:after="20" w:line="240" w:lineRule="auto"/>
      </w:pPr>
      <w:r>
        <w:rPr>
          <w:b/>
          <w:sz w:val="18"/>
        </w:rPr>
        <w:t xml:space="preserve">British Columbia: who needs Serving It Right: </w:t>
      </w:r>
      <w:hyperlink r:id="rId69">
        <w:r>
          <w:rPr>
            <w:color w:val="8A6D2B"/>
            <w:u w:val="single"/>
            <w:sz w:val="17"/>
          </w:rPr>
          <w:t xml:space="preserve">www.responsibleservicebc.gov.bc.ca/who-needs-serving-it-right</w:t>
        </w:r>
      </w:hyperlink>
    </w:p>
    <w:p>
      <w:pPr>
        <w:pStyle w:val="ListBullet"/>
        <w:spacing w:after="20" w:line="240" w:lineRule="auto"/>
      </w:pPr>
      <w:r>
        <w:rPr>
          <w:b/>
          <w:sz w:val="18"/>
        </w:rPr>
        <w:t xml:space="preserve">British Columbia: liquor licensing FAQ and Special Event Permits: </w:t>
      </w:r>
      <w:hyperlink r:id="rId70">
        <w:r>
          <w:rPr>
            <w:color w:val="8A6D2B"/>
            <w:u w:val="single"/>
            <w:sz w:val="17"/>
          </w:rPr>
          <w:t xml:space="preserve">www2.gov.bc.ca/gov/content/employment-business/business/liquor-regulation-licensing/liquor-licence-permits/liquor-resources-information/lcrb-faq</w:t>
        </w:r>
      </w:hyperlink>
    </w:p>
    <w:p>
      <w:pPr>
        <w:pStyle w:val="ListBullet"/>
        <w:spacing w:after="20" w:line="240" w:lineRule="auto"/>
      </w:pPr>
      <w:r>
        <w:rPr>
          <w:b/>
          <w:sz w:val="18"/>
        </w:rPr>
        <w:t xml:space="preserve">AGLC (Alberta): </w:t>
      </w:r>
      <w:hyperlink r:id="rId71">
        <w:r>
          <w:rPr>
            <w:color w:val="8A6D2B"/>
            <w:u w:val="single"/>
            <w:sz w:val="17"/>
          </w:rPr>
          <w:t xml:space="preserve">aglc.ca/</w:t>
        </w:r>
      </w:hyperlink>
    </w:p>
    <w:p>
      <w:pPr>
        <w:pStyle w:val="ListBullet"/>
        <w:spacing w:after="20" w:line="240" w:lineRule="auto"/>
      </w:pPr>
      <w:r>
        <w:rPr>
          <w:b/>
          <w:sz w:val="18"/>
        </w:rPr>
        <w:t xml:space="preserve">Health Canada: standard drinks: </w:t>
      </w:r>
      <w:hyperlink r:id="rId72">
        <w:r>
          <w:rPr>
            <w:color w:val="8A6D2B"/>
            <w:u w:val="single"/>
            <w:sz w:val="17"/>
          </w:rPr>
          <w:t xml:space="preserve">www.canada.ca/en/health-canada/services/substance-use/alcohol/low-risk-alcohol-drinking-guidelines.html</w:t>
        </w:r>
      </w:hyperlink>
    </w:p>
    <w:p>
      <w:pPr>
        <w:pStyle w:val="ListBullet"/>
        <w:spacing w:after="20" w:line="240" w:lineRule="auto"/>
      </w:pPr>
      <w:r>
        <w:rPr>
          <w:b/>
          <w:sz w:val="18"/>
        </w:rPr>
        <w:t xml:space="preserve">Measurement Canada: selling draft beer: </w:t>
      </w:r>
      <w:hyperlink r:id="rId73">
        <w:r>
          <w:rPr>
            <w:color w:val="8A6D2B"/>
            <w:u w:val="single"/>
            <w:sz w:val="17"/>
          </w:rPr>
          <w:t xml:space="preserve">ised-isde.canada.ca/site/measurement-canada/en/node/614</w:t>
        </w:r>
      </w:hyperlink>
    </w:p>
    <w:p>
      <w:pPr>
        <w:pStyle w:val="Heading2"/>
        <w:spacing w:before="280"/>
      </w:pPr>
      <w:r>
        <w:t>Australia</w:t>
      </w:r>
    </w:p>
    <w:p>
      <w:pPr>
        <w:pStyle w:val="ListBullet"/>
        <w:spacing w:after="20" w:line="240" w:lineRule="auto"/>
      </w:pPr>
      <w:r>
        <w:rPr>
          <w:b/>
          <w:sz w:val="18"/>
        </w:rPr>
        <w:t xml:space="preserve">Register for GST: </w:t>
      </w:r>
      <w:hyperlink r:id="rId74">
        <w:r>
          <w:rPr>
            <w:color w:val="8A6D2B"/>
            <w:u w:val="single"/>
            <w:sz w:val="17"/>
          </w:rPr>
          <w:t xml:space="preserve">business.gov.au/registrations/register-for-taxes/register-for-goods-and-services-tax-gst</w:t>
        </w:r>
      </w:hyperlink>
    </w:p>
    <w:p>
      <w:pPr>
        <w:pStyle w:val="ListBullet"/>
        <w:spacing w:after="20" w:line="240" w:lineRule="auto"/>
      </w:pPr>
      <w:r>
        <w:rPr>
          <w:b/>
          <w:sz w:val="18"/>
        </w:rPr>
        <w:t xml:space="preserve">Register for an ABN: </w:t>
      </w:r>
      <w:hyperlink r:id="rId75">
        <w:r>
          <w:rPr>
            <w:color w:val="8A6D2B"/>
            <w:u w:val="single"/>
            <w:sz w:val="17"/>
          </w:rPr>
          <w:t xml:space="preserve">business.gov.au/registrations/register-for-an-australian-business-number-abn</w:t>
        </w:r>
      </w:hyperlink>
    </w:p>
    <w:p>
      <w:pPr>
        <w:pStyle w:val="ListBullet"/>
        <w:spacing w:after="20" w:line="240" w:lineRule="auto"/>
      </w:pPr>
      <w:r>
        <w:rPr>
          <w:b/>
          <w:sz w:val="18"/>
        </w:rPr>
        <w:t xml:space="preserve">Register a company: </w:t>
      </w:r>
      <w:hyperlink r:id="rId76">
        <w:r>
          <w:rPr>
            <w:color w:val="8A6D2B"/>
            <w:u w:val="single"/>
            <w:sz w:val="17"/>
          </w:rPr>
          <w:t xml:space="preserve">business.gov.au/registrations/register-a-company</w:t>
        </w:r>
      </w:hyperlink>
    </w:p>
    <w:p>
      <w:pPr>
        <w:pStyle w:val="ListBullet"/>
        <w:spacing w:after="20" w:line="240" w:lineRule="auto"/>
      </w:pPr>
      <w:r>
        <w:rPr>
          <w:b/>
          <w:sz w:val="18"/>
        </w:rPr>
        <w:t xml:space="preserve">Employees' pay, leave and entitlements: </w:t>
      </w:r>
      <w:hyperlink r:id="rId77">
        <w:r>
          <w:rPr>
            <w:color w:val="8A6D2B"/>
            <w:u w:val="single"/>
            <w:sz w:val="17"/>
          </w:rPr>
          <w:t xml:space="preserve">business.gov.au/people/employees/employees-pay-leave-and-entitlements</w:t>
        </w:r>
      </w:hyperlink>
    </w:p>
    <w:p>
      <w:pPr>
        <w:pStyle w:val="ListBullet"/>
        <w:spacing w:after="20" w:line="240" w:lineRule="auto"/>
      </w:pPr>
      <w:r>
        <w:rPr>
          <w:b/>
          <w:sz w:val="18"/>
        </w:rPr>
        <w:t xml:space="preserve">FSANZ: keeping food at the right temperature: </w:t>
      </w:r>
      <w:hyperlink r:id="rId78">
        <w:r>
          <w:rPr>
            <w:color w:val="8A6D2B"/>
            <w:u w:val="single"/>
            <w:sz w:val="17"/>
          </w:rPr>
          <w:t xml:space="preserve">www.foodstandards.gov.au/business/food-safety/keeping-food-at-the-right-temperature</w:t>
        </w:r>
      </w:hyperlink>
    </w:p>
    <w:p>
      <w:pPr>
        <w:pStyle w:val="ListBullet"/>
        <w:spacing w:after="20" w:line="240" w:lineRule="auto"/>
      </w:pPr>
      <w:r>
        <w:rPr>
          <w:b/>
          <w:sz w:val="18"/>
        </w:rPr>
        <w:t xml:space="preserve">FSANZ: cooling and reheating food: </w:t>
      </w:r>
      <w:hyperlink r:id="rId79">
        <w:r>
          <w:rPr>
            <w:color w:val="8A6D2B"/>
            <w:u w:val="single"/>
            <w:sz w:val="17"/>
          </w:rPr>
          <w:t xml:space="preserve">www.foodstandards.gov.au/business/food-safety/cooling-and-reheating-food</w:t>
        </w:r>
      </w:hyperlink>
    </w:p>
    <w:p>
      <w:pPr>
        <w:pStyle w:val="ListBullet"/>
        <w:spacing w:after="20" w:line="240" w:lineRule="auto"/>
      </w:pPr>
      <w:r>
        <w:rPr>
          <w:b/>
          <w:sz w:val="18"/>
        </w:rPr>
        <w:t xml:space="preserve">healthdirect: food safety and cooking temperatures: </w:t>
      </w:r>
      <w:hyperlink r:id="rId80">
        <w:r>
          <w:rPr>
            <w:color w:val="8A6D2B"/>
            <w:u w:val="single"/>
            <w:sz w:val="17"/>
          </w:rPr>
          <w:t xml:space="preserve">www.healthdirect.gov.au/food-safety</w:t>
        </w:r>
      </w:hyperlink>
    </w:p>
    <w:p>
      <w:pPr>
        <w:pStyle w:val="ListBullet"/>
        <w:spacing w:after="20" w:line="240" w:lineRule="auto"/>
      </w:pPr>
      <w:r>
        <w:rPr>
          <w:b/>
          <w:sz w:val="18"/>
        </w:rPr>
        <w:t xml:space="preserve">FSANZ: Food Safety Supervisor: </w:t>
      </w:r>
      <w:hyperlink r:id="rId81">
        <w:r>
          <w:rPr>
            <w:color w:val="8A6D2B"/>
            <w:u w:val="single"/>
            <w:sz w:val="17"/>
          </w:rPr>
          <w:t xml:space="preserve">www.foodstandards.gov.au/business/food-safety/food-safety-supervisor</w:t>
        </w:r>
      </w:hyperlink>
    </w:p>
    <w:p>
      <w:pPr>
        <w:pStyle w:val="ListBullet"/>
        <w:spacing w:after="20" w:line="240" w:lineRule="auto"/>
      </w:pPr>
      <w:r>
        <w:rPr>
          <w:b/>
          <w:sz w:val="18"/>
        </w:rPr>
        <w:t xml:space="preserve">FSANZ: allergen labelling: </w:t>
      </w:r>
      <w:hyperlink r:id="rId82">
        <w:r>
          <w:rPr>
            <w:color w:val="8A6D2B"/>
            <w:u w:val="single"/>
            <w:sz w:val="17"/>
          </w:rPr>
          <w:t xml:space="preserve">www.foodstandards.gov.au/consumer/labelling/allergen-labelling</w:t>
        </w:r>
      </w:hyperlink>
    </w:p>
    <w:p>
      <w:pPr>
        <w:pStyle w:val="ListBullet"/>
        <w:spacing w:after="20" w:line="240" w:lineRule="auto"/>
      </w:pPr>
      <w:r>
        <w:rPr>
          <w:b/>
          <w:sz w:val="18"/>
        </w:rPr>
        <w:t xml:space="preserve">Fair Work: Hospitality Industry (General) Award 2020: </w:t>
      </w:r>
      <w:hyperlink r:id="rId83">
        <w:r>
          <w:rPr>
            <w:color w:val="8A6D2B"/>
            <w:u w:val="single"/>
            <w:sz w:val="17"/>
          </w:rPr>
          <w:t xml:space="preserve">awards.fairwork.gov.au/MA000009.html</w:t>
        </w:r>
      </w:hyperlink>
    </w:p>
    <w:p>
      <w:pPr>
        <w:pStyle w:val="ListBullet"/>
        <w:spacing w:after="20" w:line="240" w:lineRule="auto"/>
      </w:pPr>
      <w:r>
        <w:rPr>
          <w:b/>
          <w:sz w:val="18"/>
        </w:rPr>
        <w:t xml:space="preserve">ATO: super guarantee: </w:t>
      </w:r>
      <w:hyperlink r:id="rId84">
        <w:r>
          <w:rPr>
            <w:color w:val="8A6D2B"/>
            <w:u w:val="single"/>
            <w:sz w:val="17"/>
          </w:rPr>
          <w:t xml:space="preserve">www.ato.gov.au/tax-rates-and-codes/key-superannuation-rates-and-thresholds/super-guarantee</w:t>
        </w:r>
      </w:hyperlink>
    </w:p>
    <w:p>
      <w:pPr>
        <w:pStyle w:val="ListBullet"/>
        <w:spacing w:after="20" w:line="240" w:lineRule="auto"/>
      </w:pPr>
      <w:r>
        <w:rPr>
          <w:b/>
          <w:sz w:val="18"/>
        </w:rPr>
        <w:t xml:space="preserve">Liquor &amp; Gaming NSW: RSA training: </w:t>
      </w:r>
      <w:hyperlink r:id="rId85">
        <w:r>
          <w:rPr>
            <w:color w:val="8A6D2B"/>
            <w:u w:val="single"/>
            <w:sz w:val="17"/>
          </w:rPr>
          <w:t xml:space="preserve">www.nsw.gov.au/business-and-economy/liquor-and-gaming/training/rsa</w:t>
        </w:r>
      </w:hyperlink>
    </w:p>
    <w:p>
      <w:pPr>
        <w:pStyle w:val="ListBullet"/>
        <w:spacing w:after="20" w:line="240" w:lineRule="auto"/>
      </w:pPr>
      <w:r>
        <w:rPr>
          <w:b/>
          <w:sz w:val="18"/>
        </w:rPr>
        <w:t xml:space="preserve">Liquor &amp; Gaming NSW: limited licence: </w:t>
      </w:r>
      <w:hyperlink r:id="rId86">
        <w:r>
          <w:rPr>
            <w:color w:val="8A6D2B"/>
            <w:u w:val="single"/>
            <w:sz w:val="17"/>
          </w:rPr>
          <w:t xml:space="preserve">www.nsw.gov.au/business-and-economy/liquor-and-gaming/liquor-licensing/licence-types/limited</w:t>
        </w:r>
      </w:hyperlink>
    </w:p>
    <w:p>
      <w:pPr>
        <w:pStyle w:val="ListBullet"/>
        <w:spacing w:after="20" w:line="240" w:lineRule="auto"/>
      </w:pPr>
      <w:r>
        <w:rPr>
          <w:b/>
          <w:sz w:val="18"/>
        </w:rPr>
        <w:t xml:space="preserve">Department of Health: standard drinks guide: </w:t>
      </w:r>
      <w:hyperlink r:id="rId87">
        <w:r>
          <w:rPr>
            <w:color w:val="8A6D2B"/>
            <w:u w:val="single"/>
            <w:sz w:val="17"/>
          </w:rPr>
          <w:t xml:space="preserve">www.health.gov.au/topics/alcohol/about-alcohol/standard-drinks-guide</w:t>
        </w:r>
      </w:hyperlink>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Not legal, tax or employment advice.</w:t>
            </w:r>
            <w:r>
              <w:rPr>
                <w:sz w:val="19"/>
              </w:rPr>
              <w:t xml:space="preserve"> This guide helps you adapt an AI Chef Pro kit to your country. It does not replace the law, your accountant, your payroll provider, your health inspector or your licensing office. If you spot a rule that has changed, write to </w:t>
            </w:r>
            <w:hyperlink r:id="rId88">
              <w:r>
                <w:rPr>
                  <w:color w:val="8A6D2B"/>
                  <w:u w:val="single"/>
                  <w:sz w:val="19"/>
                </w:rPr>
                <w:t xml:space="preserve">info@aichef.pro</w:t>
              </w:r>
            </w:hyperlink>
            <w:r>
              <w:rPr>
                <w:sz w:val="19"/>
              </w:rPr>
              <w:t xml:space="preserve"> and we will update the guide for every buyer. More kits and business plans: </w:t>
            </w:r>
            <w:hyperlink r:id="rId89">
              <w:r>
                <w:rPr>
                  <w:color w:val="8A6D2B"/>
                  <w:u w:val="single"/>
                  <w:sz w:val="19"/>
                </w:rPr>
                <w:t xml:space="preserve">aichef.pro/en/digital-products</w:t>
              </w:r>
            </w:hyperlink>
          </w:p>
        </w:tc>
      </w:tr>
    </w:tbl>
    <w:p>
      <w:pPr>
        <w:spacing w:after="40"/>
      </w:pPr>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US · UK · Canada · Australia Hospitality Equivalents Guide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www.fda.gov/food/fda-food-code/food-code-2022" TargetMode="External"/><Relationship Id="rId12" Type="http://schemas.openxmlformats.org/officeDocument/2006/relationships/hyperlink" Target="https://www.fda.gov/food/nutrition-food-labeling-and-critical-foods/food-allergies" TargetMode="External"/><Relationship Id="rId13" Type="http://schemas.openxmlformats.org/officeDocument/2006/relationships/hyperlink" Target="https://www.dol.gov/agencies/whd/overtime" TargetMode="External"/><Relationship Id="rId14" Type="http://schemas.openxmlformats.org/officeDocument/2006/relationships/hyperlink" Target="https://www.dol.gov/agencies/whd/minimum-wage/state" TargetMode="External"/><Relationship Id="rId15" Type="http://schemas.openxmlformats.org/officeDocument/2006/relationships/hyperlink" Target="https://www.irs.gov/taxtopics/tc751" TargetMode="External"/><Relationship Id="rId16" Type="http://schemas.openxmlformats.org/officeDocument/2006/relationships/hyperlink" Target="https://www.irs.gov/taxtopics/tc759" TargetMode="External"/><Relationship Id="rId17" Type="http://schemas.openxmlformats.org/officeDocument/2006/relationships/hyperlink" Target="https://www.irs.gov/businesses/small-businesses-self-employed/tip-recordkeeping-and-reporting" TargetMode="External"/><Relationship Id="rId18" Type="http://schemas.openxmlformats.org/officeDocument/2006/relationships/hyperlink" Target="https://www.irs.gov/businesses/small-businesses-self-employed/get-an-employer-identification-number" TargetMode="External"/><Relationship Id="rId19" Type="http://schemas.openxmlformats.org/officeDocument/2006/relationships/hyperlink" Target="https://www.sba.gov/business-guide/launch-your-business/choose-business-structure" TargetMode="External"/><Relationship Id="rId20" Type="http://schemas.openxmlformats.org/officeDocument/2006/relationships/hyperlink" Target="https://www.sba.gov/business-guide/manage-your-business/pay-taxes" TargetMode="External"/><Relationship Id="rId21" Type="http://schemas.openxmlformats.org/officeDocument/2006/relationships/hyperlink" Target="https://www.niaaa.nih.gov/alcohols-effects-health/what-standard-drink" TargetMode="External"/><Relationship Id="rId22" Type="http://schemas.openxmlformats.org/officeDocument/2006/relationships/hyperlink" Target="https://www.abc.ca.gov/education/rbs/" TargetMode="External"/><Relationship Id="rId23" Type="http://schemas.openxmlformats.org/officeDocument/2006/relationships/hyperlink" Target="https://www.tabc.texas.gov/faqs/tabc-certification-faqs/" TargetMode="External"/><Relationship Id="rId24" Type="http://schemas.openxmlformats.org/officeDocument/2006/relationships/hyperlink" Target="https://www.nist.gov/document/2026-nist-handbook-44-appendix-c" TargetMode="External"/><Relationship Id="rId25" Type="http://schemas.openxmlformats.org/officeDocument/2006/relationships/hyperlink" Target="https://www.gov.uk/vat-rates" TargetMode="External"/><Relationship Id="rId26" Type="http://schemas.openxmlformats.org/officeDocument/2006/relationships/hyperlink" Target="https://www.gov.uk/guidance/food-products-and-vat-notice-70114" TargetMode="External"/><Relationship Id="rId27" Type="http://schemas.openxmlformats.org/officeDocument/2006/relationships/hyperlink" Target="https://www.gov.uk/guidance/catering-takeaway-food-and-vat-notice-7091" TargetMode="External"/><Relationship Id="rId28" Type="http://schemas.openxmlformats.org/officeDocument/2006/relationships/hyperlink" Target="https://www.gov.uk/register-for-vat" TargetMode="External"/><Relationship Id="rId29" Type="http://schemas.openxmlformats.org/officeDocument/2006/relationships/hyperlink" Target="https://www.gov.uk/find-utr-number" TargetMode="External"/><Relationship Id="rId30" Type="http://schemas.openxmlformats.org/officeDocument/2006/relationships/hyperlink" Target="https://www.gov.uk/introduction-to-business-rates" TargetMode="External"/><Relationship Id="rId31" Type="http://schemas.openxmlformats.org/officeDocument/2006/relationships/hyperlink" Target="https://www.legislation.gov.uk/uksi/2003/2253/made" TargetMode="External"/><Relationship Id="rId32" Type="http://schemas.openxmlformats.org/officeDocument/2006/relationships/hyperlink" Target="https://www.gov.uk/government/publications/distributing-tips-fairly-statutory-code-of-practice/code-of-practice-on-fair-and-transparent-distribution-of-tips-html-version" TargetMode="External"/><Relationship Id="rId33" Type="http://schemas.openxmlformats.org/officeDocument/2006/relationships/hyperlink" Target="https://www.gov.uk/food-business-registration" TargetMode="External"/><Relationship Id="rId34" Type="http://schemas.openxmlformats.org/officeDocument/2006/relationships/hyperlink" Target="https://www.gov.uk/food-hygiene-businesses/chilling-and-freezing" TargetMode="External"/><Relationship Id="rId35" Type="http://schemas.openxmlformats.org/officeDocument/2006/relationships/hyperlink" Target="https://www.gov.uk/food-hygiene-businesses/cooking" TargetMode="External"/><Relationship Id="rId36" Type="http://schemas.openxmlformats.org/officeDocument/2006/relationships/hyperlink" Target="https://www.gov.uk/government/publications/safer-food-better-business-for-caterers" TargetMode="External"/><Relationship Id="rId37" Type="http://schemas.openxmlformats.org/officeDocument/2006/relationships/hyperlink" Target="https://www.torbay.gov.uk/business/food-safety/controlling-food-temperatures/" TargetMode="External"/><Relationship Id="rId38" Type="http://schemas.openxmlformats.org/officeDocument/2006/relationships/hyperlink" Target="https://www.gov.uk/government/publications/allergen-guidance-for-food-businesses/allergen-guidance-for-food-businesses" TargetMode="External"/><Relationship Id="rId39" Type="http://schemas.openxmlformats.org/officeDocument/2006/relationships/hyperlink" Target="https://ratings.food.gov.uk/" TargetMode="External"/><Relationship Id="rId40" Type="http://schemas.openxmlformats.org/officeDocument/2006/relationships/hyperlink" Target="https://www.foodstandards.gov.scot/business-guidance/running-a-food-business/hygiene-ratings-and-awards/food-hygiene-information-scheme-business-guidance" TargetMode="External"/><Relationship Id="rId41" Type="http://schemas.openxmlformats.org/officeDocument/2006/relationships/hyperlink" Target="https://www.gov.uk/maximum-weekly-working-hours" TargetMode="External"/><Relationship Id="rId42" Type="http://schemas.openxmlformats.org/officeDocument/2006/relationships/hyperlink" Target="https://www.gov.uk/overtime-your-rights" TargetMode="External"/><Relationship Id="rId43" Type="http://schemas.openxmlformats.org/officeDocument/2006/relationships/hyperlink" Target="https://www.gov.uk/rest-breaks-work" TargetMode="External"/><Relationship Id="rId44" Type="http://schemas.openxmlformats.org/officeDocument/2006/relationships/hyperlink" Target="https://www.gov.uk/holiday-entitlement-rights" TargetMode="External"/><Relationship Id="rId45" Type="http://schemas.openxmlformats.org/officeDocument/2006/relationships/hyperlink" Target="https://www.gov.uk/national-minimum-wage-rates" TargetMode="External"/><Relationship Id="rId46" Type="http://schemas.openxmlformats.org/officeDocument/2006/relationships/hyperlink" Target="https://www.gov.uk/guidance/rates-and-thresholds-for-employers-2026-to-2027" TargetMode="External"/><Relationship Id="rId47" Type="http://schemas.openxmlformats.org/officeDocument/2006/relationships/hyperlink" Target="https://www.gov.uk/employing-staff" TargetMode="External"/><Relationship Id="rId48" Type="http://schemas.openxmlformats.org/officeDocument/2006/relationships/hyperlink" Target="https://www.gov.uk/workplace-pensions-employers" TargetMode="External"/><Relationship Id="rId49" Type="http://schemas.openxmlformats.org/officeDocument/2006/relationships/hyperlink" Target="https://www.gov.uk/employers-liability-insurance" TargetMode="External"/><Relationship Id="rId50" Type="http://schemas.openxmlformats.org/officeDocument/2006/relationships/hyperlink" Target="https://www.gov.uk/guidance/alcohol-licensing" TargetMode="External"/><Relationship Id="rId51" Type="http://schemas.openxmlformats.org/officeDocument/2006/relationships/hyperlink" Target="https://www.gov.uk/personal-licence-to-sell-alcohol" TargetMode="External"/><Relationship Id="rId52" Type="http://schemas.openxmlformats.org/officeDocument/2006/relationships/hyperlink" Target="https://www.gov.uk/temporary-events-notice" TargetMode="External"/><Relationship Id="rId53" Type="http://schemas.openxmlformats.org/officeDocument/2006/relationships/hyperlink" Target="https://www.legislation.gov.uk/uksi/1988/2039" TargetMode="External"/><Relationship Id="rId54" Type="http://schemas.openxmlformats.org/officeDocument/2006/relationships/hyperlink" Target="https://www.gov.uk/set-up-business" TargetMode="External"/><Relationship Id="rId55" Type="http://schemas.openxmlformats.org/officeDocument/2006/relationships/hyperlink" Target="https://www.gov.uk/limited-company-formation" TargetMode="External"/><Relationship Id="rId56" Type="http://schemas.openxmlformats.org/officeDocument/2006/relationships/hyperlink" Target="https://www.canada.ca/en/revenue-agency/services/tax/businesses/topics/gst-hst-businesses/charge-collect-which-rate.html" TargetMode="External"/><Relationship Id="rId57" Type="http://schemas.openxmlformats.org/officeDocument/2006/relationships/hyperlink" Target="https://www.canada.ca/en/revenue-agency/services/tax/businesses/topics/registering-your-business/you-need-a-business-number-a-program-account.html" TargetMode="External"/><Relationship Id="rId58" Type="http://schemas.openxmlformats.org/officeDocument/2006/relationships/hyperlink" Target="https://www.canada.ca/en/revenue-agency/services/tax/businesses/topics/payroll/payroll-deductions-contributions/employment-insurance-ei.html" TargetMode="External"/><Relationship Id="rId59" Type="http://schemas.openxmlformats.org/officeDocument/2006/relationships/hyperlink" Target="https://www.canada.ca/en/revenue-agency/services/tax/businesses/topics/payroll/payroll-deductions-contributions/canada-pension-plan-cpp.html" TargetMode="External"/><Relationship Id="rId60" Type="http://schemas.openxmlformats.org/officeDocument/2006/relationships/hyperlink" Target="https://www.canada.ca/en/health-canada/services/food-allergies-intolerances/food-allergies.html" TargetMode="External"/><Relationship Id="rId61" Type="http://schemas.openxmlformats.org/officeDocument/2006/relationships/hyperlink" Target="https://www.canada.ca/en/health-canada/services/general-food-safety-tips/safe-internal-cooking-temperatures.html" TargetMode="External"/><Relationship Id="rId62" Type="http://schemas.openxmlformats.org/officeDocument/2006/relationships/hyperlink" Target="https://www.canada.ca/en/health-canada/services/general-food-safety-tips/food-safety-you.html" TargetMode="External"/><Relationship Id="rId63" Type="http://schemas.openxmlformats.org/officeDocument/2006/relationships/hyperlink" Target="https://inspection.canada.ca/food-safety-for-consumers/where-to-report-a-complaint/restaurants-and-food-services/eng/1323139279504/1323140830752" TargetMode="External"/><Relationship Id="rId64" Type="http://schemas.openxmlformats.org/officeDocument/2006/relationships/hyperlink" Target="https://www.ontario.ca/document/your-guide-employment-standards-act-0/overtime-pay" TargetMode="External"/><Relationship Id="rId65" Type="http://schemas.openxmlformats.org/officeDocument/2006/relationships/hyperlink" Target="https://www.ontario.ca/document/your-guide-employment-standards-act-0/tips-and-other-gratuities" TargetMode="External"/><Relationship Id="rId66" Type="http://schemas.openxmlformats.org/officeDocument/2006/relationships/hyperlink" Target="https://www2.gov.bc.ca/gov/content/employment-business/employment-standards-advice/employment-standards/hours/overtime-pay" TargetMode="External"/><Relationship Id="rId67" Type="http://schemas.openxmlformats.org/officeDocument/2006/relationships/hyperlink" Target="https://www.agco.ca/en/alcohol/guides/chapter-2-features-requirements-under-new-llca-legislative-framework" TargetMode="External"/><Relationship Id="rId68" Type="http://schemas.openxmlformats.org/officeDocument/2006/relationships/hyperlink" Target="https://www.agco.ca/en/alcohol/apply-sell-or-serve-alcohol-private-event" TargetMode="External"/><Relationship Id="rId69" Type="http://schemas.openxmlformats.org/officeDocument/2006/relationships/hyperlink" Target="https://www.responsibleservicebc.gov.bc.ca/who-needs-serving-it-right" TargetMode="External"/><Relationship Id="rId70" Type="http://schemas.openxmlformats.org/officeDocument/2006/relationships/hyperlink" Target="https://www2.gov.bc.ca/gov/content/employment-business/business/liquor-regulation-licensing/liquor-licence-permits/liquor-resources-information/lcrb-faq" TargetMode="External"/><Relationship Id="rId71" Type="http://schemas.openxmlformats.org/officeDocument/2006/relationships/hyperlink" Target="https://aglc.ca/" TargetMode="External"/><Relationship Id="rId72" Type="http://schemas.openxmlformats.org/officeDocument/2006/relationships/hyperlink" Target="https://www.canada.ca/en/health-canada/services/substance-use/alcohol/low-risk-alcohol-drinking-guidelines.html" TargetMode="External"/><Relationship Id="rId73" Type="http://schemas.openxmlformats.org/officeDocument/2006/relationships/hyperlink" Target="https://ised-isde.canada.ca/site/measurement-canada/en/node/614" TargetMode="External"/><Relationship Id="rId74" Type="http://schemas.openxmlformats.org/officeDocument/2006/relationships/hyperlink" Target="https://business.gov.au/registrations/register-for-taxes/register-for-goods-and-services-tax-gst" TargetMode="External"/><Relationship Id="rId75" Type="http://schemas.openxmlformats.org/officeDocument/2006/relationships/hyperlink" Target="https://business.gov.au/registrations/register-for-an-australian-business-number-abn" TargetMode="External"/><Relationship Id="rId76" Type="http://schemas.openxmlformats.org/officeDocument/2006/relationships/hyperlink" Target="https://business.gov.au/registrations/register-a-company" TargetMode="External"/><Relationship Id="rId77" Type="http://schemas.openxmlformats.org/officeDocument/2006/relationships/hyperlink" Target="https://business.gov.au/people/employees/employees-pay-leave-and-entitlements" TargetMode="External"/><Relationship Id="rId78" Type="http://schemas.openxmlformats.org/officeDocument/2006/relationships/hyperlink" Target="https://www.foodstandards.gov.au/business/food-safety/keeping-food-at-the-right-temperature" TargetMode="External"/><Relationship Id="rId79" Type="http://schemas.openxmlformats.org/officeDocument/2006/relationships/hyperlink" Target="https://www.foodstandards.gov.au/business/food-safety/cooling-and-reheating-food" TargetMode="External"/><Relationship Id="rId80" Type="http://schemas.openxmlformats.org/officeDocument/2006/relationships/hyperlink" Target="https://www.healthdirect.gov.au/food-safety" TargetMode="External"/><Relationship Id="rId81" Type="http://schemas.openxmlformats.org/officeDocument/2006/relationships/hyperlink" Target="https://www.foodstandards.gov.au/business/food-safety/food-safety-supervisor" TargetMode="External"/><Relationship Id="rId82" Type="http://schemas.openxmlformats.org/officeDocument/2006/relationships/hyperlink" Target="https://www.foodstandards.gov.au/consumer/labelling/allergen-labelling" TargetMode="External"/><Relationship Id="rId83" Type="http://schemas.openxmlformats.org/officeDocument/2006/relationships/hyperlink" Target="https://awards.fairwork.gov.au/MA000009.html" TargetMode="External"/><Relationship Id="rId84" Type="http://schemas.openxmlformats.org/officeDocument/2006/relationships/hyperlink" Target="https://www.ato.gov.au/tax-rates-and-codes/key-superannuation-rates-and-thresholds/super-guarantee" TargetMode="External"/><Relationship Id="rId85" Type="http://schemas.openxmlformats.org/officeDocument/2006/relationships/hyperlink" Target="https://www.nsw.gov.au/business-and-economy/liquor-and-gaming/training/rsa" TargetMode="External"/><Relationship Id="rId86" Type="http://schemas.openxmlformats.org/officeDocument/2006/relationships/hyperlink" Target="https://www.nsw.gov.au/business-and-economy/liquor-and-gaming/liquor-licensing/licence-types/limited" TargetMode="External"/><Relationship Id="rId87" Type="http://schemas.openxmlformats.org/officeDocument/2006/relationships/hyperlink" Target="https://www.health.gov.au/topics/alcohol/about-alcohol/standard-drinks-guide" TargetMode="External"/><Relationship Id="rId88" Type="http://schemas.openxmlformats.org/officeDocument/2006/relationships/hyperlink" Target="mailto:info@aichef.pro" TargetMode="External"/><Relationship Id="rId89" Type="http://schemas.openxmlformats.org/officeDocument/2006/relationships/hyperlink" Target="https://aichef.pro/en/digital-produ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 UK · Canada · Australia Hospitality Equivalents Guide</dc:title>
  <dc:subject>Bonus guide for the AI Chef Pro English kits and business plans: menu terms, tax, food safety, labor, alcohol, business setup and units in the US, UK, Canada and Australia</dc:subject>
  <dc:creator>AI Chef Pro</dc:creator>
  <cp:keywords>hospitality equivalents, restaurant terms US UK Canada Australia, VAT GST sales tax restaurant, food safety temperatures, allergens list, overtime rules, liquor license, unit conversions, AI Chef Pro</cp:keywords>
  <dc:description>Bonus included with every English edition. Updated October 2026.</dc:description>
  <cp:lastModifiedBy>AI Chef Pro</cp:lastModifiedBy>
  <cp:revision>1</cp:revision>
  <dcterms:created xsi:type="dcterms:W3CDTF">2026-10-13T12:00:00Z</dcterms:created>
  <dcterms:modified xsi:type="dcterms:W3CDTF">2026-10-13T12:00:00Z</dcterms:modified>
  <cp:category>Bonus guide</cp:category>
  <dc:language>en-US</dc:language>
</cp:coreProperties>
</file>