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mbria" w:hAnsi="Cambria"/>
          <w:b/>
          <w:color w:val="0A0908"/>
          <w:sz w:val="56"/>
        </w:rPr>
        <w:t>Plan de Negocio</w:t>
      </w:r>
    </w:p>
    <w:p>
      <w:pPr>
        <w:jc w:val="center"/>
      </w:pPr>
      <w:r>
        <w:rPr>
          <w:i/>
          <w:color w:val="5A5240"/>
          <w:sz w:val="28"/>
        </w:rPr>
        <w:t>Catering &amp; Kit Temático para Eventos en España 2026</w:t>
      </w:r>
    </w:p>
    <w:p>
      <w:pPr>
        <w:jc w:val="center"/>
      </w:pPr>
      <w:r>
        <w:rPr>
          <w:b/>
          <w:color w:val="C4974A"/>
          <w:sz w:val="24"/>
        </w:rPr>
        <w:t>Modelo multi-concepto B2C íntimo + B2B corporate · Sin local fijo · Premium</w:t>
      </w:r>
    </w:p>
    <w:p>
      <w:pPr>
        <w:jc w:val="center"/>
      </w:pPr>
      <w:r>
        <w:rPr>
          <w:color w:val="5A5240"/>
          <w:sz w:val="22"/>
        </w:rPr>
        <w:t>ChefBusiness Consultoría Gastronómica</w:t>
      </w:r>
    </w:p>
    <w:p>
      <w:r>
        <w:br w:type="page"/>
      </w:r>
    </w:p>
    <w:p>
      <w:r>
        <w:rPr>
          <w:rFonts w:ascii="Cambria" w:hAnsi="Cambria"/>
          <w:b/>
          <w:color w:val="0A0908"/>
          <w:sz w:val="40"/>
        </w:rPr>
        <w:t>1. Resumen ejecutivo</w:t>
      </w:r>
    </w:p>
    <w:p>
      <w:pPr>
        <w:spacing w:after="120"/>
      </w:pPr>
      <w:r>
        <w:t>Este plan describe el lanzamiento y la operativa de una empresa premium de catering temático para eventos en España, con un modelo multi-concepto sin local fijo y dos canales comerciales paralelos. El canal B2C atiende clientes particulares (bodas multiculturales, cumpleaños temáticos, aniversarios, celebraciones familiares con concepto cultural) mientras que el canal B2B atiende empresas corporativas (showcooking corporate, brand events, eventos diplomáticos, cooking class team-building, wedding planners con bodas tematizadas y festivales gastronómicos).</w:t>
      </w:r>
    </w:p>
    <w:p>
      <w:pPr>
        <w:spacing w:after="120"/>
      </w:pPr>
      <w:r>
        <w:t>El producto entregado al cliente final no es un catering generalista — es una experiencia gastronómica multi-cultural. Una boda con tres estaciones temáticas (sushi-bar, pizza al horno de leña, asado argentino) ofrece un ticket muy superior al banquete tradicional, con márgenes 30-40 % más altos. Un corporate brand event con catering temático alineado al país sede del cliente justifica tickets de 80-150 €/pax frente a los 45-65 €/pax del catering generalista.</w:t>
      </w:r>
    </w:p>
    <w:p>
      <w:pPr>
        <w:spacing w:after="120"/>
      </w:pPr>
      <w:r>
        <w:t>La inversión inicial recomendada se sitúa entre 11.500 € y 16.000 €, con escenario mínimo viable de 5.500 € (sin furgoneta propia, alquiler puntual, 3 conceptos dominados al inicio) y escenario premium de 35.000 € (furgoneta nueva con branded wrap, equipamiento de cocina del mundo profesional completo, branding e identidad visual completos, sesión foto editorial 12 conceptos, attrezzo cultural por estación). El break-even se alcanza con 14 eventos al mes en el año 1. La proyección financiera contempla un crecimiento del 30 % en año 2 y del 22 % en año 3, con un beneficio neto del 27-32 % sobre ingresos a partir del segundo año.</w:t>
      </w:r>
    </w:p>
    <w:p>
      <w:r>
        <w:rPr>
          <w:rFonts w:ascii="Cambria" w:hAnsi="Cambria"/>
          <w:b/>
          <w:color w:val="0A0908"/>
          <w:sz w:val="40"/>
        </w:rPr>
        <w:t>2. Concepto y propuesta de valor</w:t>
      </w:r>
    </w:p>
    <w:p>
      <w:r>
        <w:rPr>
          <w:rFonts w:ascii="Cambria" w:hAnsi="Cambria"/>
          <w:b/>
          <w:color w:val="0A0908"/>
          <w:sz w:val="30"/>
        </w:rPr>
        <w:t>2.1 El diferencial multi-concepto</w:t>
      </w:r>
    </w:p>
    <w:p>
      <w:pPr>
        <w:spacing w:after="120"/>
      </w:pPr>
      <w:r>
        <w:t>Frente al catering generalista (ticket 45-85 €/pax) y al monoconcepto especializado (paellero, parrillero, sushi-bar como servicio único), el catering temático multi-concepto ocupa el espacio premium del segmento eventos: capacidad de servir simultáneamente 3-5 cocinas del mundo en un mismo evento, con ticket medio 70-130 €/pax y margen bruto 50-55 %. Es la propuesta más rentable del segmento gastro-itinerante.</w:t>
      </w:r>
    </w:p>
    <w:p>
      <w:pPr>
        <w:spacing w:after="120"/>
      </w:pPr>
      <w:r>
        <w:t>Las ventajas estructurales del modelo:</w:t>
      </w:r>
    </w:p>
    <w:p>
      <w:pPr>
        <w:pStyle w:val="ListBullet"/>
        <w:spacing w:after="40"/>
      </w:pPr>
      <w:r>
        <w:t>Inversión 5-9 veces menor que un catering con cocina central (12.000-35.000 € vs 100.000-300.000 €).</w:t>
      </w:r>
    </w:p>
    <w:p>
      <w:pPr>
        <w:pStyle w:val="ListBullet"/>
        <w:spacing w:after="40"/>
      </w:pPr>
      <w:r>
        <w:t>Sin licencia de actividad clasificada — se opera con autorizaciones puntuales por evento.</w:t>
      </w:r>
    </w:p>
    <w:p>
      <w:pPr>
        <w:pStyle w:val="ListBullet"/>
        <w:spacing w:after="40"/>
      </w:pPr>
      <w:r>
        <w:t>Sin plantilla fija — equipo freelance especializado por concepto bajo demanda.</w:t>
      </w:r>
    </w:p>
    <w:p>
      <w:pPr>
        <w:pStyle w:val="ListBullet"/>
        <w:spacing w:after="40"/>
      </w:pPr>
      <w:r>
        <w:t>Operatividad todo el año, con pico mayo-octubre (bodas) + noviembre-diciembre (corporate fin de año).</w:t>
      </w:r>
    </w:p>
    <w:p>
      <w:pPr>
        <w:pStyle w:val="ListBullet"/>
        <w:spacing w:after="40"/>
      </w:pPr>
      <w:r>
        <w:t>Captación dual B2C+B2B con dossiers diferenciados aporta resiliencia frente a estacionalidad.</w:t>
      </w:r>
    </w:p>
    <w:p>
      <w:pPr>
        <w:pStyle w:val="ListBullet"/>
        <w:spacing w:after="40"/>
      </w:pPr>
      <w:r>
        <w:t>Replicabilidad geográfica con mismo know-how y branded experience.</w:t>
      </w:r>
    </w:p>
    <w:p>
      <w:pPr>
        <w:pStyle w:val="ListBullet"/>
        <w:spacing w:after="40"/>
      </w:pPr>
      <w:r>
        <w:t>Up-selling natural: empieza con 1-2 conceptos dominados, añade 1-2/año hasta tener 8-10 en portafolio.</w:t>
      </w:r>
    </w:p>
    <w:p>
      <w:r>
        <w:rPr>
          <w:rFonts w:ascii="Cambria" w:hAnsi="Cambria"/>
          <w:b/>
          <w:color w:val="0A0908"/>
          <w:sz w:val="30"/>
        </w:rPr>
        <w:t>2.2 Diferencial competitivo premium</w:t>
      </w:r>
    </w:p>
    <w:p>
      <w:pPr>
        <w:spacing w:after="120"/>
      </w:pPr>
      <w:r>
        <w:t>El mercado español de catering temático multi-concepto está fragmentado: el Top 5 de catering general acumula &gt;45 % de cuota en colectividades pero el segmento eventos especializados está abierto a entrantes con ángulo diferenciado. La oportunidad está en posicionarse premium con estos diferenciales:</w:t>
      </w:r>
    </w:p>
    <w:p>
      <w:pPr>
        <w:pStyle w:val="ListBullet"/>
        <w:spacing w:after="40"/>
      </w:pPr>
      <w:r>
        <w:t>Storytelling cultural en directo durante el showcooking ('este mole lleva 28 ingredientes y 6 horas...').</w:t>
      </w:r>
    </w:p>
    <w:p>
      <w:pPr>
        <w:pStyle w:val="ListBullet"/>
        <w:spacing w:after="40"/>
      </w:pPr>
      <w:r>
        <w:t>Visual-first by design — cada estación con backdrop fotogénico, hashtag del evento integrado.</w:t>
      </w:r>
    </w:p>
    <w:p>
      <w:pPr>
        <w:pStyle w:val="ListBullet"/>
        <w:spacing w:after="40"/>
      </w:pPr>
      <w:r>
        <w:t>Dietas especiales como plus, no como excepción (vegano + sin gluten + halal en mismo nivel estético).</w:t>
      </w:r>
    </w:p>
    <w:p>
      <w:pPr>
        <w:pStyle w:val="ListBullet"/>
        <w:spacing w:after="40"/>
      </w:pPr>
      <w:r>
        <w:t>Sostenibilidad verificable — proveedores km0 documentados, packaging compostable, balance residuos.</w:t>
      </w:r>
    </w:p>
    <w:p>
      <w:pPr>
        <w:pStyle w:val="ListBullet"/>
        <w:spacing w:after="40"/>
      </w:pPr>
      <w:r>
        <w:t>Brand catering corporate — menú a medida que refuerza branding del cliente (colores, país sede).</w:t>
      </w:r>
    </w:p>
    <w:p>
      <w:pPr>
        <w:pStyle w:val="ListBullet"/>
        <w:spacing w:after="40"/>
      </w:pPr>
      <w:r>
        <w:t>Activación pre-evento — entrega menú degustación + storytelling deck 4-6 semanas antes.</w:t>
      </w:r>
    </w:p>
    <w:p>
      <w:pPr>
        <w:pStyle w:val="ListBullet"/>
        <w:spacing w:after="40"/>
      </w:pPr>
      <w:r>
        <w:t>Multi-concepto modular — 'feria gastronómica del mundo' como formato premium 90-130 €/pax.</w:t>
      </w:r>
    </w:p>
    <w:p>
      <w:r>
        <w:rPr>
          <w:rFonts w:ascii="Cambria" w:hAnsi="Cambria"/>
          <w:b/>
          <w:color w:val="0A0908"/>
          <w:sz w:val="30"/>
        </w:rPr>
        <w:t>2.3 Posicionamiento dual B2C íntimo + B2B corporate</w:t>
      </w:r>
    </w:p>
    <w:p>
      <w:pPr>
        <w:spacing w:after="120"/>
      </w:pPr>
      <w:r>
        <w:t>El modelo se construye sobre dos columnas complementarias. El canal B2C (35 % de los ingresos) genera contenido visual, reseñas Google, viralidad en redes sociales y testimonios; el canal B2B (65 % de los ingresos) aporta volumen, ticket medio alto y ratio de repetición elevado. Una boda multicultural temática bien fotografiada se convierte en venta corporate; un brand event corporate bien ejecutado genera 6-10 eventos privados de los asistentes en los 6 meses siguientes.</w:t>
      </w:r>
    </w:p>
    <w:p>
      <w:r>
        <w:rPr>
          <w:rFonts w:ascii="Cambria" w:hAnsi="Cambria"/>
          <w:b/>
          <w:color w:val="0A0908"/>
          <w:sz w:val="40"/>
        </w:rPr>
        <w:t>3. Análisis de mercado España 2026</w:t>
      </w:r>
    </w:p>
    <w:p>
      <w:r>
        <w:rPr>
          <w:rFonts w:ascii="Cambria" w:hAnsi="Cambria"/>
          <w:b/>
          <w:color w:val="0A0908"/>
          <w:sz w:val="30"/>
        </w:rPr>
        <w:t>3.1 Tamaño del mercado</w:t>
      </w:r>
    </w:p>
    <w:p>
      <w:pPr>
        <w:spacing w:after="120"/>
      </w:pPr>
      <w:r>
        <w:t>Según el Observatorio Sectorial DBK de INFORMA (2024), el mercado total de catering en España alcanzó los 4.585 millones de euros en 2023 (+8,8 % YoY), del cual el segmento eventos y celebraciones representa entre el 12-15 % del total (~600-700 millones €). Bodas.net Informe Sector Nupcial 2026 confirma que el coste medio de una boda en España alcanzó los 25.183 € en 2025 con 116 invitados de media; el banquete representa el 53 % del presupuesto total. El mercado MICE corporate supera los 14.296 millones € (2024) con previsiones de crecimiento sostenido 2025-2027. El segmento de catering temático especializado, dentro del catering de eventos, está en expansión por la demanda creciente de experiencias gastronómicas diferenciadoras.</w:t>
      </w:r>
    </w:p>
    <w:p>
      <w:r>
        <w:rPr>
          <w:rFonts w:ascii="Cambria" w:hAnsi="Cambria"/>
          <w:b/>
          <w:color w:val="0A0908"/>
          <w:sz w:val="30"/>
        </w:rPr>
        <w:t>3.2 Tendencias 2026 confirmadas</w:t>
      </w:r>
    </w:p>
    <w:p>
      <w:pPr>
        <w:pStyle w:val="ListBullet"/>
        <w:spacing w:after="40"/>
      </w:pPr>
      <w:r>
        <w:t>Fusión cultural — 38 % de bodas son multiculturales (parejas con orígenes diversos) y demandan menús que reflejen sus raíces y viajes.</w:t>
      </w:r>
    </w:p>
    <w:p>
      <w:pPr>
        <w:pStyle w:val="ListBullet"/>
        <w:spacing w:after="40"/>
      </w:pPr>
      <w:r>
        <w:t>Showcooking en directo — 'estaciones de comida (sushi, parrilla, postres) seguirán creciendo' (HOLA / Ondarreta / Mangoa).</w:t>
      </w:r>
    </w:p>
    <w:p>
      <w:pPr>
        <w:pStyle w:val="ListBullet"/>
        <w:spacing w:after="40"/>
      </w:pPr>
      <w:r>
        <w:t>Family Style + estaciones temáticas — formato compartido reemplaza al banquete sentado en bodas millennial.</w:t>
      </w:r>
    </w:p>
    <w:p>
      <w:pPr>
        <w:pStyle w:val="ListBullet"/>
        <w:spacing w:after="40"/>
      </w:pPr>
      <w:r>
        <w:t>Sostenibilidad como requisito — zero waste, productores km0, packaging compostable.</w:t>
      </w:r>
    </w:p>
    <w:p>
      <w:pPr>
        <w:pStyle w:val="ListBullet"/>
        <w:spacing w:after="40"/>
      </w:pPr>
      <w:r>
        <w:t>Plant-based premium — 58 % de las parejas piden ≥1 menú alternativo (WeddingWire Global 2025).</w:t>
      </w:r>
    </w:p>
    <w:p>
      <w:pPr>
        <w:pStyle w:val="ListBullet"/>
        <w:spacing w:after="40"/>
      </w:pPr>
      <w:r>
        <w:t>Visual-first / instagrameable — flores comestibles, presentaciones artísticas, 'cada plato como lienzo'.</w:t>
      </w:r>
    </w:p>
    <w:p>
      <w:pPr>
        <w:pStyle w:val="ListBullet"/>
        <w:spacing w:after="40"/>
      </w:pPr>
      <w:r>
        <w:t>Storytelling cultural del chef — narrativa en directo durante showcooking aumenta percepción de valor.</w:t>
      </w:r>
    </w:p>
    <w:p>
      <w:pPr>
        <w:pStyle w:val="ListBullet"/>
        <w:spacing w:after="40"/>
      </w:pPr>
      <w:r>
        <w:t>Activación pre-evento — entrega menú degustación + storytelling deck a la pareja/cliente como contenido orgánico.</w:t>
      </w:r>
    </w:p>
    <w:p>
      <w:r>
        <w:rPr>
          <w:rFonts w:ascii="Cambria" w:hAnsi="Cambria"/>
          <w:b/>
          <w:color w:val="0A0908"/>
          <w:sz w:val="30"/>
        </w:rPr>
        <w:t>3.3 Top 14 conceptos temáticos más vendibles 2026</w:t>
      </w:r>
    </w:p>
    <w:p>
      <w:pPr>
        <w:spacing w:after="120"/>
      </w:pPr>
      <w:r>
        <w:t>Datos cruzados de Bodas.net, MICE Catering, Roble Agency, Top 5 catering DBK y plataformas B2B (CateringClick, Bodas.net PRO):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567"/>
          </w:tcPr>
          <w:p>
            <w:r>
              <w:rPr>
                <w:b/>
                <w:color w:val="0A0908"/>
              </w:rPr>
              <w:t>#</w:t>
            </w:r>
          </w:p>
        </w:tc>
        <w:tc>
          <w:tcPr>
            <w:tcW w:type="dxa" w:w="3402"/>
          </w:tcPr>
          <w:p>
            <w:r>
              <w:rPr>
                <w:b/>
                <w:color w:val="0A0908"/>
              </w:rPr>
              <w:t>Concepto</w:t>
            </w:r>
          </w:p>
        </w:tc>
        <w:tc>
          <w:tcPr>
            <w:tcW w:type="dxa" w:w="2835"/>
          </w:tcPr>
          <w:p>
            <w:r>
              <w:rPr>
                <w:b/>
                <w:color w:val="0A0908"/>
              </w:rPr>
              <w:t>ICP principal</w:t>
            </w:r>
          </w:p>
        </w:tc>
        <w:tc>
          <w:tcPr>
            <w:tcW w:type="dxa" w:w="1701"/>
          </w:tcPr>
          <w:p>
            <w:r>
              <w:rPr>
                <w:b/>
                <w:color w:val="0A0908"/>
              </w:rPr>
              <w:t>Ticket €/pax</w:t>
            </w:r>
          </w:p>
        </w:tc>
        <w:tc>
          <w:tcPr>
            <w:tcW w:type="dxa" w:w="1134"/>
          </w:tcPr>
          <w:p>
            <w:r>
              <w:rPr>
                <w:b/>
                <w:color w:val="0A0908"/>
              </w:rPr>
              <w:t>Dificultad</w:t>
            </w:r>
          </w:p>
        </w:tc>
      </w:tr>
      <w:tr>
        <w:tc>
          <w:tcPr>
            <w:tcW w:type="dxa" w:w="567"/>
          </w:tcPr>
          <w:p>
            <w:r>
              <w:t>1</w:t>
            </w:r>
          </w:p>
        </w:tc>
        <w:tc>
          <w:tcPr>
            <w:tcW w:type="dxa" w:w="3402"/>
          </w:tcPr>
          <w:p>
            <w:r>
              <w:t>Sushi-bar + sushiman directo</w:t>
            </w:r>
          </w:p>
        </w:tc>
        <w:tc>
          <w:tcPr>
            <w:tcW w:type="dxa" w:w="2835"/>
          </w:tcPr>
          <w:p>
            <w:r>
              <w:t>Bodas urbanas, corporate premium</w:t>
            </w:r>
          </w:p>
        </w:tc>
        <w:tc>
          <w:tcPr>
            <w:tcW w:type="dxa" w:w="1701"/>
          </w:tcPr>
          <w:p>
            <w:r>
              <w:t>35-90</w:t>
            </w:r>
          </w:p>
        </w:tc>
        <w:tc>
          <w:tcPr>
            <w:tcW w:type="dxa" w:w="1134"/>
          </w:tcPr>
          <w:p>
            <w:r>
              <w:t>Alta</w:t>
            </w:r>
          </w:p>
        </w:tc>
      </w:tr>
      <w:tr>
        <w:tc>
          <w:tcPr>
            <w:tcW w:type="dxa" w:w="567"/>
          </w:tcPr>
          <w:p>
            <w:r>
              <w:t>2</w:t>
            </w:r>
          </w:p>
        </w:tc>
        <w:tc>
          <w:tcPr>
            <w:tcW w:type="dxa" w:w="3402"/>
          </w:tcPr>
          <w:p>
            <w:r>
              <w:t>Tacos al pastor + trompo móvil</w:t>
            </w:r>
          </w:p>
        </w:tc>
        <w:tc>
          <w:tcPr>
            <w:tcW w:type="dxa" w:w="2835"/>
          </w:tcPr>
          <w:p>
            <w:r>
              <w:t>Bodas millennial, brand events</w:t>
            </w:r>
          </w:p>
        </w:tc>
        <w:tc>
          <w:tcPr>
            <w:tcW w:type="dxa" w:w="1701"/>
          </w:tcPr>
          <w:p>
            <w:r>
              <w:t>25-45</w:t>
            </w:r>
          </w:p>
        </w:tc>
        <w:tc>
          <w:tcPr>
            <w:tcW w:type="dxa" w:w="1134"/>
          </w:tcPr>
          <w:p>
            <w:r>
              <w:t>Media</w:t>
            </w:r>
          </w:p>
        </w:tc>
      </w:tr>
      <w:tr>
        <w:tc>
          <w:tcPr>
            <w:tcW w:type="dxa" w:w="567"/>
          </w:tcPr>
          <w:p>
            <w:r>
              <w:t>3</w:t>
            </w:r>
          </w:p>
        </w:tc>
        <w:tc>
          <w:tcPr>
            <w:tcW w:type="dxa" w:w="3402"/>
          </w:tcPr>
          <w:p>
            <w:r>
              <w:t>Parrilla argentina / asado a la cruz</w:t>
            </w:r>
          </w:p>
        </w:tc>
        <w:tc>
          <w:tcPr>
            <w:tcW w:type="dxa" w:w="2835"/>
          </w:tcPr>
          <w:p>
            <w:r>
              <w:t>Bodas finca, corporate outdoor</w:t>
            </w:r>
          </w:p>
        </w:tc>
        <w:tc>
          <w:tcPr>
            <w:tcW w:type="dxa" w:w="1701"/>
          </w:tcPr>
          <w:p>
            <w:r>
              <w:t>32-60</w:t>
            </w:r>
          </w:p>
        </w:tc>
        <w:tc>
          <w:tcPr>
            <w:tcW w:type="dxa" w:w="1134"/>
          </w:tcPr>
          <w:p>
            <w:r>
              <w:t>Media</w:t>
            </w:r>
          </w:p>
        </w:tc>
      </w:tr>
      <w:tr>
        <w:tc>
          <w:tcPr>
            <w:tcW w:type="dxa" w:w="567"/>
          </w:tcPr>
          <w:p>
            <w:r>
              <w:t>4</w:t>
            </w:r>
          </w:p>
        </w:tc>
        <w:tc>
          <w:tcPr>
            <w:tcW w:type="dxa" w:w="3402"/>
          </w:tcPr>
          <w:p>
            <w:r>
              <w:t>Pizza al horno de leña móvil napolitana</w:t>
            </w:r>
          </w:p>
        </w:tc>
        <w:tc>
          <w:tcPr>
            <w:tcW w:type="dxa" w:w="2835"/>
          </w:tcPr>
          <w:p>
            <w:r>
              <w:t>Bodas informales, late-snack</w:t>
            </w:r>
          </w:p>
        </w:tc>
        <w:tc>
          <w:tcPr>
            <w:tcW w:type="dxa" w:w="1701"/>
          </w:tcPr>
          <w:p>
            <w:r>
              <w:t>15-30</w:t>
            </w:r>
          </w:p>
        </w:tc>
        <w:tc>
          <w:tcPr>
            <w:tcW w:type="dxa" w:w="1134"/>
          </w:tcPr>
          <w:p>
            <w:r>
              <w:t>Baja-Media</w:t>
            </w:r>
          </w:p>
        </w:tc>
      </w:tr>
      <w:tr>
        <w:tc>
          <w:tcPr>
            <w:tcW w:type="dxa" w:w="567"/>
          </w:tcPr>
          <w:p>
            <w:r>
              <w:t>5</w:t>
            </w:r>
          </w:p>
        </w:tc>
        <w:tc>
          <w:tcPr>
            <w:tcW w:type="dxa" w:w="3402"/>
          </w:tcPr>
          <w:p>
            <w:r>
              <w:t>Ceviche peruano + barra Pisco</w:t>
            </w:r>
          </w:p>
        </w:tc>
        <w:tc>
          <w:tcPr>
            <w:tcW w:type="dxa" w:w="2835"/>
          </w:tcPr>
          <w:p>
            <w:r>
              <w:t>Bodas premium, corporate trendy</w:t>
            </w:r>
          </w:p>
        </w:tc>
        <w:tc>
          <w:tcPr>
            <w:tcW w:type="dxa" w:w="1701"/>
          </w:tcPr>
          <w:p>
            <w:r>
              <w:t>40-75</w:t>
            </w:r>
          </w:p>
        </w:tc>
        <w:tc>
          <w:tcPr>
            <w:tcW w:type="dxa" w:w="1134"/>
          </w:tcPr>
          <w:p>
            <w:r>
              <w:t>Alta</w:t>
            </w:r>
          </w:p>
        </w:tc>
      </w:tr>
      <w:tr>
        <w:tc>
          <w:tcPr>
            <w:tcW w:type="dxa" w:w="567"/>
          </w:tcPr>
          <w:p>
            <w:r>
              <w:t>6</w:t>
            </w:r>
          </w:p>
        </w:tc>
        <w:tc>
          <w:tcPr>
            <w:tcW w:type="dxa" w:w="3402"/>
          </w:tcPr>
          <w:p>
            <w:r>
              <w:t>Marisquería gallega showcooking</w:t>
            </w:r>
          </w:p>
        </w:tc>
        <w:tc>
          <w:tcPr>
            <w:tcW w:type="dxa" w:w="2835"/>
          </w:tcPr>
          <w:p>
            <w:r>
              <w:t>Bodas alto standing, VIP</w:t>
            </w:r>
          </w:p>
        </w:tc>
        <w:tc>
          <w:tcPr>
            <w:tcW w:type="dxa" w:w="1701"/>
          </w:tcPr>
          <w:p>
            <w:r>
              <w:t>70-120</w:t>
            </w:r>
          </w:p>
        </w:tc>
        <w:tc>
          <w:tcPr>
            <w:tcW w:type="dxa" w:w="1134"/>
          </w:tcPr>
          <w:p>
            <w:r>
              <w:t>Alta</w:t>
            </w:r>
          </w:p>
        </w:tc>
      </w:tr>
      <w:tr>
        <w:tc>
          <w:tcPr>
            <w:tcW w:type="dxa" w:w="567"/>
          </w:tcPr>
          <w:p>
            <w:r>
              <w:t>7</w:t>
            </w:r>
          </w:p>
        </w:tc>
        <w:tc>
          <w:tcPr>
            <w:tcW w:type="dxa" w:w="3402"/>
          </w:tcPr>
          <w:p>
            <w:r>
              <w:t>Tandoor indio + curry station</w:t>
            </w:r>
          </w:p>
        </w:tc>
        <w:tc>
          <w:tcPr>
            <w:tcW w:type="dxa" w:w="2835"/>
          </w:tcPr>
          <w:p>
            <w:r>
              <w:t>Bodas multiculturales, embajadas</w:t>
            </w:r>
          </w:p>
        </w:tc>
        <w:tc>
          <w:tcPr>
            <w:tcW w:type="dxa" w:w="1701"/>
          </w:tcPr>
          <w:p>
            <w:r>
              <w:t>35-55</w:t>
            </w:r>
          </w:p>
        </w:tc>
        <w:tc>
          <w:tcPr>
            <w:tcW w:type="dxa" w:w="1134"/>
          </w:tcPr>
          <w:p>
            <w:r>
              <w:t>Media-Alta</w:t>
            </w:r>
          </w:p>
        </w:tc>
      </w:tr>
      <w:tr>
        <w:tc>
          <w:tcPr>
            <w:tcW w:type="dxa" w:w="567"/>
          </w:tcPr>
          <w:p>
            <w:r>
              <w:t>8</w:t>
            </w:r>
          </w:p>
        </w:tc>
        <w:tc>
          <w:tcPr>
            <w:tcW w:type="dxa" w:w="3402"/>
          </w:tcPr>
          <w:p>
            <w:r>
              <w:t>Couscous / tagín marroquí</w:t>
            </w:r>
          </w:p>
        </w:tc>
        <w:tc>
          <w:tcPr>
            <w:tcW w:type="dxa" w:w="2835"/>
          </w:tcPr>
          <w:p>
            <w:r>
              <w:t>Bodas Andalucía, embajadas</w:t>
            </w:r>
          </w:p>
        </w:tc>
        <w:tc>
          <w:tcPr>
            <w:tcW w:type="dxa" w:w="1701"/>
          </w:tcPr>
          <w:p>
            <w:r>
              <w:t>30-50</w:t>
            </w:r>
          </w:p>
        </w:tc>
        <w:tc>
          <w:tcPr>
            <w:tcW w:type="dxa" w:w="1134"/>
          </w:tcPr>
          <w:p>
            <w:r>
              <w:t>Baja-Media</w:t>
            </w:r>
          </w:p>
        </w:tc>
      </w:tr>
      <w:tr>
        <w:tc>
          <w:tcPr>
            <w:tcW w:type="dxa" w:w="567"/>
          </w:tcPr>
          <w:p>
            <w:r>
              <w:t>9</w:t>
            </w:r>
          </w:p>
        </w:tc>
        <w:tc>
          <w:tcPr>
            <w:tcW w:type="dxa" w:w="3402"/>
          </w:tcPr>
          <w:p>
            <w:r>
              <w:t>Plant-based premium / vegano gourmet</w:t>
            </w:r>
          </w:p>
        </w:tc>
        <w:tc>
          <w:tcPr>
            <w:tcW w:type="dxa" w:w="2835"/>
          </w:tcPr>
          <w:p>
            <w:r>
              <w:t>Bodas millennials, corporate ESG</w:t>
            </w:r>
          </w:p>
        </w:tc>
        <w:tc>
          <w:tcPr>
            <w:tcW w:type="dxa" w:w="1701"/>
          </w:tcPr>
          <w:p>
            <w:r>
              <w:t>45-85</w:t>
            </w:r>
          </w:p>
        </w:tc>
        <w:tc>
          <w:tcPr>
            <w:tcW w:type="dxa" w:w="1134"/>
          </w:tcPr>
          <w:p>
            <w:r>
              <w:t>Media</w:t>
            </w:r>
          </w:p>
        </w:tc>
      </w:tr>
      <w:tr>
        <w:tc>
          <w:tcPr>
            <w:tcW w:type="dxa" w:w="567"/>
          </w:tcPr>
          <w:p>
            <w:r>
              <w:t>10</w:t>
            </w:r>
          </w:p>
        </w:tc>
        <w:tc>
          <w:tcPr>
            <w:tcW w:type="dxa" w:w="3402"/>
          </w:tcPr>
          <w:p>
            <w:r>
              <w:t>Brasileño rodízio / picanha</w:t>
            </w:r>
          </w:p>
        </w:tc>
        <w:tc>
          <w:tcPr>
            <w:tcW w:type="dxa" w:w="2835"/>
          </w:tcPr>
          <w:p>
            <w:r>
              <w:t>Bodas grupales, summer parties</w:t>
            </w:r>
          </w:p>
        </w:tc>
        <w:tc>
          <w:tcPr>
            <w:tcW w:type="dxa" w:w="1701"/>
          </w:tcPr>
          <w:p>
            <w:r>
              <w:t>35-60</w:t>
            </w:r>
          </w:p>
        </w:tc>
        <w:tc>
          <w:tcPr>
            <w:tcW w:type="dxa" w:w="1134"/>
          </w:tcPr>
          <w:p>
            <w:r>
              <w:t>Media</w:t>
            </w:r>
          </w:p>
        </w:tc>
      </w:tr>
      <w:tr>
        <w:tc>
          <w:tcPr>
            <w:tcW w:type="dxa" w:w="567"/>
          </w:tcPr>
          <w:p>
            <w:r>
              <w:t>11</w:t>
            </w:r>
          </w:p>
        </w:tc>
        <w:tc>
          <w:tcPr>
            <w:tcW w:type="dxa" w:w="3402"/>
          </w:tcPr>
          <w:p>
            <w:r>
              <w:t>BBQ texano slow-smoked</w:t>
            </w:r>
          </w:p>
        </w:tc>
        <w:tc>
          <w:tcPr>
            <w:tcW w:type="dxa" w:w="2835"/>
          </w:tcPr>
          <w:p>
            <w:r>
              <w:t>Bodas country-chic, corporate creativo</w:t>
            </w:r>
          </w:p>
        </w:tc>
        <w:tc>
          <w:tcPr>
            <w:tcW w:type="dxa" w:w="1701"/>
          </w:tcPr>
          <w:p>
            <w:r>
              <w:t>30-50</w:t>
            </w:r>
          </w:p>
        </w:tc>
        <w:tc>
          <w:tcPr>
            <w:tcW w:type="dxa" w:w="1134"/>
          </w:tcPr>
          <w:p>
            <w:r>
              <w:t>Alta</w:t>
            </w:r>
          </w:p>
        </w:tc>
      </w:tr>
      <w:tr>
        <w:tc>
          <w:tcPr>
            <w:tcW w:type="dxa" w:w="567"/>
          </w:tcPr>
          <w:p>
            <w:r>
              <w:t>12</w:t>
            </w:r>
          </w:p>
        </w:tc>
        <w:tc>
          <w:tcPr>
            <w:tcW w:type="dxa" w:w="3402"/>
          </w:tcPr>
          <w:p>
            <w:r>
              <w:t>Mediterráneo griego/turco (mezze)</w:t>
            </w:r>
          </w:p>
        </w:tc>
        <w:tc>
          <w:tcPr>
            <w:tcW w:type="dxa" w:w="2835"/>
          </w:tcPr>
          <w:p>
            <w:r>
              <w:t>Bodas costa verano, corporate</w:t>
            </w:r>
          </w:p>
        </w:tc>
        <w:tc>
          <w:tcPr>
            <w:tcW w:type="dxa" w:w="1701"/>
          </w:tcPr>
          <w:p>
            <w:r>
              <w:t>25-45</w:t>
            </w:r>
          </w:p>
        </w:tc>
        <w:tc>
          <w:tcPr>
            <w:tcW w:type="dxa" w:w="1134"/>
          </w:tcPr>
          <w:p>
            <w:r>
              <w:t>Baja-Media</w:t>
            </w:r>
          </w:p>
        </w:tc>
      </w:tr>
      <w:tr>
        <w:tc>
          <w:tcPr>
            <w:tcW w:type="dxa" w:w="567"/>
          </w:tcPr>
          <w:p>
            <w:r>
              <w:t>13</w:t>
            </w:r>
          </w:p>
        </w:tc>
        <w:tc>
          <w:tcPr>
            <w:tcW w:type="dxa" w:w="3402"/>
          </w:tcPr>
          <w:p>
            <w:r>
              <w:t>Asiático fusión Pan-Asia (wok+bao)</w:t>
            </w:r>
          </w:p>
        </w:tc>
        <w:tc>
          <w:tcPr>
            <w:tcW w:type="dxa" w:w="2835"/>
          </w:tcPr>
          <w:p>
            <w:r>
              <w:t>Corporate millennial, urbanos</w:t>
            </w:r>
          </w:p>
        </w:tc>
        <w:tc>
          <w:tcPr>
            <w:tcW w:type="dxa" w:w="1701"/>
          </w:tcPr>
          <w:p>
            <w:r>
              <w:t>30-55</w:t>
            </w:r>
          </w:p>
        </w:tc>
        <w:tc>
          <w:tcPr>
            <w:tcW w:type="dxa" w:w="1134"/>
          </w:tcPr>
          <w:p>
            <w:r>
              <w:t>Media</w:t>
            </w:r>
          </w:p>
        </w:tc>
      </w:tr>
      <w:tr>
        <w:tc>
          <w:tcPr>
            <w:tcW w:type="dxa" w:w="567"/>
          </w:tcPr>
          <w:p>
            <w:r>
              <w:t>14</w:t>
            </w:r>
          </w:p>
        </w:tc>
        <w:tc>
          <w:tcPr>
            <w:tcW w:type="dxa" w:w="3402"/>
          </w:tcPr>
          <w:p>
            <w:r>
              <w:t>Brunch internacional (avocado/dim sum)</w:t>
            </w:r>
          </w:p>
        </w:tc>
        <w:tc>
          <w:tcPr>
            <w:tcW w:type="dxa" w:w="2835"/>
          </w:tcPr>
          <w:p>
            <w:r>
              <w:t>Corporate matinal, after-party</w:t>
            </w:r>
          </w:p>
        </w:tc>
        <w:tc>
          <w:tcPr>
            <w:tcW w:type="dxa" w:w="1701"/>
          </w:tcPr>
          <w:p>
            <w:r>
              <w:t>22-40</w:t>
            </w:r>
          </w:p>
        </w:tc>
        <w:tc>
          <w:tcPr>
            <w:tcW w:type="dxa" w:w="1134"/>
          </w:tcPr>
          <w:p>
            <w:r>
              <w:t>Baja</w:t>
            </w:r>
          </w:p>
        </w:tc>
      </w:tr>
    </w:tbl>
    <w:p>
      <w:r>
        <w:rPr>
          <w:rFonts w:ascii="Cambria" w:hAnsi="Cambria"/>
          <w:b/>
          <w:color w:val="0A0908"/>
          <w:sz w:val="30"/>
        </w:rPr>
        <w:t>3.4 Cliente ideal B2C</w:t>
      </w:r>
    </w:p>
    <w:p>
      <w:pPr>
        <w:spacing w:after="120"/>
      </w:pPr>
      <w:r>
        <w:t>Hogares de renta media-alta (50.000-120.000 € brutos anuales), con interés gastronómico activo y disposición a pagar por experiencias diferenciadas. Edad típica 30-55 años. 73 % son Millennials (digital-native, alta sensibilidad a redes) y 17 % Gen Z. Disparadores de compra:</w:t>
      </w:r>
    </w:p>
    <w:p>
      <w:pPr>
        <w:pStyle w:val="ListBullet"/>
        <w:spacing w:after="40"/>
      </w:pPr>
      <w:r>
        <w:t>Bodas multiculturales (parejas con orígenes/culturas distintas que quieren reflejarlo en el banquete).</w:t>
      </w:r>
    </w:p>
    <w:p>
      <w:pPr>
        <w:pStyle w:val="ListBullet"/>
        <w:spacing w:after="40"/>
      </w:pPr>
      <w:r>
        <w:t>Cumpleaños redondos (30, 40, 50) con concepto cultural específico (boda Bollywood, fiesta mexicana).</w:t>
      </w:r>
    </w:p>
    <w:p>
      <w:pPr>
        <w:pStyle w:val="ListBullet"/>
        <w:spacing w:after="40"/>
      </w:pPr>
      <w:r>
        <w:t>Celebraciones familiares con tema (comuniones temáticas, baby showers internacionales).</w:t>
      </w:r>
    </w:p>
    <w:p>
      <w:pPr>
        <w:pStyle w:val="ListBullet"/>
        <w:spacing w:after="40"/>
      </w:pPr>
      <w:r>
        <w:t>Aniversarios de pareja con cocina del país de luna de miel o destino significativo.</w:t>
      </w:r>
    </w:p>
    <w:p>
      <w:pPr>
        <w:pStyle w:val="ListBullet"/>
        <w:spacing w:after="40"/>
      </w:pPr>
      <w:r>
        <w:t>Festejos pre/post-boda con concepto distinto al banquete principal.</w:t>
      </w:r>
    </w:p>
    <w:p>
      <w:r>
        <w:rPr>
          <w:rFonts w:ascii="Cambria" w:hAnsi="Cambria"/>
          <w:b/>
          <w:color w:val="0A0908"/>
          <w:sz w:val="30"/>
        </w:rPr>
        <w:t>3.5 Cliente ideal B2B</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835"/>
          </w:tcPr>
          <w:p>
            <w:r>
              <w:rPr>
                <w:b/>
                <w:color w:val="0A0908"/>
              </w:rPr>
              <w:t>Perfil B2B</w:t>
            </w:r>
          </w:p>
        </w:tc>
        <w:tc>
          <w:tcPr>
            <w:tcW w:type="dxa" w:w="1701"/>
          </w:tcPr>
          <w:p>
            <w:r>
              <w:rPr>
                <w:b/>
                <w:color w:val="0A0908"/>
              </w:rPr>
              <w:t>Ticket medio</w:t>
            </w:r>
          </w:p>
        </w:tc>
        <w:tc>
          <w:tcPr>
            <w:tcW w:type="dxa" w:w="1701"/>
          </w:tcPr>
          <w:p>
            <w:r>
              <w:rPr>
                <w:b/>
                <w:color w:val="0A0908"/>
              </w:rPr>
              <w:t>Frecuencia anual</w:t>
            </w:r>
          </w:p>
        </w:tc>
        <w:tc>
          <w:tcPr>
            <w:tcW w:type="dxa" w:w="2268"/>
          </w:tcPr>
          <w:p>
            <w:r>
              <w:rPr>
                <w:b/>
                <w:color w:val="0A0908"/>
              </w:rPr>
              <w:t>Estacionalidad</w:t>
            </w:r>
          </w:p>
        </w:tc>
      </w:tr>
      <w:tr>
        <w:tc>
          <w:tcPr>
            <w:tcW w:type="dxa" w:w="2835"/>
          </w:tcPr>
          <w:p>
            <w:r>
              <w:t>Corporate brand event empresa</w:t>
            </w:r>
          </w:p>
        </w:tc>
        <w:tc>
          <w:tcPr>
            <w:tcW w:type="dxa" w:w="1701"/>
          </w:tcPr>
          <w:p>
            <w:r>
              <w:t>6.800 €</w:t>
            </w:r>
          </w:p>
        </w:tc>
        <w:tc>
          <w:tcPr>
            <w:tcW w:type="dxa" w:w="1701"/>
          </w:tcPr>
          <w:p>
            <w:r>
              <w:t>2-4 eventos/año</w:t>
            </w:r>
          </w:p>
        </w:tc>
        <w:tc>
          <w:tcPr>
            <w:tcW w:type="dxa" w:w="2268"/>
          </w:tcPr>
          <w:p>
            <w:r>
              <w:t>Mar-jun + sept-dic</w:t>
            </w:r>
          </w:p>
        </w:tc>
      </w:tr>
      <w:tr>
        <w:tc>
          <w:tcPr>
            <w:tcW w:type="dxa" w:w="2835"/>
          </w:tcPr>
          <w:p>
            <w:r>
              <w:t>Wedding planner boda multi-station</w:t>
            </w:r>
          </w:p>
        </w:tc>
        <w:tc>
          <w:tcPr>
            <w:tcW w:type="dxa" w:w="1701"/>
          </w:tcPr>
          <w:p>
            <w:r>
              <w:t>5.200 €</w:t>
            </w:r>
          </w:p>
        </w:tc>
        <w:tc>
          <w:tcPr>
            <w:tcW w:type="dxa" w:w="1701"/>
          </w:tcPr>
          <w:p>
            <w:r>
              <w:t>1-2 eventos por boda</w:t>
            </w:r>
          </w:p>
        </w:tc>
        <w:tc>
          <w:tcPr>
            <w:tcW w:type="dxa" w:w="2268"/>
          </w:tcPr>
          <w:p>
            <w:r>
              <w:t>Mayo-octubre</w:t>
            </w:r>
          </w:p>
        </w:tc>
      </w:tr>
      <w:tr>
        <w:tc>
          <w:tcPr>
            <w:tcW w:type="dxa" w:w="2835"/>
          </w:tcPr>
          <w:p>
            <w:r>
              <w:t>Hotel boutique evento corporativo</w:t>
            </w:r>
          </w:p>
        </w:tc>
        <w:tc>
          <w:tcPr>
            <w:tcW w:type="dxa" w:w="1701"/>
          </w:tcPr>
          <w:p>
            <w:r>
              <w:t>4.200 €</w:t>
            </w:r>
          </w:p>
        </w:tc>
        <w:tc>
          <w:tcPr>
            <w:tcW w:type="dxa" w:w="1701"/>
          </w:tcPr>
          <w:p>
            <w:r>
              <w:t>8-15 eventos/año</w:t>
            </w:r>
          </w:p>
        </w:tc>
        <w:tc>
          <w:tcPr>
            <w:tcW w:type="dxa" w:w="2268"/>
          </w:tcPr>
          <w:p>
            <w:r>
              <w:t>Todo el año</w:t>
            </w:r>
          </w:p>
        </w:tc>
      </w:tr>
      <w:tr>
        <w:tc>
          <w:tcPr>
            <w:tcW w:type="dxa" w:w="2835"/>
          </w:tcPr>
          <w:p>
            <w:r>
              <w:t>Embajada / evento diplomático</w:t>
            </w:r>
          </w:p>
        </w:tc>
        <w:tc>
          <w:tcPr>
            <w:tcW w:type="dxa" w:w="1701"/>
          </w:tcPr>
          <w:p>
            <w:r>
              <w:t>6.500 €</w:t>
            </w:r>
          </w:p>
        </w:tc>
        <w:tc>
          <w:tcPr>
            <w:tcW w:type="dxa" w:w="1701"/>
          </w:tcPr>
          <w:p>
            <w:r>
              <w:t>1-2 eventos/año</w:t>
            </w:r>
          </w:p>
        </w:tc>
        <w:tc>
          <w:tcPr>
            <w:tcW w:type="dxa" w:w="2268"/>
          </w:tcPr>
          <w:p>
            <w:r>
              <w:t>Todo el año</w:t>
            </w:r>
          </w:p>
        </w:tc>
      </w:tr>
      <w:tr>
        <w:tc>
          <w:tcPr>
            <w:tcW w:type="dxa" w:w="2835"/>
          </w:tcPr>
          <w:p>
            <w:r>
              <w:t>Festival gastronómico / activación</w:t>
            </w:r>
          </w:p>
        </w:tc>
        <w:tc>
          <w:tcPr>
            <w:tcW w:type="dxa" w:w="1701"/>
          </w:tcPr>
          <w:p>
            <w:r>
              <w:t>3.800 €</w:t>
            </w:r>
          </w:p>
        </w:tc>
        <w:tc>
          <w:tcPr>
            <w:tcW w:type="dxa" w:w="1701"/>
          </w:tcPr>
          <w:p>
            <w:r>
              <w:t>3-6 eventos/año</w:t>
            </w:r>
          </w:p>
        </w:tc>
        <w:tc>
          <w:tcPr>
            <w:tcW w:type="dxa" w:w="2268"/>
          </w:tcPr>
          <w:p>
            <w:r>
              <w:t>Mar-oct + dic</w:t>
            </w:r>
          </w:p>
        </w:tc>
      </w:tr>
      <w:tr>
        <w:tc>
          <w:tcPr>
            <w:tcW w:type="dxa" w:w="2835"/>
          </w:tcPr>
          <w:p>
            <w:r>
              <w:t>Cena directiva fin de año empresa</w:t>
            </w:r>
          </w:p>
        </w:tc>
        <w:tc>
          <w:tcPr>
            <w:tcW w:type="dxa" w:w="1701"/>
          </w:tcPr>
          <w:p>
            <w:r>
              <w:t>5.500 €</w:t>
            </w:r>
          </w:p>
        </w:tc>
        <w:tc>
          <w:tcPr>
            <w:tcW w:type="dxa" w:w="1701"/>
          </w:tcPr>
          <w:p>
            <w:r>
              <w:t>1-2 eventos/año</w:t>
            </w:r>
          </w:p>
        </w:tc>
        <w:tc>
          <w:tcPr>
            <w:tcW w:type="dxa" w:w="2268"/>
          </w:tcPr>
          <w:p>
            <w:r>
              <w:t>Noviembre-diciembre</w:t>
            </w:r>
          </w:p>
        </w:tc>
      </w:tr>
    </w:tbl>
    <w:p>
      <w:r>
        <w:rPr>
          <w:rFonts w:ascii="Cambria" w:hAnsi="Cambria"/>
          <w:b/>
          <w:color w:val="0A0908"/>
          <w:sz w:val="40"/>
        </w:rPr>
        <w:t>4. Modelo de negocio</w:t>
      </w:r>
    </w:p>
    <w:p>
      <w:r>
        <w:rPr>
          <w:rFonts w:ascii="Cambria" w:hAnsi="Cambria"/>
          <w:b/>
          <w:color w:val="0A0908"/>
          <w:sz w:val="30"/>
        </w:rPr>
        <w:t>4.1 Estructura de ingresos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835"/>
          </w:tcPr>
          <w:p>
            <w:r>
              <w:rPr>
                <w:b/>
                <w:color w:val="0A0908"/>
              </w:rPr>
              <w:t>Canal</w:t>
            </w:r>
          </w:p>
        </w:tc>
        <w:tc>
          <w:tcPr>
            <w:tcW w:type="dxa" w:w="1701"/>
          </w:tcPr>
          <w:p>
            <w:r>
              <w:rPr>
                <w:b/>
                <w:color w:val="0A0908"/>
              </w:rPr>
              <w:t>% Ingresos año 1</w:t>
            </w:r>
          </w:p>
        </w:tc>
        <w:tc>
          <w:tcPr>
            <w:tcW w:type="dxa" w:w="1701"/>
          </w:tcPr>
          <w:p>
            <w:r>
              <w:rPr>
                <w:b/>
                <w:color w:val="0A0908"/>
              </w:rPr>
              <w:t>Ticket medio</w:t>
            </w:r>
          </w:p>
        </w:tc>
        <w:tc>
          <w:tcPr>
            <w:tcW w:type="dxa" w:w="1701"/>
          </w:tcPr>
          <w:p>
            <w:r>
              <w:rPr>
                <w:b/>
                <w:color w:val="0A0908"/>
              </w:rPr>
              <w:t>Margen bruto</w:t>
            </w:r>
          </w:p>
        </w:tc>
        <w:tc>
          <w:tcPr>
            <w:tcW w:type="dxa" w:w="1134"/>
          </w:tcPr>
          <w:p>
            <w:r>
              <w:rPr>
                <w:b/>
                <w:color w:val="0A0908"/>
              </w:rPr>
              <w:t>CAC</w:t>
            </w:r>
          </w:p>
        </w:tc>
        <w:tc>
          <w:tcPr>
            <w:tcW w:type="dxa" w:w="1701"/>
          </w:tcPr>
          <w:p>
            <w:r>
              <w:rPr>
                <w:b/>
                <w:color w:val="0A0908"/>
              </w:rPr>
              <w:t>LTV</w:t>
            </w:r>
          </w:p>
        </w:tc>
      </w:tr>
      <w:tr>
        <w:tc>
          <w:tcPr>
            <w:tcW w:type="dxa" w:w="2835"/>
          </w:tcPr>
          <w:p>
            <w:r>
              <w:t>B2C bodas y eventos privados</w:t>
            </w:r>
          </w:p>
        </w:tc>
        <w:tc>
          <w:tcPr>
            <w:tcW w:type="dxa" w:w="1701"/>
          </w:tcPr>
          <w:p>
            <w:r>
              <w:t>35 %</w:t>
            </w:r>
          </w:p>
        </w:tc>
        <w:tc>
          <w:tcPr>
            <w:tcW w:type="dxa" w:w="1701"/>
          </w:tcPr>
          <w:p>
            <w:r>
              <w:t>2.200 €</w:t>
            </w:r>
          </w:p>
        </w:tc>
        <w:tc>
          <w:tcPr>
            <w:tcW w:type="dxa" w:w="1701"/>
          </w:tcPr>
          <w:p>
            <w:r>
              <w:t>55 %</w:t>
            </w:r>
          </w:p>
        </w:tc>
        <w:tc>
          <w:tcPr>
            <w:tcW w:type="dxa" w:w="1134"/>
          </w:tcPr>
          <w:p>
            <w:r>
              <w:t>85 €</w:t>
            </w:r>
          </w:p>
        </w:tc>
        <w:tc>
          <w:tcPr>
            <w:tcW w:type="dxa" w:w="1701"/>
          </w:tcPr>
          <w:p>
            <w:r>
              <w:t>3.500 €</w:t>
            </w:r>
          </w:p>
        </w:tc>
      </w:tr>
      <w:tr>
        <w:tc>
          <w:tcPr>
            <w:tcW w:type="dxa" w:w="2835"/>
          </w:tcPr>
          <w:p>
            <w:r>
              <w:t>B2B corporate y planners</w:t>
            </w:r>
          </w:p>
        </w:tc>
        <w:tc>
          <w:tcPr>
            <w:tcW w:type="dxa" w:w="1701"/>
          </w:tcPr>
          <w:p>
            <w:r>
              <w:t>65 %</w:t>
            </w:r>
          </w:p>
        </w:tc>
        <w:tc>
          <w:tcPr>
            <w:tcW w:type="dxa" w:w="1701"/>
          </w:tcPr>
          <w:p>
            <w:r>
              <w:t>4.500 €</w:t>
            </w:r>
          </w:p>
        </w:tc>
        <w:tc>
          <w:tcPr>
            <w:tcW w:type="dxa" w:w="1701"/>
          </w:tcPr>
          <w:p>
            <w:r>
              <w:t>52 %</w:t>
            </w:r>
          </w:p>
        </w:tc>
        <w:tc>
          <w:tcPr>
            <w:tcW w:type="dxa" w:w="1134"/>
          </w:tcPr>
          <w:p>
            <w:r>
              <w:t>180 €</w:t>
            </w:r>
          </w:p>
        </w:tc>
        <w:tc>
          <w:tcPr>
            <w:tcW w:type="dxa" w:w="1701"/>
          </w:tcPr>
          <w:p>
            <w:r>
              <w:t>12.500 €</w:t>
            </w:r>
          </w:p>
        </w:tc>
      </w:tr>
    </w:tbl>
    <w:p>
      <w:r>
        <w:rPr>
          <w:rFonts w:ascii="Cambria" w:hAnsi="Cambria"/>
          <w:b/>
          <w:color w:val="0A0908"/>
          <w:sz w:val="30"/>
        </w:rPr>
        <w:t>4.2 Estructura de costes</w:t>
      </w:r>
    </w:p>
    <w:p>
      <w:pPr>
        <w:pStyle w:val="ListBullet"/>
        <w:spacing w:after="40"/>
      </w:pPr>
      <w:r>
        <w:t>Food cost: 28 % en año 1, optimizable a 23-25 % con acuerdos directos a importadores especializados (EMB Food, Cominport, Importaciones Cuesta).</w:t>
      </w:r>
    </w:p>
    <w:p>
      <w:pPr>
        <w:pStyle w:val="ListBullet"/>
        <w:spacing w:after="40"/>
      </w:pPr>
      <w:r>
        <w:t>Logística (transporte, neveras, multi-equipamiento): 5 % constante.</w:t>
      </w:r>
    </w:p>
    <w:p>
      <w:pPr>
        <w:pStyle w:val="ListBullet"/>
        <w:spacing w:after="40"/>
      </w:pPr>
      <w:r>
        <w:t>Personal freelance especializado: 15 % medio (chef sushi, taquero, pizzaiolo, parrillero según concepto).</w:t>
      </w:r>
    </w:p>
    <w:p>
      <w:pPr>
        <w:pStyle w:val="ListBullet"/>
        <w:spacing w:after="40"/>
      </w:pPr>
      <w:r>
        <w:t>Costes fijos anuales: 10.560 € (cuota autónomo, seguros, marketing, furgoneta).</w:t>
      </w:r>
    </w:p>
    <w:p>
      <w:pPr>
        <w:pStyle w:val="ListBullet"/>
        <w:spacing w:after="40"/>
      </w:pPr>
      <w:r>
        <w:t>Amortización equipamiento multi-cocina: 3.500-4.800 € año, recuperable en 14-18 meses.</w:t>
      </w:r>
    </w:p>
    <w:p>
      <w:r>
        <w:rPr>
          <w:rFonts w:ascii="Cambria" w:hAnsi="Cambria"/>
          <w:b/>
          <w:color w:val="0A0908"/>
          <w:sz w:val="30"/>
        </w:rPr>
        <w:t>4.3 Pricing y políticas comerciales</w:t>
      </w:r>
    </w:p>
    <w:p>
      <w:pPr>
        <w:pStyle w:val="ListBullet"/>
        <w:spacing w:after="40"/>
      </w:pPr>
      <w:r>
        <w:t>Anticipo 40 % al firmar contrato. Sin anticipo no se bloquea fecha en agenda.</w:t>
      </w:r>
    </w:p>
    <w:p>
      <w:pPr>
        <w:pStyle w:val="ListBullet"/>
        <w:spacing w:after="40"/>
      </w:pPr>
      <w:r>
        <w:t>Cláusula cancelación: &gt; 21 días devolución íntegra, 21-7 días retención 50 %, &lt; 7 días retención 100 %.</w:t>
      </w:r>
    </w:p>
    <w:p>
      <w:pPr>
        <w:pStyle w:val="ListBullet"/>
        <w:spacing w:after="40"/>
      </w:pPr>
      <w:r>
        <w:t>Pricing público en web por rango de pax + número de conceptos + nivel calidad.</w:t>
      </w:r>
    </w:p>
    <w:p>
      <w:pPr>
        <w:pStyle w:val="ListBullet"/>
        <w:spacing w:after="40"/>
      </w:pPr>
      <w:r>
        <w:t>Recargos transparentes: distancia &gt; 30 km (0,95 €/km I+V), pairing (+14 €/pax), branded experience (+280 €).</w:t>
      </w:r>
    </w:p>
    <w:p>
      <w:pPr>
        <w:pStyle w:val="ListBullet"/>
        <w:spacing w:after="40"/>
      </w:pPr>
      <w:r>
        <w:t>Descuentos B2B con acuerdo marco anual: 5-12 % en cliente recurrente con compromiso 4+ eventos.</w:t>
      </w:r>
    </w:p>
    <w:p>
      <w:r>
        <w:rPr>
          <w:rFonts w:ascii="Cambria" w:hAnsi="Cambria"/>
          <w:b/>
          <w:color w:val="0A0908"/>
          <w:sz w:val="40"/>
        </w:rPr>
        <w:t>5. Plan operativo</w:t>
      </w:r>
    </w:p>
    <w:p>
      <w:r>
        <w:rPr>
          <w:rFonts w:ascii="Cambria" w:hAnsi="Cambria"/>
          <w:b/>
          <w:color w:val="0A0908"/>
          <w:sz w:val="30"/>
        </w:rPr>
        <w:t>5.1 Operativa multi-concepto día a día</w:t>
      </w:r>
    </w:p>
    <w:p>
      <w:pPr>
        <w:spacing w:after="120"/>
      </w:pPr>
      <w:r>
        <w:t>Un evento típico de catering temático multi-concepto se desarrolla en 6 fases. La diferencia entre un servicio amateur y uno premium está en el cumplimiento riguroso de las fases y en la coordinación de las múltiples estaciones simultáneas:</w:t>
      </w:r>
    </w:p>
    <w:p>
      <w:pPr>
        <w:pStyle w:val="ListNumber"/>
        <w:spacing w:after="40"/>
      </w:pPr>
      <w:r>
        <w:t>Briefing cliente (D-21 a D-14): formulario online con número pax, alergias, conceptos elegidos, presupuesto, espacio, equipamiento disponible, ambientación deseada, horarios.</w:t>
      </w:r>
    </w:p>
    <w:p>
      <w:pPr>
        <w:pStyle w:val="ListNumber"/>
        <w:spacing w:after="40"/>
      </w:pPr>
      <w:r>
        <w:t>Visita técnica (D-14 a D-7): verificación acceso, electricidad multi-station, gas, espacio frigorífico, layout, plan B clima si outdoor.</w:t>
      </w:r>
    </w:p>
    <w:p>
      <w:pPr>
        <w:pStyle w:val="ListNumber"/>
        <w:spacing w:after="40"/>
      </w:pPr>
      <w:r>
        <w:t>Preparación D-1: pedidos a importadores especializados, mise en place avanzado por concepto en cocina central o compartida, carga del kit operativo en furgoneta.</w:t>
      </w:r>
    </w:p>
    <w:p>
      <w:pPr>
        <w:pStyle w:val="ListNumber"/>
        <w:spacing w:after="40"/>
      </w:pPr>
      <w:r>
        <w:t>Servicio en evento (D): llegada con 90-120 min de antelación, montaje multi-station 60-90 min, briefing equipo freelance, servicio escalonado por concepto, control APPCC continuo.</w:t>
      </w:r>
    </w:p>
    <w:p>
      <w:pPr>
        <w:pStyle w:val="ListNumber"/>
        <w:spacing w:after="40"/>
      </w:pPr>
      <w:r>
        <w:t>Recogida y limpieza (D): foto previa del estado, limpieza completa, retirada residuos separada, foto posterior con cliente.</w:t>
      </w:r>
    </w:p>
    <w:p>
      <w:pPr>
        <w:pStyle w:val="ListNumber"/>
        <w:spacing w:after="40"/>
      </w:pPr>
      <w:r>
        <w:t>Post-evento (D+1 a D+7): factura emitida en 24-48 h, mensaje WhatsApp con foto recuerdo, solicitud reseña Google, registro en CRM, análisis costes reales por concepto, contenido orgánico en redes.</w:t>
      </w:r>
    </w:p>
    <w:p>
      <w:r>
        <w:rPr>
          <w:rFonts w:ascii="Cambria" w:hAnsi="Cambria"/>
          <w:b/>
          <w:color w:val="0A0908"/>
          <w:sz w:val="30"/>
        </w:rPr>
        <w:t>5.2 Equipamiento multi-cocina del mundo</w:t>
      </w:r>
    </w:p>
    <w:p>
      <w:pPr>
        <w:spacing w:after="120"/>
      </w:pPr>
      <w:r>
        <w:t>El detalle exhaustivo está en el Catálogo de Equipamiento adjunto. Resumen por concepto:</w:t>
      </w:r>
    </w:p>
    <w:p>
      <w:pPr>
        <w:pStyle w:val="ListBullet"/>
        <w:spacing w:after="40"/>
      </w:pPr>
      <w:r>
        <w:t>Sushi-bar: cuchillería japonesa profesional (gyuto, petty, yanagiba), tabla cortar, hangiri, mat bambú, plating slate.</w:t>
      </w:r>
    </w:p>
    <w:p>
      <w:pPr>
        <w:pStyle w:val="ListBullet"/>
        <w:spacing w:after="40"/>
      </w:pPr>
      <w:r>
        <w:t>Tacos al pastor: trompo a gas + soporte transporte, comales, planchas, tortilleras (Maíz Maya).</w:t>
      </w:r>
    </w:p>
    <w:p>
      <w:pPr>
        <w:pStyle w:val="ListBullet"/>
        <w:spacing w:after="40"/>
      </w:pPr>
      <w:r>
        <w:t>Pizza horno de leña móvil: Pizza Party / Ooni Pro, pala pizza, mesa preparación, leña briquetas.</w:t>
      </w:r>
    </w:p>
    <w:p>
      <w:pPr>
        <w:pStyle w:val="ListBullet"/>
        <w:spacing w:after="40"/>
      </w:pPr>
      <w:r>
        <w:t>Parrilla argentina: parrilla portátil + cruz asado lechón/cordero, leña, instrumentos.</w:t>
      </w:r>
    </w:p>
    <w:p>
      <w:pPr>
        <w:pStyle w:val="ListBullet"/>
        <w:spacing w:after="40"/>
      </w:pPr>
      <w:r>
        <w:t>Ceviche peruano: cuchillería precisión, plating slate + ceviche bowls cerámica, exprimidor cítricos.</w:t>
      </w:r>
    </w:p>
    <w:p>
      <w:pPr>
        <w:pStyle w:val="ListBullet"/>
        <w:spacing w:after="40"/>
      </w:pPr>
      <w:r>
        <w:t>Tandoor indio: tandoor portátil + brochetas largas + utensilios kebab.</w:t>
      </w:r>
    </w:p>
    <w:p>
      <w:pPr>
        <w:pStyle w:val="ListBullet"/>
        <w:spacing w:after="40"/>
      </w:pPr>
      <w:r>
        <w:t>BBQ texano: smoker offset + termómetros + slicers + butcher block.</w:t>
      </w:r>
    </w:p>
    <w:p>
      <w:pPr>
        <w:pStyle w:val="ListBullet"/>
        <w:spacing w:after="40"/>
      </w:pPr>
      <w:r>
        <w:t>Wok asiático: wok pro + utensilios bambú + vaporeras dim sum.</w:t>
      </w:r>
    </w:p>
    <w:p>
      <w:pPr>
        <w:pStyle w:val="ListBullet"/>
        <w:spacing w:after="40"/>
      </w:pPr>
      <w:r>
        <w:t>Inducción portátil 3.5 kW × 2-3 unidades para back-up multi-concepto.</w:t>
      </w:r>
    </w:p>
    <w:p>
      <w:pPr>
        <w:pStyle w:val="ListBullet"/>
        <w:spacing w:after="40"/>
      </w:pPr>
      <w:r>
        <w:t>Mise en place portable: neveras profesionales, cajas modulares, termómetros sondas, báscula.</w:t>
      </w:r>
    </w:p>
    <w:p>
      <w:r>
        <w:rPr>
          <w:rFonts w:ascii="Cambria" w:hAnsi="Cambria"/>
          <w:b/>
          <w:color w:val="0A0908"/>
          <w:sz w:val="30"/>
        </w:rPr>
        <w:t>5.3 Gestión de proveedores especializados</w:t>
      </w:r>
    </w:p>
    <w:p>
      <w:pPr>
        <w:spacing w:after="120"/>
      </w:pPr>
      <w:r>
        <w:t>La autenticidad del producto entregado depende directamente de la red de proveedores. El kit incluye una plantilla con 96 proveedores reales validados España 2026 distribuidos en 12 bloques: importadores asiáticos premium (EMB Food, Cominport, Garmiko, Janax), importadores latinos / mexicanos (Importaciones Cuesta, Central Mexicana de Abastos, Jasa Internacional, Maíz Maya, Distribuidora Latinoandina), italiano / mediterráneo (Caputo Harinas, Italfoods, Casa de la Pasta, AOVE DO Sierra Mágina), indio / tandoor (Spice Box, Patak's, TRS Foods, Bombay Spices, iCatering Indian), BBQ texano (Dame la Brasa, ALEXS BBQ, Smokefire, Pit Pal, Maderas BBQ premium), carnicero premium (Cesáreo Gómez, Discarlux, El Capricho León, Filo Catering, Treviño), pescado y marisco premium (Pescaderías Coruñesas, Mariscos Linamar, Castellet, Daganzo, Nardín, Caviar Riofrío, Pescados Solla), vegano premium (Aymat Vegan, Los Pucheros del Marqués, Heura Foods, Beyond Meat, Aitana Microgreens, MyHerbs), equipamiento multi-cocina pro (Wokinox, Josper, Pizza Party, Ooni, Sammic, Anova, Vollrath, Iwatani, GGM Gastro, Sirman), vajilla cristalería (Pordamsa, Steelite, Schönwald, Schott Zwiesel, Pasabache, Galileo, Estela, Nordal), marketing y plataformas (Hosply.pro, Bodas.net PRO, Zankyou, CateringClick, GuiaCatering, MICE Catering, fotógrafos pro, Stripe, Pinterest Business), furgoneta y servicios (Renault Master, Iveco Daily, ALD Renting, Schoeller Allibert, Hiscox, Mapfre, Generali, Quipu, Holded). Estrategia: trabajar con 2-3 proveedores principales por bloque y mantener un proveedor de respaldo activo.</w:t>
      </w:r>
    </w:p>
    <w:p>
      <w:r>
        <w:rPr>
          <w:rFonts w:ascii="Cambria" w:hAnsi="Cambria"/>
          <w:b/>
          <w:color w:val="0A0908"/>
          <w:sz w:val="40"/>
        </w:rPr>
        <w:t>6. Plan de marketing y captación</w:t>
      </w:r>
    </w:p>
    <w:p>
      <w:r>
        <w:rPr>
          <w:rFonts w:ascii="Cambria" w:hAnsi="Cambria"/>
          <w:b/>
          <w:color w:val="0A0908"/>
          <w:sz w:val="30"/>
        </w:rPr>
        <w:t>6.1 Estrategia digital</w:t>
      </w:r>
    </w:p>
    <w:p>
      <w:pPr>
        <w:pStyle w:val="ListBullet"/>
        <w:spacing w:after="40"/>
      </w:pPr>
      <w:r>
        <w:t>SEO local optimizado: Google Business Profile, schema markup (LocalBusiness + Catering + FoodService), reseñas activas.</w:t>
      </w:r>
    </w:p>
    <w:p>
      <w:pPr>
        <w:pStyle w:val="ListBullet"/>
        <w:spacing w:after="40"/>
      </w:pPr>
      <w:r>
        <w:t>Pinterest profesional con boards por concepto temático — tráfico orgánico cualificado bodas.</w:t>
      </w:r>
    </w:p>
    <w:p>
      <w:pPr>
        <w:pStyle w:val="ListBullet"/>
        <w:spacing w:after="40"/>
      </w:pPr>
      <w:r>
        <w:t>Instagram con Reels semanales — un concepto en rotación por semana, plating editorial, behind-the-scenes.</w:t>
      </w:r>
    </w:p>
    <w:p>
      <w:pPr>
        <w:pStyle w:val="ListBullet"/>
        <w:spacing w:after="40"/>
      </w:pPr>
      <w:r>
        <w:t>LinkedIn empresa para B2B corporate, especialmente RRHH y agencias eventos.</w:t>
      </w:r>
    </w:p>
    <w:p>
      <w:pPr>
        <w:pStyle w:val="ListBullet"/>
        <w:spacing w:after="40"/>
      </w:pPr>
      <w:r>
        <w:t>TikTok detrás de las escenas + storytelling cultural — viralidad sectorial creciente.</w:t>
      </w:r>
    </w:p>
    <w:p>
      <w:r>
        <w:rPr>
          <w:rFonts w:ascii="Cambria" w:hAnsi="Cambria"/>
          <w:b/>
          <w:color w:val="0A0908"/>
          <w:sz w:val="30"/>
        </w:rPr>
        <w:t>6.2 Captación B2B activa</w:t>
      </w:r>
    </w:p>
    <w:p>
      <w:pPr>
        <w:pStyle w:val="ListBullet"/>
        <w:spacing w:after="40"/>
      </w:pPr>
      <w:r>
        <w:t>Email outreach personalizado a wedding planners (10-15/semana primeros 3 meses).</w:t>
      </w:r>
    </w:p>
    <w:p>
      <w:pPr>
        <w:pStyle w:val="ListBullet"/>
        <w:spacing w:after="40"/>
      </w:pPr>
      <w:r>
        <w:t>Visita presencial a planners top 15 con showcooking de prueba de un concepto + portfolio impreso.</w:t>
      </w:r>
    </w:p>
    <w:p>
      <w:pPr>
        <w:pStyle w:val="ListBullet"/>
        <w:spacing w:after="40"/>
      </w:pPr>
      <w:r>
        <w:t>Dossier B2B PDF de 16 páginas con conceptos temáticos disponibles, casos de estudio y pricing.</w:t>
      </w:r>
    </w:p>
    <w:p>
      <w:pPr>
        <w:pStyle w:val="ListBullet"/>
        <w:spacing w:after="40"/>
      </w:pPr>
      <w:r>
        <w:t>LinkedIn outreach a directores de RRHH, Marketing y Eventos de empresas corporate locales.</w:t>
      </w:r>
    </w:p>
    <w:p>
      <w:pPr>
        <w:pStyle w:val="ListBullet"/>
        <w:spacing w:after="40"/>
      </w:pPr>
      <w:r>
        <w:t>Alta en Hosply.pro, CateringClick, GuiaCatering, MICE Catering Network.</w:t>
      </w:r>
    </w:p>
    <w:p>
      <w:pPr>
        <w:pStyle w:val="ListBullet"/>
        <w:spacing w:after="40"/>
      </w:pPr>
      <w:r>
        <w:t>Programa partnership con hoteles boutique 4-5 estrellas (eventos privados con concepto temático).</w:t>
      </w:r>
    </w:p>
    <w:p>
      <w:pPr>
        <w:pStyle w:val="ListBullet"/>
        <w:spacing w:after="40"/>
      </w:pPr>
      <w:r>
        <w:t>Contacto embajadas / consulados zona — eventos diplomáticos multiculturales (ticket alto).</w:t>
      </w:r>
    </w:p>
    <w:p>
      <w:r>
        <w:rPr>
          <w:rFonts w:ascii="Cambria" w:hAnsi="Cambria"/>
          <w:b/>
          <w:color w:val="0A0908"/>
          <w:sz w:val="30"/>
        </w:rPr>
        <w:t>6.3 Captación B2C orgánica</w:t>
      </w:r>
    </w:p>
    <w:p>
      <w:pPr>
        <w:pStyle w:val="ListBullet"/>
        <w:spacing w:after="40"/>
      </w:pPr>
      <w:r>
        <w:t>Bodas.net PRO + Zankyou Weddings — visibilidad en planificación de bodas multiculturales.</w:t>
      </w:r>
    </w:p>
    <w:p>
      <w:pPr>
        <w:pStyle w:val="ListBullet"/>
        <w:spacing w:after="40"/>
      </w:pPr>
      <w:r>
        <w:t>Pinterest Ads con boards por concepto temático — tráfico cualificado low-cost.</w:t>
      </w:r>
    </w:p>
    <w:p>
      <w:pPr>
        <w:pStyle w:val="ListBullet"/>
        <w:spacing w:after="40"/>
      </w:pPr>
      <w:r>
        <w:t>Google Ads campaña local 'catering temático bodas + ciudad' — presupuesto 350-650 €/mes.</w:t>
      </w:r>
    </w:p>
    <w:p>
      <w:pPr>
        <w:pStyle w:val="ListBullet"/>
        <w:spacing w:after="40"/>
      </w:pPr>
      <w:r>
        <w:t>Programa referidos: 5 % en segunda contratación o regalo gourmet temático.</w:t>
      </w:r>
    </w:p>
    <w:p>
      <w:pPr>
        <w:pStyle w:val="ListBullet"/>
        <w:spacing w:after="40"/>
      </w:pPr>
      <w:r>
        <w:t>Newsletter mensual con concepto destacado del mes — driver de cumpleaños y aniversarios.</w:t>
      </w:r>
    </w:p>
    <w:p>
      <w:pPr>
        <w:pStyle w:val="ListBullet"/>
        <w:spacing w:after="40"/>
      </w:pPr>
      <w:r>
        <w:t>Showroom multi-concepto cooking class trimestral — captación masiva e influencers locales.</w:t>
      </w:r>
    </w:p>
    <w:p>
      <w:r>
        <w:rPr>
          <w:rFonts w:ascii="Cambria" w:hAnsi="Cambria"/>
          <w:b/>
          <w:color w:val="0A0908"/>
          <w:sz w:val="40"/>
        </w:rPr>
        <w:t>7. Plan financiero (resumen)</w:t>
      </w:r>
    </w:p>
    <w:p>
      <w:r>
        <w:rPr>
          <w:rFonts w:ascii="Cambria" w:hAnsi="Cambria"/>
          <w:b/>
          <w:color w:val="0A0908"/>
          <w:sz w:val="30"/>
        </w:rPr>
        <w:t>7.1 Inversión inicial recomendada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402"/>
          </w:tcPr>
          <w:p>
            <w:r>
              <w:rPr>
                <w:b/>
                <w:color w:val="0A0908"/>
              </w:rPr>
              <w:t>Concepto</w:t>
            </w:r>
          </w:p>
        </w:tc>
        <w:tc>
          <w:tcPr>
            <w:tcW w:type="dxa" w:w="1701"/>
          </w:tcPr>
          <w:p>
            <w:r>
              <w:rPr>
                <w:b/>
                <w:color w:val="0A0908"/>
              </w:rPr>
              <w:t>Mín. (€)</w:t>
            </w:r>
          </w:p>
        </w:tc>
        <w:tc>
          <w:tcPr>
            <w:tcW w:type="dxa" w:w="1701"/>
          </w:tcPr>
          <w:p>
            <w:r>
              <w:rPr>
                <w:b/>
                <w:color w:val="0A0908"/>
              </w:rPr>
              <w:t>Recomendado (€)</w:t>
            </w:r>
          </w:p>
        </w:tc>
        <w:tc>
          <w:tcPr>
            <w:tcW w:type="dxa" w:w="1701"/>
          </w:tcPr>
          <w:p>
            <w:r>
              <w:rPr>
                <w:b/>
                <w:color w:val="0A0908"/>
              </w:rPr>
              <w:t>Premium (€)</w:t>
            </w:r>
          </w:p>
        </w:tc>
      </w:tr>
      <w:tr>
        <w:tc>
          <w:tcPr>
            <w:tcW w:type="dxa" w:w="3402"/>
          </w:tcPr>
          <w:p>
            <w:r>
              <w:t>Constitución autónomo + IAE + APPCC móvil</w:t>
            </w:r>
          </w:p>
        </w:tc>
        <w:tc>
          <w:tcPr>
            <w:tcW w:type="dxa" w:w="1701"/>
          </w:tcPr>
          <w:p>
            <w:r>
              <w:t>350</w:t>
            </w:r>
          </w:p>
        </w:tc>
        <w:tc>
          <w:tcPr>
            <w:tcW w:type="dxa" w:w="1701"/>
          </w:tcPr>
          <w:p>
            <w:r>
              <w:t>600</w:t>
            </w:r>
          </w:p>
        </w:tc>
        <w:tc>
          <w:tcPr>
            <w:tcW w:type="dxa" w:w="1701"/>
          </w:tcPr>
          <w:p>
            <w:r>
              <w:t>950</w:t>
            </w:r>
          </w:p>
        </w:tc>
      </w:tr>
      <w:tr>
        <w:tc>
          <w:tcPr>
            <w:tcW w:type="dxa" w:w="3402"/>
          </w:tcPr>
          <w:p>
            <w:r>
              <w:t>Cuchillería japonesa profesional</w:t>
            </w:r>
          </w:p>
        </w:tc>
        <w:tc>
          <w:tcPr>
            <w:tcW w:type="dxa" w:w="1701"/>
          </w:tcPr>
          <w:p>
            <w:r>
              <w:t>480</w:t>
            </w:r>
          </w:p>
        </w:tc>
        <w:tc>
          <w:tcPr>
            <w:tcW w:type="dxa" w:w="1701"/>
          </w:tcPr>
          <w:p>
            <w:r>
              <w:t>980</w:t>
            </w:r>
          </w:p>
        </w:tc>
        <w:tc>
          <w:tcPr>
            <w:tcW w:type="dxa" w:w="1701"/>
          </w:tcPr>
          <w:p>
            <w:r>
              <w:t>2.400</w:t>
            </w:r>
          </w:p>
        </w:tc>
      </w:tr>
      <w:tr>
        <w:tc>
          <w:tcPr>
            <w:tcW w:type="dxa" w:w="3402"/>
          </w:tcPr>
          <w:p>
            <w:r>
              <w:t>Inducción portátil x 2 + cables</w:t>
            </w:r>
          </w:p>
        </w:tc>
        <w:tc>
          <w:tcPr>
            <w:tcW w:type="dxa" w:w="1701"/>
          </w:tcPr>
          <w:p>
            <w:r>
              <w:t>240</w:t>
            </w:r>
          </w:p>
        </w:tc>
        <w:tc>
          <w:tcPr>
            <w:tcW w:type="dxa" w:w="1701"/>
          </w:tcPr>
          <w:p>
            <w:r>
              <w:t>520</w:t>
            </w:r>
          </w:p>
        </w:tc>
        <w:tc>
          <w:tcPr>
            <w:tcW w:type="dxa" w:w="1701"/>
          </w:tcPr>
          <w:p>
            <w:r>
              <w:t>1.280</w:t>
            </w:r>
          </w:p>
        </w:tc>
      </w:tr>
      <w:tr>
        <w:tc>
          <w:tcPr>
            <w:tcW w:type="dxa" w:w="3402"/>
          </w:tcPr>
          <w:p>
            <w:r>
              <w:t>Wok + plancha teppanyaki + parrilla josper</w:t>
            </w:r>
          </w:p>
        </w:tc>
        <w:tc>
          <w:tcPr>
            <w:tcW w:type="dxa" w:w="1701"/>
          </w:tcPr>
          <w:p>
            <w:r>
              <w:t>580</w:t>
            </w:r>
          </w:p>
        </w:tc>
        <w:tc>
          <w:tcPr>
            <w:tcW w:type="dxa" w:w="1701"/>
          </w:tcPr>
          <w:p>
            <w:r>
              <w:t>1.480</w:t>
            </w:r>
          </w:p>
        </w:tc>
        <w:tc>
          <w:tcPr>
            <w:tcW w:type="dxa" w:w="1701"/>
          </w:tcPr>
          <w:p>
            <w:r>
              <w:t>3.850</w:t>
            </w:r>
          </w:p>
        </w:tc>
      </w:tr>
      <w:tr>
        <w:tc>
          <w:tcPr>
            <w:tcW w:type="dxa" w:w="3402"/>
          </w:tcPr>
          <w:p>
            <w:r>
              <w:t>Horno de leña pizza móvil</w:t>
            </w:r>
          </w:p>
        </w:tc>
        <w:tc>
          <w:tcPr>
            <w:tcW w:type="dxa" w:w="1701"/>
          </w:tcPr>
          <w:p>
            <w:r>
              <w:t>850</w:t>
            </w:r>
          </w:p>
        </w:tc>
        <w:tc>
          <w:tcPr>
            <w:tcW w:type="dxa" w:w="1701"/>
          </w:tcPr>
          <w:p>
            <w:r>
              <w:t>2.200</w:t>
            </w:r>
          </w:p>
        </w:tc>
        <w:tc>
          <w:tcPr>
            <w:tcW w:type="dxa" w:w="1701"/>
          </w:tcPr>
          <w:p>
            <w:r>
              <w:t>4.800</w:t>
            </w:r>
          </w:p>
        </w:tc>
      </w:tr>
      <w:tr>
        <w:tc>
          <w:tcPr>
            <w:tcW w:type="dxa" w:w="3402"/>
          </w:tcPr>
          <w:p>
            <w:r>
              <w:t>Tandoor portátil + smoker BBQ</w:t>
            </w:r>
          </w:p>
        </w:tc>
        <w:tc>
          <w:tcPr>
            <w:tcW w:type="dxa" w:w="1701"/>
          </w:tcPr>
          <w:p>
            <w:r>
              <w:t>480</w:t>
            </w:r>
          </w:p>
        </w:tc>
        <w:tc>
          <w:tcPr>
            <w:tcW w:type="dxa" w:w="1701"/>
          </w:tcPr>
          <w:p>
            <w:r>
              <w:t>1.450</w:t>
            </w:r>
          </w:p>
        </w:tc>
        <w:tc>
          <w:tcPr>
            <w:tcW w:type="dxa" w:w="1701"/>
          </w:tcPr>
          <w:p>
            <w:r>
              <w:t>3.850</w:t>
            </w:r>
          </w:p>
        </w:tc>
      </w:tr>
      <w:tr>
        <w:tc>
          <w:tcPr>
            <w:tcW w:type="dxa" w:w="3402"/>
          </w:tcPr>
          <w:p>
            <w:r>
              <w:t>Trompo al pastor + comales</w:t>
            </w:r>
          </w:p>
        </w:tc>
        <w:tc>
          <w:tcPr>
            <w:tcW w:type="dxa" w:w="1701"/>
          </w:tcPr>
          <w:p>
            <w:r>
              <w:t>280</w:t>
            </w:r>
          </w:p>
        </w:tc>
        <w:tc>
          <w:tcPr>
            <w:tcW w:type="dxa" w:w="1701"/>
          </w:tcPr>
          <w:p>
            <w:r>
              <w:t>580</w:t>
            </w:r>
          </w:p>
        </w:tc>
        <w:tc>
          <w:tcPr>
            <w:tcW w:type="dxa" w:w="1701"/>
          </w:tcPr>
          <w:p>
            <w:r>
              <w:t>1.450</w:t>
            </w:r>
          </w:p>
        </w:tc>
      </w:tr>
      <w:tr>
        <w:tc>
          <w:tcPr>
            <w:tcW w:type="dxa" w:w="3402"/>
          </w:tcPr>
          <w:p>
            <w:r>
              <w:t>Vajilla blanca premium 100 plates</w:t>
            </w:r>
          </w:p>
        </w:tc>
        <w:tc>
          <w:tcPr>
            <w:tcW w:type="dxa" w:w="1701"/>
          </w:tcPr>
          <w:p>
            <w:r>
              <w:t>780</w:t>
            </w:r>
          </w:p>
        </w:tc>
        <w:tc>
          <w:tcPr>
            <w:tcW w:type="dxa" w:w="1701"/>
          </w:tcPr>
          <w:p>
            <w:r>
              <w:t>1.850</w:t>
            </w:r>
          </w:p>
        </w:tc>
        <w:tc>
          <w:tcPr>
            <w:tcW w:type="dxa" w:w="1701"/>
          </w:tcPr>
          <w:p>
            <w:r>
              <w:t>4.200</w:t>
            </w:r>
          </w:p>
        </w:tc>
      </w:tr>
      <w:tr>
        <w:tc>
          <w:tcPr>
            <w:tcW w:type="dxa" w:w="3402"/>
          </w:tcPr>
          <w:p>
            <w:r>
              <w:t>Cristalería + cubertería + mantelería</w:t>
            </w:r>
          </w:p>
        </w:tc>
        <w:tc>
          <w:tcPr>
            <w:tcW w:type="dxa" w:w="1701"/>
          </w:tcPr>
          <w:p>
            <w:r>
              <w:t>380</w:t>
            </w:r>
          </w:p>
        </w:tc>
        <w:tc>
          <w:tcPr>
            <w:tcW w:type="dxa" w:w="1701"/>
          </w:tcPr>
          <w:p>
            <w:r>
              <w:t>880</w:t>
            </w:r>
          </w:p>
        </w:tc>
        <w:tc>
          <w:tcPr>
            <w:tcW w:type="dxa" w:w="1701"/>
          </w:tcPr>
          <w:p>
            <w:r>
              <w:t>2.200</w:t>
            </w:r>
          </w:p>
        </w:tc>
      </w:tr>
      <w:tr>
        <w:tc>
          <w:tcPr>
            <w:tcW w:type="dxa" w:w="3402"/>
          </w:tcPr>
          <w:p>
            <w:r>
              <w:t>Mise en place portátil + neveras</w:t>
            </w:r>
          </w:p>
        </w:tc>
        <w:tc>
          <w:tcPr>
            <w:tcW w:type="dxa" w:w="1701"/>
          </w:tcPr>
          <w:p>
            <w:r>
              <w:t>480</w:t>
            </w:r>
          </w:p>
        </w:tc>
        <w:tc>
          <w:tcPr>
            <w:tcW w:type="dxa" w:w="1701"/>
          </w:tcPr>
          <w:p>
            <w:r>
              <w:t>980</w:t>
            </w:r>
          </w:p>
        </w:tc>
        <w:tc>
          <w:tcPr>
            <w:tcW w:type="dxa" w:w="1701"/>
          </w:tcPr>
          <w:p>
            <w:r>
              <w:t>2.380</w:t>
            </w:r>
          </w:p>
        </w:tc>
      </w:tr>
      <w:tr>
        <w:tc>
          <w:tcPr>
            <w:tcW w:type="dxa" w:w="3402"/>
          </w:tcPr>
          <w:p>
            <w:r>
              <w:t>Attrezzo cultural por concepto</w:t>
            </w:r>
          </w:p>
        </w:tc>
        <w:tc>
          <w:tcPr>
            <w:tcW w:type="dxa" w:w="1701"/>
          </w:tcPr>
          <w:p>
            <w:r>
              <w:t>380</w:t>
            </w:r>
          </w:p>
        </w:tc>
        <w:tc>
          <w:tcPr>
            <w:tcW w:type="dxa" w:w="1701"/>
          </w:tcPr>
          <w:p>
            <w:r>
              <w:t>1.180</w:t>
            </w:r>
          </w:p>
        </w:tc>
        <w:tc>
          <w:tcPr>
            <w:tcW w:type="dxa" w:w="1701"/>
          </w:tcPr>
          <w:p>
            <w:r>
              <w:t>3.200</w:t>
            </w:r>
          </w:p>
        </w:tc>
      </w:tr>
      <w:tr>
        <w:tc>
          <w:tcPr>
            <w:tcW w:type="dxa" w:w="3402"/>
          </w:tcPr>
          <w:p>
            <w:r>
              <w:t>Uniformidad chef × 4</w:t>
            </w:r>
          </w:p>
        </w:tc>
        <w:tc>
          <w:tcPr>
            <w:tcW w:type="dxa" w:w="1701"/>
          </w:tcPr>
          <w:p>
            <w:r>
              <w:t>280</w:t>
            </w:r>
          </w:p>
        </w:tc>
        <w:tc>
          <w:tcPr>
            <w:tcW w:type="dxa" w:w="1701"/>
          </w:tcPr>
          <w:p>
            <w:r>
              <w:t>580</w:t>
            </w:r>
          </w:p>
        </w:tc>
        <w:tc>
          <w:tcPr>
            <w:tcW w:type="dxa" w:w="1701"/>
          </w:tcPr>
          <w:p>
            <w:r>
              <w:t>1.280</w:t>
            </w:r>
          </w:p>
        </w:tc>
      </w:tr>
      <w:tr>
        <w:tc>
          <w:tcPr>
            <w:tcW w:type="dxa" w:w="3402"/>
          </w:tcPr>
          <w:p>
            <w:r>
              <w:t>Marca + web + identidad + Stripe</w:t>
            </w:r>
          </w:p>
        </w:tc>
        <w:tc>
          <w:tcPr>
            <w:tcW w:type="dxa" w:w="1701"/>
          </w:tcPr>
          <w:p>
            <w:r>
              <w:t>580</w:t>
            </w:r>
          </w:p>
        </w:tc>
        <w:tc>
          <w:tcPr>
            <w:tcW w:type="dxa" w:w="1701"/>
          </w:tcPr>
          <w:p>
            <w:r>
              <w:t>1.850</w:t>
            </w:r>
          </w:p>
        </w:tc>
        <w:tc>
          <w:tcPr>
            <w:tcW w:type="dxa" w:w="1701"/>
          </w:tcPr>
          <w:p>
            <w:r>
              <w:t>4.800</w:t>
            </w:r>
          </w:p>
        </w:tc>
      </w:tr>
      <w:tr>
        <w:tc>
          <w:tcPr>
            <w:tcW w:type="dxa" w:w="3402"/>
          </w:tcPr>
          <w:p>
            <w:r>
              <w:t>Sesión foto profesional 12 conceptos</w:t>
            </w:r>
          </w:p>
        </w:tc>
        <w:tc>
          <w:tcPr>
            <w:tcW w:type="dxa" w:w="1701"/>
          </w:tcPr>
          <w:p>
            <w:r>
              <w:t>580</w:t>
            </w:r>
          </w:p>
        </w:tc>
        <w:tc>
          <w:tcPr>
            <w:tcW w:type="dxa" w:w="1701"/>
          </w:tcPr>
          <w:p>
            <w:r>
              <w:t>1.480</w:t>
            </w:r>
          </w:p>
        </w:tc>
        <w:tc>
          <w:tcPr>
            <w:tcW w:type="dxa" w:w="1701"/>
          </w:tcPr>
          <w:p>
            <w:r>
              <w:t>3.800</w:t>
            </w:r>
          </w:p>
        </w:tc>
      </w:tr>
      <w:tr>
        <w:tc>
          <w:tcPr>
            <w:tcW w:type="dxa" w:w="3402"/>
          </w:tcPr>
          <w:p>
            <w:r>
              <w:t>Furgoneta usada / leasing + branded wrap</w:t>
            </w:r>
          </w:p>
        </w:tc>
        <w:tc>
          <w:tcPr>
            <w:tcW w:type="dxa" w:w="1701"/>
          </w:tcPr>
          <w:p>
            <w:r>
              <w:t>1.800</w:t>
            </w:r>
          </w:p>
        </w:tc>
        <w:tc>
          <w:tcPr>
            <w:tcW w:type="dxa" w:w="1701"/>
          </w:tcPr>
          <w:p>
            <w:r>
              <w:t>4.800</w:t>
            </w:r>
          </w:p>
        </w:tc>
        <w:tc>
          <w:tcPr>
            <w:tcW w:type="dxa" w:w="1701"/>
          </w:tcPr>
          <w:p>
            <w:r>
              <w:t>14.000</w:t>
            </w:r>
          </w:p>
        </w:tc>
      </w:tr>
      <w:tr>
        <w:tc>
          <w:tcPr>
            <w:tcW w:type="dxa" w:w="3402"/>
          </w:tcPr>
          <w:p>
            <w:r>
              <w:t>TOTAL</w:t>
            </w:r>
          </w:p>
        </w:tc>
        <w:tc>
          <w:tcPr>
            <w:tcW w:type="dxa" w:w="1701"/>
          </w:tcPr>
          <w:p>
            <w:r>
              <w:t>8.540 €</w:t>
            </w:r>
          </w:p>
        </w:tc>
        <w:tc>
          <w:tcPr>
            <w:tcW w:type="dxa" w:w="1701"/>
          </w:tcPr>
          <w:p>
            <w:r>
              <w:t>21.410 €</w:t>
            </w:r>
          </w:p>
        </w:tc>
        <w:tc>
          <w:tcPr>
            <w:tcW w:type="dxa" w:w="1701"/>
          </w:tcPr>
          <w:p>
            <w:r>
              <w:t>54.440 €</w:t>
            </w:r>
          </w:p>
        </w:tc>
      </w:tr>
    </w:tbl>
    <w:p>
      <w:r>
        <w:rPr>
          <w:rFonts w:ascii="Cambria" w:hAnsi="Cambria"/>
          <w:b/>
          <w:color w:val="0A0908"/>
          <w:sz w:val="30"/>
        </w:rPr>
        <w:t>7.2 Proyección 3 años</w:t>
      </w:r>
    </w:p>
    <w:p>
      <w:pPr>
        <w:spacing w:after="120"/>
      </w:pPr>
      <w:r>
        <w:t>La proyección financiera detallada está en el Excel adjunto. Resumen: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34"/>
          </w:tcPr>
          <w:p>
            <w:r>
              <w:rPr>
                <w:b/>
                <w:color w:val="0A0908"/>
              </w:rPr>
              <w:t>Año</w:t>
            </w:r>
          </w:p>
        </w:tc>
        <w:tc>
          <w:tcPr>
            <w:tcW w:type="dxa" w:w="2835"/>
          </w:tcPr>
          <w:p>
            <w:r>
              <w:rPr>
                <w:b/>
                <w:color w:val="0A0908"/>
              </w:rPr>
              <w:t>Eventos</w:t>
            </w:r>
          </w:p>
        </w:tc>
        <w:tc>
          <w:tcPr>
            <w:tcW w:type="dxa" w:w="2268"/>
          </w:tcPr>
          <w:p>
            <w:r>
              <w:rPr>
                <w:b/>
                <w:color w:val="0A0908"/>
              </w:rPr>
              <w:t>Ingresos</w:t>
            </w:r>
          </w:p>
        </w:tc>
        <w:tc>
          <w:tcPr>
            <w:tcW w:type="dxa" w:w="1701"/>
          </w:tcPr>
          <w:p>
            <w:r>
              <w:rPr>
                <w:b/>
                <w:color w:val="0A0908"/>
              </w:rPr>
              <w:t>Margen bruto</w:t>
            </w:r>
          </w:p>
        </w:tc>
        <w:tc>
          <w:tcPr>
            <w:tcW w:type="dxa" w:w="1701"/>
          </w:tcPr>
          <w:p>
            <w:r>
              <w:rPr>
                <w:b/>
                <w:color w:val="0A0908"/>
              </w:rPr>
              <w:t>Margen neto</w:t>
            </w:r>
          </w:p>
        </w:tc>
      </w:tr>
      <w:tr>
        <w:tc>
          <w:tcPr>
            <w:tcW w:type="dxa" w:w="1134"/>
          </w:tcPr>
          <w:p>
            <w:r>
              <w:t>Año 1</w:t>
            </w:r>
          </w:p>
        </w:tc>
        <w:tc>
          <w:tcPr>
            <w:tcW w:type="dxa" w:w="2835"/>
          </w:tcPr>
          <w:p>
            <w:r>
              <w:t>173 (B2C 76 + B2B 97)</w:t>
            </w:r>
          </w:p>
        </w:tc>
        <w:tc>
          <w:tcPr>
            <w:tcW w:type="dxa" w:w="2268"/>
          </w:tcPr>
          <w:p>
            <w:r>
              <w:t>603.700 €</w:t>
            </w:r>
          </w:p>
        </w:tc>
        <w:tc>
          <w:tcPr>
            <w:tcW w:type="dxa" w:w="1701"/>
          </w:tcPr>
          <w:p>
            <w:r>
              <w:t>62 %</w:t>
            </w:r>
          </w:p>
        </w:tc>
        <w:tc>
          <w:tcPr>
            <w:tcW w:type="dxa" w:w="1701"/>
          </w:tcPr>
          <w:p>
            <w:r>
              <w:t>27 %</w:t>
            </w:r>
          </w:p>
        </w:tc>
      </w:tr>
      <w:tr>
        <w:tc>
          <w:tcPr>
            <w:tcW w:type="dxa" w:w="1134"/>
          </w:tcPr>
          <w:p>
            <w:r>
              <w:t>Año 2</w:t>
            </w:r>
          </w:p>
        </w:tc>
        <w:tc>
          <w:tcPr>
            <w:tcW w:type="dxa" w:w="2835"/>
          </w:tcPr>
          <w:p>
            <w:r>
              <w:t>225 (B2C 99 + B2B 126)</w:t>
            </w:r>
          </w:p>
        </w:tc>
        <w:tc>
          <w:tcPr>
            <w:tcW w:type="dxa" w:w="2268"/>
          </w:tcPr>
          <w:p>
            <w:r>
              <w:t>846.730 €</w:t>
            </w:r>
          </w:p>
        </w:tc>
        <w:tc>
          <w:tcPr>
            <w:tcW w:type="dxa" w:w="1701"/>
          </w:tcPr>
          <w:p>
            <w:r>
              <w:t>63 %</w:t>
            </w:r>
          </w:p>
        </w:tc>
        <w:tc>
          <w:tcPr>
            <w:tcW w:type="dxa" w:w="1701"/>
          </w:tcPr>
          <w:p>
            <w:r>
              <w:t>30 %</w:t>
            </w:r>
          </w:p>
        </w:tc>
      </w:tr>
      <w:tr>
        <w:tc>
          <w:tcPr>
            <w:tcW w:type="dxa" w:w="1134"/>
          </w:tcPr>
          <w:p>
            <w:r>
              <w:t>Año 3</w:t>
            </w:r>
          </w:p>
        </w:tc>
        <w:tc>
          <w:tcPr>
            <w:tcW w:type="dxa" w:w="2835"/>
          </w:tcPr>
          <w:p>
            <w:r>
              <w:t>275 (B2C 121 + B2B 154)</w:t>
            </w:r>
          </w:p>
        </w:tc>
        <w:tc>
          <w:tcPr>
            <w:tcW w:type="dxa" w:w="2268"/>
          </w:tcPr>
          <w:p>
            <w:r>
              <w:t>1.115.400 €</w:t>
            </w:r>
          </w:p>
        </w:tc>
        <w:tc>
          <w:tcPr>
            <w:tcW w:type="dxa" w:w="1701"/>
          </w:tcPr>
          <w:p>
            <w:r>
              <w:t>63 %</w:t>
            </w:r>
          </w:p>
        </w:tc>
        <w:tc>
          <w:tcPr>
            <w:tcW w:type="dxa" w:w="1701"/>
          </w:tcPr>
          <w:p>
            <w:r>
              <w:t>32 %</w:t>
            </w:r>
          </w:p>
        </w:tc>
      </w:tr>
    </w:tbl>
    <w:p>
      <w:r>
        <w:rPr>
          <w:rFonts w:ascii="Cambria" w:hAnsi="Cambria"/>
          <w:b/>
          <w:color w:val="0A0908"/>
          <w:sz w:val="40"/>
        </w:rPr>
        <w:t>8. Riesgos y mitigaciones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835"/>
          </w:tcPr>
          <w:p>
            <w:r>
              <w:rPr>
                <w:b/>
                <w:color w:val="0A0908"/>
              </w:rPr>
              <w:t>Riesgo</w:t>
            </w:r>
          </w:p>
        </w:tc>
        <w:tc>
          <w:tcPr>
            <w:tcW w:type="dxa" w:w="1134"/>
          </w:tcPr>
          <w:p>
            <w:r>
              <w:rPr>
                <w:b/>
                <w:color w:val="0A0908"/>
              </w:rPr>
              <w:t>Probabilidad</w:t>
            </w:r>
          </w:p>
        </w:tc>
        <w:tc>
          <w:tcPr>
            <w:tcW w:type="dxa" w:w="1134"/>
          </w:tcPr>
          <w:p>
            <w:r>
              <w:rPr>
                <w:b/>
                <w:color w:val="0A0908"/>
              </w:rPr>
              <w:t>Impacto</w:t>
            </w:r>
          </w:p>
        </w:tc>
        <w:tc>
          <w:tcPr>
            <w:tcW w:type="dxa" w:w="3402"/>
          </w:tcPr>
          <w:p>
            <w:r>
              <w:rPr>
                <w:b/>
                <w:color w:val="0A0908"/>
              </w:rPr>
              <w:t>Mitigación</w:t>
            </w:r>
          </w:p>
        </w:tc>
      </w:tr>
      <w:tr>
        <w:tc>
          <w:tcPr>
            <w:tcW w:type="dxa" w:w="2835"/>
          </w:tcPr>
          <w:p>
            <w:r>
              <w:t>Cancelación cliente último momento</w:t>
            </w:r>
          </w:p>
        </w:tc>
        <w:tc>
          <w:tcPr>
            <w:tcW w:type="dxa" w:w="1134"/>
          </w:tcPr>
          <w:p>
            <w:r>
              <w:t>Media</w:t>
            </w:r>
          </w:p>
        </w:tc>
        <w:tc>
          <w:tcPr>
            <w:tcW w:type="dxa" w:w="1134"/>
          </w:tcPr>
          <w:p>
            <w:r>
              <w:t>Alto</w:t>
            </w:r>
          </w:p>
        </w:tc>
        <w:tc>
          <w:tcPr>
            <w:tcW w:type="dxa" w:w="3402"/>
          </w:tcPr>
          <w:p>
            <w:r>
              <w:t>Anticipo 40 % + cláusula 21 días</w:t>
            </w:r>
          </w:p>
        </w:tc>
      </w:tr>
      <w:tr>
        <w:tc>
          <w:tcPr>
            <w:tcW w:type="dxa" w:w="2835"/>
          </w:tcPr>
          <w:p>
            <w:r>
              <w:t>Intoxicación alimentaria multi-cocina</w:t>
            </w:r>
          </w:p>
        </w:tc>
        <w:tc>
          <w:tcPr>
            <w:tcW w:type="dxa" w:w="1134"/>
          </w:tcPr>
          <w:p>
            <w:r>
              <w:t>Baja</w:t>
            </w:r>
          </w:p>
        </w:tc>
        <w:tc>
          <w:tcPr>
            <w:tcW w:type="dxa" w:w="1134"/>
          </w:tcPr>
          <w:p>
            <w:r>
              <w:t>Crítico</w:t>
            </w:r>
          </w:p>
        </w:tc>
        <w:tc>
          <w:tcPr>
            <w:tcW w:type="dxa" w:w="3402"/>
          </w:tcPr>
          <w:p>
            <w:r>
              <w:t>Seguro RC con cláusula intox + APPCC riguroso por concepto</w:t>
            </w:r>
          </w:p>
        </w:tc>
      </w:tr>
      <w:tr>
        <w:tc>
          <w:tcPr>
            <w:tcW w:type="dxa" w:w="2835"/>
          </w:tcPr>
          <w:p>
            <w:r>
              <w:t>Avería equipamiento crítico durante evento</w:t>
            </w:r>
          </w:p>
        </w:tc>
        <w:tc>
          <w:tcPr>
            <w:tcW w:type="dxa" w:w="1134"/>
          </w:tcPr>
          <w:p>
            <w:r>
              <w:t>Media</w:t>
            </w:r>
          </w:p>
        </w:tc>
        <w:tc>
          <w:tcPr>
            <w:tcW w:type="dxa" w:w="1134"/>
          </w:tcPr>
          <w:p>
            <w:r>
              <w:t>Alto</w:t>
            </w:r>
          </w:p>
        </w:tc>
        <w:tc>
          <w:tcPr>
            <w:tcW w:type="dxa" w:w="3402"/>
          </w:tcPr>
          <w:p>
            <w:r>
              <w:t>Equipamiento de respaldo + 2 inducciones portátiles</w:t>
            </w:r>
          </w:p>
        </w:tc>
      </w:tr>
      <w:tr>
        <w:tc>
          <w:tcPr>
            <w:tcW w:type="dxa" w:w="2835"/>
          </w:tcPr>
          <w:p>
            <w:r>
              <w:t>Cliente B2B no paga factura</w:t>
            </w:r>
          </w:p>
        </w:tc>
        <w:tc>
          <w:tcPr>
            <w:tcW w:type="dxa" w:w="1134"/>
          </w:tcPr>
          <w:p>
            <w:r>
              <w:t>Media</w:t>
            </w:r>
          </w:p>
        </w:tc>
        <w:tc>
          <w:tcPr>
            <w:tcW w:type="dxa" w:w="1134"/>
          </w:tcPr>
          <w:p>
            <w:r>
              <w:t>Medio</w:t>
            </w:r>
          </w:p>
        </w:tc>
        <w:tc>
          <w:tcPr>
            <w:tcW w:type="dxa" w:w="3402"/>
          </w:tcPr>
          <w:p>
            <w:r>
              <w:t>40 % anticipo + 30 % al confirmar + 30 % D+30</w:t>
            </w:r>
          </w:p>
        </w:tc>
      </w:tr>
      <w:tr>
        <w:tc>
          <w:tcPr>
            <w:tcW w:type="dxa" w:w="2835"/>
          </w:tcPr>
          <w:p>
            <w:r>
              <w:t>Falta de personal freelance especializado</w:t>
            </w:r>
          </w:p>
        </w:tc>
        <w:tc>
          <w:tcPr>
            <w:tcW w:type="dxa" w:w="1134"/>
          </w:tcPr>
          <w:p>
            <w:r>
              <w:t>Alta</w:t>
            </w:r>
          </w:p>
        </w:tc>
        <w:tc>
          <w:tcPr>
            <w:tcW w:type="dxa" w:w="1134"/>
          </w:tcPr>
          <w:p>
            <w:r>
              <w:t>Medio</w:t>
            </w:r>
          </w:p>
        </w:tc>
        <w:tc>
          <w:tcPr>
            <w:tcW w:type="dxa" w:w="3402"/>
          </w:tcPr>
          <w:p>
            <w:r>
              <w:t>Bolsa de 3-4 freelance fiables por concepto</w:t>
            </w:r>
          </w:p>
        </w:tc>
      </w:tr>
      <w:tr>
        <w:tc>
          <w:tcPr>
            <w:tcW w:type="dxa" w:w="2835"/>
          </w:tcPr>
          <w:p>
            <w:r>
              <w:t>Reseñas negativas (alergia no comunicada)</w:t>
            </w:r>
          </w:p>
        </w:tc>
        <w:tc>
          <w:tcPr>
            <w:tcW w:type="dxa" w:w="1134"/>
          </w:tcPr>
          <w:p>
            <w:r>
              <w:t>Media</w:t>
            </w:r>
          </w:p>
        </w:tc>
        <w:tc>
          <w:tcPr>
            <w:tcW w:type="dxa" w:w="1134"/>
          </w:tcPr>
          <w:p>
            <w:r>
              <w:t>Alto</w:t>
            </w:r>
          </w:p>
        </w:tc>
        <w:tc>
          <w:tcPr>
            <w:tcW w:type="dxa" w:w="3402"/>
          </w:tcPr>
          <w:p>
            <w:r>
              <w:t>Briefing por escrito + plantilla alergias firmada por concepto</w:t>
            </w:r>
          </w:p>
        </w:tc>
      </w:tr>
      <w:tr>
        <w:tc>
          <w:tcPr>
            <w:tcW w:type="dxa" w:w="2835"/>
          </w:tcPr>
          <w:p>
            <w:r>
              <w:t>Lluvia evento outdoor sin plan B</w:t>
            </w:r>
          </w:p>
        </w:tc>
        <w:tc>
          <w:tcPr>
            <w:tcW w:type="dxa" w:w="1134"/>
          </w:tcPr>
          <w:p>
            <w:r>
              <w:t>Alta</w:t>
            </w:r>
          </w:p>
        </w:tc>
        <w:tc>
          <w:tcPr>
            <w:tcW w:type="dxa" w:w="1134"/>
          </w:tcPr>
          <w:p>
            <w:r>
              <w:t>Alto</w:t>
            </w:r>
          </w:p>
        </w:tc>
        <w:tc>
          <w:tcPr>
            <w:tcW w:type="dxa" w:w="3402"/>
          </w:tcPr>
          <w:p>
            <w:r>
              <w:t>Plan B clima documentado + carpa de respaldo</w:t>
            </w:r>
          </w:p>
        </w:tc>
      </w:tr>
      <w:tr>
        <w:tc>
          <w:tcPr>
            <w:tcW w:type="dxa" w:w="2835"/>
          </w:tcPr>
          <w:p>
            <w:r>
              <w:t>Imitadores low-cost en plataformas</w:t>
            </w:r>
          </w:p>
        </w:tc>
        <w:tc>
          <w:tcPr>
            <w:tcW w:type="dxa" w:w="1134"/>
          </w:tcPr>
          <w:p>
            <w:r>
              <w:t>Alta</w:t>
            </w:r>
          </w:p>
        </w:tc>
        <w:tc>
          <w:tcPr>
            <w:tcW w:type="dxa" w:w="1134"/>
          </w:tcPr>
          <w:p>
            <w:r>
              <w:t>Bajo</w:t>
            </w:r>
          </w:p>
        </w:tc>
        <w:tc>
          <w:tcPr>
            <w:tcW w:type="dxa" w:w="3402"/>
          </w:tcPr>
          <w:p>
            <w:r>
              <w:t>Marca personal fuerte + portfolio premium + ángulo multi-concepto</w:t>
            </w:r>
          </w:p>
        </w:tc>
      </w:tr>
      <w:tr>
        <w:tc>
          <w:tcPr>
            <w:tcW w:type="dxa" w:w="2835"/>
          </w:tcPr>
          <w:p>
            <w:r>
              <w:t>Gestión simultánea de 3+ estaciones</w:t>
            </w:r>
          </w:p>
        </w:tc>
        <w:tc>
          <w:tcPr>
            <w:tcW w:type="dxa" w:w="1134"/>
          </w:tcPr>
          <w:p>
            <w:r>
              <w:t>Alta</w:t>
            </w:r>
          </w:p>
        </w:tc>
        <w:tc>
          <w:tcPr>
            <w:tcW w:type="dxa" w:w="1134"/>
          </w:tcPr>
          <w:p>
            <w:r>
              <w:t>Medio</w:t>
            </w:r>
          </w:p>
        </w:tc>
        <w:tc>
          <w:tcPr>
            <w:tcW w:type="dxa" w:w="3402"/>
          </w:tcPr>
          <w:p>
            <w:r>
              <w:t>SOP por concepto + checklist multi-station + briefing equipo</w:t>
            </w:r>
          </w:p>
        </w:tc>
      </w:tr>
    </w:tbl>
    <w:p>
      <w:r>
        <w:rPr>
          <w:rFonts w:ascii="Cambria" w:hAnsi="Cambria"/>
          <w:b/>
          <w:color w:val="0A0908"/>
          <w:sz w:val="40"/>
        </w:rPr>
        <w:t>9. Anexo: regulación catering itinerante por CCAA</w:t>
      </w:r>
    </w:p>
    <w:p>
      <w:pPr>
        <w:spacing w:after="120"/>
      </w:pPr>
      <w:r>
        <w:t>La actividad de catering temático itinerante tiene normativa común estatal (RD 191/2011 sobre Registro General Sanitario de Empresas Alimentarias, RD 109/2010 sobre alérgenos, normativa manipulador) y normativa autonómica complementaria. Puntos clave por CCAA:</w:t>
      </w:r>
    </w:p>
    <w:tbl>
      <w:tblPr>
        <w:tblStyle w:val="LightGrid-Accent1"/>
        <w:tblW w:type="auto" w:w="0"/>
        <w:jc w:val="center"/>
        <w:tblLook w:firstColumn="1" w:firstRow="1" w:lastColumn="0" w:lastRow="0" w:noHBand="0" w:noVBand="1" w:val="04A0"/>
      </w:tblPr>
      <w:tblGrid>
        <w:gridCol w:w="2880"/>
        <w:gridCol w:w="2880"/>
        <w:gridCol w:w="2880"/>
      </w:tblGrid>
      <w:tr>
        <w:tc>
          <w:tcPr>
            <w:tcW w:type="dxa" w:w="2268"/>
          </w:tcPr>
          <w:p>
            <w:r>
              <w:rPr>
                <w:b/>
                <w:color w:val="0A0908"/>
              </w:rPr>
              <w:t>CCAA</w:t>
            </w:r>
          </w:p>
        </w:tc>
        <w:tc>
          <w:tcPr>
            <w:tcW w:type="dxa" w:w="2835"/>
          </w:tcPr>
          <w:p>
            <w:r>
              <w:rPr>
                <w:b/>
                <w:color w:val="0A0908"/>
              </w:rPr>
              <w:t>Registro Sanitario</w:t>
            </w:r>
          </w:p>
        </w:tc>
        <w:tc>
          <w:tcPr>
            <w:tcW w:type="dxa" w:w="4535"/>
          </w:tcPr>
          <w:p>
            <w:r>
              <w:rPr>
                <w:b/>
                <w:color w:val="0A0908"/>
              </w:rPr>
              <w:t>Notas específicas</w:t>
            </w:r>
          </w:p>
        </w:tc>
      </w:tr>
      <w:tr>
        <w:tc>
          <w:tcPr>
            <w:tcW w:type="dxa" w:w="2268"/>
          </w:tcPr>
          <w:p>
            <w:r>
              <w:t>Madrid</w:t>
            </w:r>
          </w:p>
        </w:tc>
        <w:tc>
          <w:tcPr>
            <w:tcW w:type="dxa" w:w="2835"/>
          </w:tcPr>
          <w:p>
            <w:r>
              <w:t>Salud Pública CAM</w:t>
            </w:r>
          </w:p>
        </w:tc>
        <w:tc>
          <w:tcPr>
            <w:tcW w:type="dxa" w:w="4535"/>
          </w:tcPr>
          <w:p>
            <w:r>
              <w:t>Ventanilla única online; trámite 15-30 días; epígrafe IAE 677.9</w:t>
            </w:r>
          </w:p>
        </w:tc>
      </w:tr>
      <w:tr>
        <w:tc>
          <w:tcPr>
            <w:tcW w:type="dxa" w:w="2268"/>
          </w:tcPr>
          <w:p>
            <w:r>
              <w:t>Cataluña</w:t>
            </w:r>
          </w:p>
        </w:tc>
        <w:tc>
          <w:tcPr>
            <w:tcW w:type="dxa" w:w="2835"/>
          </w:tcPr>
          <w:p>
            <w:r>
              <w:t>Generalitat Salut Pública</w:t>
            </w:r>
          </w:p>
        </w:tc>
        <w:tc>
          <w:tcPr>
            <w:tcW w:type="dxa" w:w="4535"/>
          </w:tcPr>
          <w:p>
            <w:r>
              <w:t>Etiquetado en catalán obligatorio; tasa anual ~80 €</w:t>
            </w:r>
          </w:p>
        </w:tc>
      </w:tr>
      <w:tr>
        <w:tc>
          <w:tcPr>
            <w:tcW w:type="dxa" w:w="2268"/>
          </w:tcPr>
          <w:p>
            <w:r>
              <w:t>Andalucía</w:t>
            </w:r>
          </w:p>
        </w:tc>
        <w:tc>
          <w:tcPr>
            <w:tcW w:type="dxa" w:w="2835"/>
          </w:tcPr>
          <w:p>
            <w:r>
              <w:t>Junta Andalucía Salud</w:t>
            </w:r>
          </w:p>
        </w:tc>
        <w:tc>
          <w:tcPr>
            <w:tcW w:type="dxa" w:w="4535"/>
          </w:tcPr>
          <w:p>
            <w:r>
              <w:t>Comunicación previa + RGSEAA; control aleatorio anual</w:t>
            </w:r>
          </w:p>
        </w:tc>
      </w:tr>
      <w:tr>
        <w:tc>
          <w:tcPr>
            <w:tcW w:type="dxa" w:w="2268"/>
          </w:tcPr>
          <w:p>
            <w:r>
              <w:t>Comunidad Valenciana</w:t>
            </w:r>
          </w:p>
        </w:tc>
        <w:tc>
          <w:tcPr>
            <w:tcW w:type="dxa" w:w="2835"/>
          </w:tcPr>
          <w:p>
            <w:r>
              <w:t>Conselleria Sanidad</w:t>
            </w:r>
          </w:p>
        </w:tc>
        <w:tc>
          <w:tcPr>
            <w:tcW w:type="dxa" w:w="4535"/>
          </w:tcPr>
          <w:p>
            <w:r>
              <w:t>Registro telemático; verificación cocina cliente final</w:t>
            </w:r>
          </w:p>
        </w:tc>
      </w:tr>
      <w:tr>
        <w:tc>
          <w:tcPr>
            <w:tcW w:type="dxa" w:w="2268"/>
          </w:tcPr>
          <w:p>
            <w:r>
              <w:t>País Vasco</w:t>
            </w:r>
          </w:p>
        </w:tc>
        <w:tc>
          <w:tcPr>
            <w:tcW w:type="dxa" w:w="2835"/>
          </w:tcPr>
          <w:p>
            <w:r>
              <w:t>Osasun Saila Salud Vasca</w:t>
            </w:r>
          </w:p>
        </w:tc>
        <w:tc>
          <w:tcPr>
            <w:tcW w:type="dxa" w:w="4535"/>
          </w:tcPr>
          <w:p>
            <w:r>
              <w:t>Posible bilingüismo etiquetado; fiscalidad foral</w:t>
            </w:r>
          </w:p>
        </w:tc>
      </w:tr>
      <w:tr>
        <w:tc>
          <w:tcPr>
            <w:tcW w:type="dxa" w:w="2268"/>
          </w:tcPr>
          <w:p>
            <w:r>
              <w:t>Galicia</w:t>
            </w:r>
          </w:p>
        </w:tc>
        <w:tc>
          <w:tcPr>
            <w:tcW w:type="dxa" w:w="2835"/>
          </w:tcPr>
          <w:p>
            <w:r>
              <w:t>Sergas Salud Pública</w:t>
            </w:r>
          </w:p>
        </w:tc>
        <w:tc>
          <w:tcPr>
            <w:tcW w:type="dxa" w:w="4535"/>
          </w:tcPr>
          <w:p>
            <w:r>
              <w:t>Comunicación previa; menos restrictivo en itinerante</w:t>
            </w:r>
          </w:p>
        </w:tc>
      </w:tr>
      <w:tr>
        <w:tc>
          <w:tcPr>
            <w:tcW w:type="dxa" w:w="2268"/>
          </w:tcPr>
          <w:p>
            <w:r>
              <w:t>Castilla y León</w:t>
            </w:r>
          </w:p>
        </w:tc>
        <w:tc>
          <w:tcPr>
            <w:tcW w:type="dxa" w:w="2835"/>
          </w:tcPr>
          <w:p>
            <w:r>
              <w:t>Sacyl Salud Pública</w:t>
            </w:r>
          </w:p>
        </w:tc>
        <w:tc>
          <w:tcPr>
            <w:tcW w:type="dxa" w:w="4535"/>
          </w:tcPr>
          <w:p>
            <w:r>
              <w:t>Trámite presencial + telemático; 30 días</w:t>
            </w:r>
          </w:p>
        </w:tc>
      </w:tr>
      <w:tr>
        <w:tc>
          <w:tcPr>
            <w:tcW w:type="dxa" w:w="2268"/>
          </w:tcPr>
          <w:p>
            <w:r>
              <w:t>Castilla-La Mancha</w:t>
            </w:r>
          </w:p>
        </w:tc>
        <w:tc>
          <w:tcPr>
            <w:tcW w:type="dxa" w:w="2835"/>
          </w:tcPr>
          <w:p>
            <w:r>
              <w:t>Sescam Salud Pública</w:t>
            </w:r>
          </w:p>
        </w:tc>
        <w:tc>
          <w:tcPr>
            <w:tcW w:type="dxa" w:w="4535"/>
          </w:tcPr>
          <w:p>
            <w:r>
              <w:t>Comunicación previa + RGSEAA</w:t>
            </w:r>
          </w:p>
        </w:tc>
      </w:tr>
      <w:tr>
        <w:tc>
          <w:tcPr>
            <w:tcW w:type="dxa" w:w="2268"/>
          </w:tcPr>
          <w:p>
            <w:r>
              <w:t>Aragón</w:t>
            </w:r>
          </w:p>
        </w:tc>
        <w:tc>
          <w:tcPr>
            <w:tcW w:type="dxa" w:w="2835"/>
          </w:tcPr>
          <w:p>
            <w:r>
              <w:t>Salud Pública Aragón</w:t>
            </w:r>
          </w:p>
        </w:tc>
        <w:tc>
          <w:tcPr>
            <w:tcW w:type="dxa" w:w="4535"/>
          </w:tcPr>
          <w:p>
            <w:r>
              <w:t>Trámite online; documentación APPCC simplificada</w:t>
            </w:r>
          </w:p>
        </w:tc>
      </w:tr>
      <w:tr>
        <w:tc>
          <w:tcPr>
            <w:tcW w:type="dxa" w:w="2268"/>
          </w:tcPr>
          <w:p>
            <w:r>
              <w:t>Islas Baleares</w:t>
            </w:r>
          </w:p>
        </w:tc>
        <w:tc>
          <w:tcPr>
            <w:tcW w:type="dxa" w:w="2835"/>
          </w:tcPr>
          <w:p>
            <w:r>
              <w:t>IB-Salut Salud Pública</w:t>
            </w:r>
          </w:p>
        </w:tc>
        <w:tc>
          <w:tcPr>
            <w:tcW w:type="dxa" w:w="4535"/>
          </w:tcPr>
          <w:p>
            <w:r>
              <w:t>Verificación específica para temporada turística</w:t>
            </w:r>
          </w:p>
        </w:tc>
      </w:tr>
      <w:tr>
        <w:tc>
          <w:tcPr>
            <w:tcW w:type="dxa" w:w="2268"/>
          </w:tcPr>
          <w:p>
            <w:r>
              <w:t>Islas Canarias</w:t>
            </w:r>
          </w:p>
        </w:tc>
        <w:tc>
          <w:tcPr>
            <w:tcW w:type="dxa" w:w="2835"/>
          </w:tcPr>
          <w:p>
            <w:r>
              <w:t>Servicio Canario Salud</w:t>
            </w:r>
          </w:p>
        </w:tc>
        <w:tc>
          <w:tcPr>
            <w:tcW w:type="dxa" w:w="4535"/>
          </w:tcPr>
          <w:p>
            <w:r>
              <w:t>Trámite específico + cumplimiento normativa transporte</w:t>
            </w:r>
          </w:p>
        </w:tc>
      </w:tr>
      <w:tr>
        <w:tc>
          <w:tcPr>
            <w:tcW w:type="dxa" w:w="2268"/>
          </w:tcPr>
          <w:p>
            <w:r>
              <w:t>Navarra</w:t>
            </w:r>
          </w:p>
        </w:tc>
        <w:tc>
          <w:tcPr>
            <w:tcW w:type="dxa" w:w="2835"/>
          </w:tcPr>
          <w:p>
            <w:r>
              <w:t>Salud Pública Foral</w:t>
            </w:r>
          </w:p>
        </w:tc>
        <w:tc>
          <w:tcPr>
            <w:tcW w:type="dxa" w:w="4535"/>
          </w:tcPr>
          <w:p>
            <w:r>
              <w:t>Tasa anual reducida; foral facilita autónomos</w:t>
            </w:r>
          </w:p>
        </w:tc>
      </w:tr>
      <w:tr>
        <w:tc>
          <w:tcPr>
            <w:tcW w:type="dxa" w:w="2268"/>
          </w:tcPr>
          <w:p>
            <w:r>
              <w:t>La Rioja</w:t>
            </w:r>
          </w:p>
        </w:tc>
        <w:tc>
          <w:tcPr>
            <w:tcW w:type="dxa" w:w="2835"/>
          </w:tcPr>
          <w:p>
            <w:r>
              <w:t>Salud La Rioja</w:t>
            </w:r>
          </w:p>
        </w:tc>
        <w:tc>
          <w:tcPr>
            <w:tcW w:type="dxa" w:w="4535"/>
          </w:tcPr>
          <w:p>
            <w:r>
              <w:t>Trámite online; 15-25 días</w:t>
            </w:r>
          </w:p>
        </w:tc>
      </w:tr>
      <w:tr>
        <w:tc>
          <w:tcPr>
            <w:tcW w:type="dxa" w:w="2268"/>
          </w:tcPr>
          <w:p>
            <w:r>
              <w:t>Asturias</w:t>
            </w:r>
          </w:p>
        </w:tc>
        <w:tc>
          <w:tcPr>
            <w:tcW w:type="dxa" w:w="2835"/>
          </w:tcPr>
          <w:p>
            <w:r>
              <w:t>SESPA Salud Pública</w:t>
            </w:r>
          </w:p>
        </w:tc>
        <w:tc>
          <w:tcPr>
            <w:tcW w:type="dxa" w:w="4535"/>
          </w:tcPr>
          <w:p>
            <w:r>
              <w:t>Comunicación previa; menos restrictivo</w:t>
            </w:r>
          </w:p>
        </w:tc>
      </w:tr>
      <w:tr>
        <w:tc>
          <w:tcPr>
            <w:tcW w:type="dxa" w:w="2268"/>
          </w:tcPr>
          <w:p>
            <w:r>
              <w:t>Cantabria</w:t>
            </w:r>
          </w:p>
        </w:tc>
        <w:tc>
          <w:tcPr>
            <w:tcW w:type="dxa" w:w="2835"/>
          </w:tcPr>
          <w:p>
            <w:r>
              <w:t>Servicio Cántabro Salud</w:t>
            </w:r>
          </w:p>
        </w:tc>
        <w:tc>
          <w:tcPr>
            <w:tcW w:type="dxa" w:w="4535"/>
          </w:tcPr>
          <w:p>
            <w:r>
              <w:t>Trámite presencial + telemático</w:t>
            </w:r>
          </w:p>
        </w:tc>
      </w:tr>
      <w:tr>
        <w:tc>
          <w:tcPr>
            <w:tcW w:type="dxa" w:w="2268"/>
          </w:tcPr>
          <w:p>
            <w:r>
              <w:t>Murcia</w:t>
            </w:r>
          </w:p>
        </w:tc>
        <w:tc>
          <w:tcPr>
            <w:tcW w:type="dxa" w:w="2835"/>
          </w:tcPr>
          <w:p>
            <w:r>
              <w:t>Murciasalud</w:t>
            </w:r>
          </w:p>
        </w:tc>
        <w:tc>
          <w:tcPr>
            <w:tcW w:type="dxa" w:w="4535"/>
          </w:tcPr>
          <w:p>
            <w:r>
              <w:t>Comunicación previa; normativa amplia para itinerante</w:t>
            </w:r>
          </w:p>
        </w:tc>
      </w:tr>
      <w:tr>
        <w:tc>
          <w:tcPr>
            <w:tcW w:type="dxa" w:w="2268"/>
          </w:tcPr>
          <w:p>
            <w:r>
              <w:t>Extremadura</w:t>
            </w:r>
          </w:p>
        </w:tc>
        <w:tc>
          <w:tcPr>
            <w:tcW w:type="dxa" w:w="2835"/>
          </w:tcPr>
          <w:p>
            <w:r>
              <w:t>SES Salud Pública</w:t>
            </w:r>
          </w:p>
        </w:tc>
        <w:tc>
          <w:tcPr>
            <w:tcW w:type="dxa" w:w="4535"/>
          </w:tcPr>
          <w:p>
            <w:r>
              <w:t>Trámite online; menos restrictivo</w:t>
            </w:r>
          </w:p>
        </w:tc>
      </w:tr>
    </w:tbl>
    <w:p>
      <w:pPr>
        <w:spacing w:after="120"/>
      </w:pPr>
      <w:r>
        <w:t>Importante: este anexo es orientativo. Antes de iniciar la actividad consulta con un asesor fiscal-laboral local o con la administración autonómica correspondiente. ChefBusiness ofrece consultoría puntual de orientación regulatoria si la necesitas.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A090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