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B08D57"/>
          <w:sz w:val="18"/>
        </w:rPr>
        <w:t>ChefBusiness · Plan de Negocio &amp; Kit Parrillero / Asador para Eventos</w:t>
      </w:r>
    </w:p>
    <w:p>
      <w:r>
        <w:rPr>
          <w:rFonts w:ascii="Playfair Display" w:hAnsi="Playfair Display"/>
          <w:b/>
          <w:color w:val="1F1B16"/>
          <w:sz w:val="56"/>
        </w:rPr>
        <w:t>Modelos de Contrato</w:t>
      </w:r>
    </w:p>
    <w:p>
      <w:r>
        <w:rPr>
          <w:i/>
          <w:color w:val="6B5E4D"/>
          <w:sz w:val="24"/>
        </w:rPr>
        <w:t>Dos plantillas legales editables: B2C particular (cumpleaños, bautizos, bodas íntimas) y B2B profesional (wedding planners, agencias, hoteles, empresas).</w:t>
      </w:r>
    </w:p>
    <w:p/>
    <w:p>
      <w:pPr>
        <w:spacing w:after="160"/>
      </w:pPr>
      <w:r>
        <w:t>Estos modelos están diseñados como punto de partida operativo — no sustituyen el asesoramiento jurídico personalizado. Antes de firmar tu primer contrato relevante, valídalos con un abogado o gestor de tu confianza. Personaliza siempre los datos fiscales, cláusulas específicas y anexos por evento.</w:t>
      </w:r>
    </w:p>
    <w:p>
      <w:pPr>
        <w:jc w:val="center"/>
      </w:pPr>
      <w:r>
        <w:rPr>
          <w:color w:val="B08D57"/>
          <w:sz w:val="22"/>
        </w:rPr>
        <w:t>·  ·  ·</w:t>
      </w:r>
    </w:p>
    <w:p>
      <w:r>
        <w:rPr>
          <w:rFonts w:ascii="Playfair Display" w:hAnsi="Playfair Display"/>
          <w:b/>
          <w:color w:val="1F1B16"/>
          <w:sz w:val="36"/>
        </w:rPr>
        <w:t>Modelo 1 · Contrato de servicio B2C particular</w:t>
      </w:r>
    </w:p>
    <w:p>
      <w:r>
        <w:rPr>
          <w:rFonts w:ascii="Inter" w:hAnsi="Inter"/>
          <w:b/>
          <w:color w:val="B08D57"/>
          <w:sz w:val="18"/>
        </w:rPr>
        <w:t>PARA CLIENTES FINALES (CUMPLEAÑOS, BAUTIZOS, COMUNIONES, BODAS ÍNTIMAS EN FINCA/CHALET)</w:t>
      </w:r>
    </w:p>
    <w:p>
      <w:pPr>
        <w:spacing w:after="160"/>
      </w:pPr>
      <w:r>
        <w:t>En [Ciudad], a [DD] de [Mes] de 20[ ].</w:t>
      </w:r>
    </w:p>
    <w:p>
      <w:r>
        <w:rPr>
          <w:rFonts w:ascii="Inter" w:hAnsi="Inter"/>
          <w:b/>
          <w:color w:val="1F1B16"/>
          <w:sz w:val="26"/>
        </w:rPr>
        <w:t>Reunidos</w:t>
      </w:r>
    </w:p>
    <w:p>
      <w:pPr>
        <w:spacing w:after="160"/>
      </w:pPr>
      <w:r>
        <w:t>DE UNA PARTE, [NOMBRE PARRILLERO O RAZÓN SOCIAL], con NIF/CIF [XXXXXXXXX], domicilio fiscal en [calle, número, código postal, ciudad], actuando en nombre propio y en su condición de profesional autónomo prestador del servicio de parrilla y asado para eventos (en adelante, el «PARRILLERO»).</w:t>
      </w:r>
    </w:p>
    <w:p>
      <w:pPr>
        <w:spacing w:after="160"/>
      </w:pPr>
      <w:r>
        <w:t>DE OTRA PARTE, D./Dña. [NOMBRE COMPLETO CLIENTE], con DNI/NIE [XXXXXXXXX], y domicilio en [dirección], actuando en su propio nombre y derecho como organizador del evento (en adelante, el «CLIENTE»).</w:t>
      </w:r>
    </w:p>
    <w:p>
      <w:pPr>
        <w:spacing w:after="160"/>
      </w:pPr>
      <w:r>
        <w:t>Ambas partes se reconocen capacidad legal suficiente para suscribir el presente contrato y, a tal efecto,</w:t>
      </w:r>
    </w:p>
    <w:p>
      <w:r>
        <w:rPr>
          <w:rFonts w:ascii="Inter" w:hAnsi="Inter"/>
          <w:b/>
          <w:color w:val="1F1B16"/>
          <w:sz w:val="26"/>
        </w:rPr>
        <w:t>Exponen y acuerdan</w:t>
      </w:r>
    </w:p>
    <w:p>
      <w:r>
        <w:rPr>
          <w:rFonts w:ascii="Inter" w:hAnsi="Inter"/>
          <w:b/>
          <w:color w:val="B08D57"/>
          <w:sz w:val="18"/>
        </w:rPr>
        <w:t>PRIMERA · OBJETO DEL CONTRATO</w:t>
      </w:r>
    </w:p>
    <w:p>
      <w:pPr>
        <w:spacing w:after="160"/>
      </w:pPr>
      <w:r>
        <w:t>El PARRILLERO se obliga a prestar al CLIENTE un servicio profesional de parrilla y asado en directo para el evento que se describe a continuación:</w:t>
      </w:r>
    </w:p>
    <w:p>
      <w:pPr>
        <w:pStyle w:val="ListBullet"/>
        <w:spacing w:after="80"/>
      </w:pPr>
      <w:r>
        <w:t>Tipo de evento: [boda íntima / cumpleaños / bautizo / comunión / etc.]</w:t>
      </w:r>
    </w:p>
    <w:p>
      <w:pPr>
        <w:pStyle w:val="ListBullet"/>
        <w:spacing w:after="80"/>
      </w:pPr>
      <w:r>
        <w:t>Fecha del evento: [DD/MM/AAAA]</w:t>
      </w:r>
    </w:p>
    <w:p>
      <w:pPr>
        <w:pStyle w:val="ListBullet"/>
        <w:spacing w:after="80"/>
      </w:pPr>
      <w:r>
        <w:t>Hora de inicio del servicio: [HH:MM]</w:t>
      </w:r>
    </w:p>
    <w:p>
      <w:pPr>
        <w:pStyle w:val="ListBullet"/>
        <w:spacing w:after="80"/>
      </w:pPr>
      <w:r>
        <w:t>Hora estimada de finalización: [HH:MM]</w:t>
      </w:r>
    </w:p>
    <w:p>
      <w:pPr>
        <w:pStyle w:val="ListBullet"/>
        <w:spacing w:after="80"/>
      </w:pPr>
      <w:r>
        <w:t>Lugar / dirección completa del evento: [finca, chalet, jardín privado…]</w:t>
      </w:r>
    </w:p>
    <w:p>
      <w:pPr>
        <w:pStyle w:val="ListBullet"/>
        <w:spacing w:after="80"/>
      </w:pPr>
      <w:r>
        <w:t>Número estimado de invitados: [N pax]</w:t>
      </w:r>
    </w:p>
    <w:p>
      <w:pPr>
        <w:pStyle w:val="ListBullet"/>
        <w:spacing w:after="80"/>
      </w:pPr>
      <w:r>
        <w:t>Concepto principal: [Asado argentino / Parrilla mediterránea / BBQ / etc.]</w:t>
      </w:r>
    </w:p>
    <w:p>
      <w:r>
        <w:rPr>
          <w:rFonts w:ascii="Inter" w:hAnsi="Inter"/>
          <w:b/>
          <w:color w:val="B08D57"/>
          <w:sz w:val="18"/>
        </w:rPr>
        <w:t>SEGUNDA · SERVICIOS INCLUIDOS</w:t>
      </w:r>
    </w:p>
    <w:p>
      <w:pPr>
        <w:pStyle w:val="ListBullet"/>
        <w:spacing w:after="80"/>
      </w:pPr>
      <w:r>
        <w:t>Aprovisionamiento y manipulación de carnes seleccionadas en cantidades suficientes para [N pax].</w:t>
      </w:r>
    </w:p>
    <w:p>
      <w:pPr>
        <w:pStyle w:val="ListBullet"/>
        <w:spacing w:after="80"/>
      </w:pPr>
      <w:r>
        <w:t>Aporte de equipamiento parrillero profesional (parrilla, brasero, utensilios, mantas térmicas).</w:t>
      </w:r>
    </w:p>
    <w:p>
      <w:pPr>
        <w:pStyle w:val="ListBullet"/>
        <w:spacing w:after="80"/>
      </w:pPr>
      <w:r>
        <w:t>Aprovisionamiento de carbón vegetal y/o leña para el servicio.</w:t>
      </w:r>
    </w:p>
    <w:p>
      <w:pPr>
        <w:pStyle w:val="ListBullet"/>
        <w:spacing w:after="80"/>
      </w:pPr>
      <w:r>
        <w:t>Servicio de un (1) parrillero profesional y [N] ayudante(s) si aplica.</w:t>
      </w:r>
    </w:p>
    <w:p>
      <w:pPr>
        <w:pStyle w:val="ListBullet"/>
        <w:spacing w:after="80"/>
      </w:pPr>
      <w:r>
        <w:t>Acompañamientos: [chimichurri, ensaladas frescas, pan rústico, salsas].</w:t>
      </w:r>
    </w:p>
    <w:p>
      <w:pPr>
        <w:pStyle w:val="ListBullet"/>
        <w:spacing w:after="80"/>
      </w:pPr>
      <w:r>
        <w:t>Limpieza y retirada del equipamiento al finalizar el servicio.</w:t>
      </w:r>
    </w:p>
    <w:p>
      <w:pPr>
        <w:pStyle w:val="ListBullet"/>
        <w:spacing w:after="80"/>
      </w:pPr>
      <w:r>
        <w:t>Vajilla, cubertería y cristalería: [INCLUIDA / NO INCLUIDA — opción a contratar aparte].</w:t>
      </w:r>
    </w:p>
    <w:p>
      <w:r>
        <w:rPr>
          <w:rFonts w:ascii="Inter" w:hAnsi="Inter"/>
          <w:b/>
          <w:color w:val="B08D57"/>
          <w:sz w:val="18"/>
        </w:rPr>
        <w:t>TERCERA · SERVICIOS NO INCLUIDOS</w:t>
      </w:r>
    </w:p>
    <w:p>
      <w:pPr>
        <w:pStyle w:val="ListBullet"/>
        <w:spacing w:after="80"/>
      </w:pPr>
      <w:r>
        <w:t>Mobiliario (mesas, sillas, mantelería) salvo pacto expreso adicional.</w:t>
      </w:r>
    </w:p>
    <w:p>
      <w:pPr>
        <w:pStyle w:val="ListBullet"/>
        <w:spacing w:after="80"/>
      </w:pPr>
      <w:r>
        <w:t>Servicio de camareros / barra de bebidas, salvo pacto expreso adicional.</w:t>
      </w:r>
    </w:p>
    <w:p>
      <w:pPr>
        <w:pStyle w:val="ListBullet"/>
        <w:spacing w:after="80"/>
      </w:pPr>
      <w:r>
        <w:t>Permisos administrativos del lugar del evento (responsabilidad del CLIENTE).</w:t>
      </w:r>
    </w:p>
    <w:p>
      <w:pPr>
        <w:pStyle w:val="ListBullet"/>
        <w:spacing w:after="80"/>
      </w:pPr>
      <w:r>
        <w:t>Generador eléctrico si la finca no dispone de fuente de electricidad propia.</w:t>
      </w:r>
    </w:p>
    <w:p>
      <w:r>
        <w:rPr>
          <w:rFonts w:ascii="Inter" w:hAnsi="Inter"/>
          <w:b/>
          <w:color w:val="B08D57"/>
          <w:sz w:val="18"/>
        </w:rPr>
        <w:t>CUARTA · PRECIO Y FORMA DE PAGO</w:t>
      </w:r>
    </w:p>
    <w:p>
      <w:pPr>
        <w:spacing w:after="160"/>
      </w:pPr>
      <w:r>
        <w:t>El precio total del servicio asciende a [IMPORTE €] euros, IVA 10 % incluido (catering). La forma de pago será la siguiente:</w:t>
      </w:r>
    </w:p>
    <w:p>
      <w:pPr>
        <w:pStyle w:val="ListBullet"/>
        <w:spacing w:after="80"/>
      </w:pPr>
      <w:r>
        <w:t>Reserva: 30 % en concepto de señal en el momento de la firma del contrato.</w:t>
      </w:r>
    </w:p>
    <w:p>
      <w:pPr>
        <w:pStyle w:val="ListBullet"/>
        <w:spacing w:after="80"/>
      </w:pPr>
      <w:r>
        <w:t>Pago intermedio: 40 % en los siete (7) días naturales previos al evento.</w:t>
      </w:r>
    </w:p>
    <w:p>
      <w:pPr>
        <w:pStyle w:val="ListBullet"/>
        <w:spacing w:after="80"/>
      </w:pPr>
      <w:r>
        <w:t>Pago final: 30 % en el plazo máximo de cuarenta y ocho (48) horas posteriores al evento.</w:t>
      </w:r>
    </w:p>
    <w:p>
      <w:pPr>
        <w:spacing w:after="160"/>
      </w:pPr>
      <w:r>
        <w:t>Todos los pagos se realizarán mediante transferencia bancaria a la cuenta ES[XX XXXX XXXX XXXX XXXX XXXX] indicada por el PARRILLERO. La factura se emitirá a nombre del CLIENTE en un plazo no superior a 15 días tras el evento.</w:t>
      </w:r>
    </w:p>
    <w:p>
      <w:r>
        <w:rPr>
          <w:rFonts w:ascii="Inter" w:hAnsi="Inter"/>
          <w:b/>
          <w:color w:val="B08D57"/>
          <w:sz w:val="18"/>
        </w:rPr>
        <w:t>QUINTA · CANCELACIONES</w:t>
      </w:r>
    </w:p>
    <w:p>
      <w:pPr>
        <w:spacing w:after="160"/>
      </w:pPr>
      <w:r>
        <w:t>En caso de cancelación por parte del CLIENTE:</w:t>
      </w:r>
    </w:p>
    <w:p>
      <w:pPr>
        <w:pStyle w:val="ListBullet"/>
        <w:spacing w:after="80"/>
      </w:pPr>
      <w:r>
        <w:t>Si la cancelación se produce con más de 60 días de antelación al evento: el PARRILLERO retendrá la señal del 30 % en concepto de gastos de gestión y pre-aprovisionamiento.</w:t>
      </w:r>
    </w:p>
    <w:p>
      <w:pPr>
        <w:pStyle w:val="ListBullet"/>
        <w:spacing w:after="80"/>
      </w:pPr>
      <w:r>
        <w:t>Entre 30 y 59 días de antelación: el CLIENTE deberá abonar el 50 % del precio total.</w:t>
      </w:r>
    </w:p>
    <w:p>
      <w:pPr>
        <w:pStyle w:val="ListBullet"/>
        <w:spacing w:after="80"/>
      </w:pPr>
      <w:r>
        <w:t>Entre 8 y 29 días de antelación: el CLIENTE deberá abonar el 75 % del precio total.</w:t>
      </w:r>
    </w:p>
    <w:p>
      <w:pPr>
        <w:pStyle w:val="ListBullet"/>
        <w:spacing w:after="80"/>
      </w:pPr>
      <w:r>
        <w:t>Con menos de 7 días de antelación: el CLIENTE deberá abonar el 100 % del precio total acordado.</w:t>
      </w:r>
    </w:p>
    <w:p>
      <w:pPr>
        <w:spacing w:after="160"/>
      </w:pPr>
      <w:r>
        <w:t>En caso de cancelación por parte del PARRILLERO por causa imputable a él, este reintegrará al CLIENTE íntegramente las cantidades abonadas más una compensación equivalente al 10 % del precio total acordado.</w:t>
      </w:r>
    </w:p>
    <w:p>
      <w:r>
        <w:rPr>
          <w:rFonts w:ascii="Inter" w:hAnsi="Inter"/>
          <w:b/>
          <w:color w:val="B08D57"/>
          <w:sz w:val="18"/>
        </w:rPr>
        <w:t>SEXTA · CAUSAS DE FUERZA MAYOR</w:t>
      </w:r>
    </w:p>
    <w:p>
      <w:pPr>
        <w:spacing w:after="160"/>
      </w:pPr>
      <w:r>
        <w:t>No serán imputables a ninguna de las partes las cancelaciones por fuerza mayor, entendiendo como tales: declaración oficial de emergencia sanitaria, fenómenos meteorológicos extremos que impidan el servicio (alerta naranja o roja oficial), prohibición administrativa de uso del fuego en la zona (plan INFOCA, decretos de sequía, alertas forestales), corte de suministros esenciales o cualquier otra causa imprevisible y ajena. En estos supuestos las partes acordarán de buena fe un cambio de fecha o, en su defecto, la devolución íntegra de las cantidades abonadas.</w:t>
      </w:r>
    </w:p>
    <w:p>
      <w:r>
        <w:rPr>
          <w:rFonts w:ascii="Inter" w:hAnsi="Inter"/>
          <w:b/>
          <w:color w:val="B08D57"/>
          <w:sz w:val="18"/>
        </w:rPr>
        <w:t>SÉPTIMA · RESPONSABILIDAD ALIMENTARIA Y ALERGIAS</w:t>
      </w:r>
    </w:p>
    <w:p>
      <w:pPr>
        <w:spacing w:after="160"/>
      </w:pPr>
      <w:r>
        <w:t>El CLIENTE se compromete a comunicar al PARRILLERO con un mínimo de siete (7) días de antelación cualquier alergia, intolerancia o restricción alimentaria de los invitados. El PARRILLERO cumple con la normativa europea sobre los catorce alérgenos obligatorios (Reglamento UE 1169/2011) y dispone de plan APPCC adaptado a actividad itinerante. La omisión por parte del CLIENTE de información alérgena exime al PARRILLERO de responsabilidad por reacciones derivadas.</w:t>
      </w:r>
    </w:p>
    <w:p>
      <w:r>
        <w:rPr>
          <w:rFonts w:ascii="Inter" w:hAnsi="Inter"/>
          <w:b/>
          <w:color w:val="B08D57"/>
          <w:sz w:val="18"/>
        </w:rPr>
        <w:t>OCTAVA · SEGURO DE RESPONSABILIDAD CIVIL</w:t>
      </w:r>
    </w:p>
    <w:p>
      <w:pPr>
        <w:spacing w:after="160"/>
      </w:pPr>
      <w:r>
        <w:t>El PARRILLERO declara disponer de seguro de responsabilidad civil profesional vigente con cobertura mínima de [300.000 / 600.000] € para el ejercicio de la actividad de parrilla y asado en eventos. A petición del CLIENTE le facilitará copia de la póliza.</w:t>
      </w:r>
    </w:p>
    <w:p>
      <w:r>
        <w:rPr>
          <w:rFonts w:ascii="Inter" w:hAnsi="Inter"/>
          <w:b/>
          <w:color w:val="B08D57"/>
          <w:sz w:val="18"/>
        </w:rPr>
        <w:t>NOVENA · DERECHOS DE IMAGEN</w:t>
      </w:r>
    </w:p>
    <w:p>
      <w:pPr>
        <w:spacing w:after="160"/>
      </w:pPr>
      <w:r>
        <w:t>El CLIENTE autoriza al PARRILLERO a tomar fotografías y vídeos del servicio (preparación, cocinado, presentación) durante el evento, sin captar primeros planos identificables de invitados, para uso comercial del PARRILLERO en su web, redes sociales y materiales de venta. El CLIENTE puede revocar esta autorización por escrito antes del evento.</w:t>
      </w:r>
    </w:p>
    <w:p>
      <w:r>
        <w:rPr>
          <w:rFonts w:ascii="Inter" w:hAnsi="Inter"/>
          <w:b/>
          <w:color w:val="B08D57"/>
          <w:sz w:val="18"/>
        </w:rPr>
        <w:t>DÉCIMA · PROTECCIÓN DE DATOS</w:t>
      </w:r>
    </w:p>
    <w:p>
      <w:pPr>
        <w:spacing w:after="160"/>
      </w:pPr>
      <w:r>
        <w:t>Los datos personales del CLIENTE serán tratados conforme al RGPD (Reglamento UE 2016/679) con la única finalidad de prestar el servicio contratado. Responsable del tratamiento: [Datos del PARRILLERO]. Derechos de acceso, rectificación, supresión, oposición y portabilidad ejercitables en [email].</w:t>
      </w:r>
    </w:p>
    <w:p>
      <w:r>
        <w:rPr>
          <w:rFonts w:ascii="Inter" w:hAnsi="Inter"/>
          <w:b/>
          <w:color w:val="B08D57"/>
          <w:sz w:val="18"/>
        </w:rPr>
        <w:t>UNDÉCIMA · JURISDICCIÓN</w:t>
      </w:r>
    </w:p>
    <w:p>
      <w:pPr>
        <w:spacing w:after="160"/>
      </w:pPr>
      <w:r>
        <w:t>Para la resolución de cualquier controversia derivada del presente contrato, las partes se someten a los Juzgados y Tribunales de [Ciudad correspondiente al domicilio del PARRILLERO].</w:t>
      </w:r>
    </w:p>
    <w:p>
      <w:r>
        <w:rPr>
          <w:rFonts w:ascii="Inter" w:hAnsi="Inter"/>
          <w:b/>
          <w:color w:val="1F1B16"/>
          <w:sz w:val="26"/>
        </w:rPr>
        <w:t>Firmas</w:t>
      </w:r>
    </w:p>
    <w:p>
      <w:pPr>
        <w:spacing w:after="160"/>
      </w:pPr>
      <w:r>
        <w:t>El PARRILLERO __________________________      El CLIENTE __________________________</w:t>
      </w:r>
    </w:p>
    <w:p>
      <w:pPr>
        <w:spacing w:after="160"/>
      </w:pPr>
      <w:r>
        <w:t>DNI/NIF: __________     Firma          DNI/NIE: __________      Firma</w:t>
      </w:r>
    </w:p>
    <w:p>
      <w:r>
        <w:br w:type="page"/>
      </w:r>
    </w:p>
    <w:p>
      <w:r>
        <w:rPr>
          <w:rFonts w:ascii="Playfair Display" w:hAnsi="Playfair Display"/>
          <w:b/>
          <w:color w:val="1F1B16"/>
          <w:sz w:val="36"/>
        </w:rPr>
        <w:t>Modelo 2 · Contrato profesional B2B</w:t>
      </w:r>
    </w:p>
    <w:p>
      <w:r>
        <w:rPr>
          <w:rFonts w:ascii="Inter" w:hAnsi="Inter"/>
          <w:b/>
          <w:color w:val="B08D57"/>
          <w:sz w:val="18"/>
        </w:rPr>
        <w:t>PARA WEDDING PLANNERS, AGENCIAS DE EVENTOS, HOTELES, RESTAURANTES Y EMPRESAS</w:t>
      </w:r>
    </w:p>
    <w:p>
      <w:pPr>
        <w:spacing w:after="160"/>
      </w:pPr>
      <w:r>
        <w:t>En [Ciudad], a [DD] de [Mes] de 20[ ].</w:t>
      </w:r>
    </w:p>
    <w:p>
      <w:r>
        <w:rPr>
          <w:rFonts w:ascii="Inter" w:hAnsi="Inter"/>
          <w:b/>
          <w:color w:val="1F1B16"/>
          <w:sz w:val="26"/>
        </w:rPr>
        <w:t>Reunidos</w:t>
      </w:r>
    </w:p>
    <w:p>
      <w:pPr>
        <w:spacing w:after="160"/>
      </w:pPr>
      <w:r>
        <w:t>DE UNA PARTE, [NOMBRE PARRILLERO O RAZÓN SOCIAL], con NIF/CIF [XXXXXXXXX], domicilio fiscal en [dirección completa], en adelante el «PARRILLERO» o el «PROVEEDOR».</w:t>
      </w:r>
    </w:p>
    <w:p>
      <w:pPr>
        <w:spacing w:after="160"/>
      </w:pPr>
      <w:r>
        <w:t>DE OTRA PARTE, [RAZÓN SOCIAL CLIENTE], con CIF [XXXXXXXXX], domicilio social en [dirección completa], representada en este acto por D./Dña. [REPRESENTANTE LEGAL] con DNI/NIE [XXXXXXXXX] en su calidad de [cargo], en adelante el «CLIENTE» o la «AGENCIA».</w:t>
      </w:r>
    </w:p>
    <w:p>
      <w:r>
        <w:rPr>
          <w:rFonts w:ascii="Inter" w:hAnsi="Inter"/>
          <w:b/>
          <w:color w:val="1F1B16"/>
          <w:sz w:val="26"/>
        </w:rPr>
        <w:t>Cláusulas</w:t>
      </w:r>
    </w:p>
    <w:p>
      <w:r>
        <w:rPr>
          <w:rFonts w:ascii="Inter" w:hAnsi="Inter"/>
          <w:b/>
          <w:color w:val="B08D57"/>
          <w:sz w:val="18"/>
        </w:rPr>
        <w:t>PRIMERA · OBJETO</w:t>
      </w:r>
    </w:p>
    <w:p>
      <w:pPr>
        <w:spacing w:after="160"/>
      </w:pPr>
      <w:r>
        <w:t>El PARRILLERO prestará al CLIENTE servicios profesionales de parrilla y asado en directo para los eventos que el CLIENTE le encargue durante la vigencia del presente contrato marco, conforme a los pedidos en firme individuales («Hojas de Pedido») que se incorporarán como anexos.</w:t>
      </w:r>
    </w:p>
    <w:p>
      <w:r>
        <w:rPr>
          <w:rFonts w:ascii="Inter" w:hAnsi="Inter"/>
          <w:b/>
          <w:color w:val="B08D57"/>
          <w:sz w:val="18"/>
        </w:rPr>
        <w:t>SEGUNDA · VIGENCIA Y EXCLUSIVIDAD</w:t>
      </w:r>
    </w:p>
    <w:p>
      <w:pPr>
        <w:spacing w:after="160"/>
      </w:pPr>
      <w:r>
        <w:t>El presente contrato entra en vigor el [DD/MM/AAAA] y permanecerá vigente durante un plazo de [12] meses, prorrogable tácitamente por períodos anuales salvo denuncia con preaviso de 30 días. El acuerdo no implica exclusividad para ninguna de las partes salvo pacto expreso en cláusula adicional.</w:t>
      </w:r>
    </w:p>
    <w:p>
      <w:r>
        <w:rPr>
          <w:rFonts w:ascii="Inter" w:hAnsi="Inter"/>
          <w:b/>
          <w:color w:val="B08D57"/>
          <w:sz w:val="18"/>
        </w:rPr>
        <w:t>TERCERA · PROCEDIMIENTO DE PEDIDO EN FIRME</w:t>
      </w:r>
    </w:p>
    <w:p>
      <w:pPr>
        <w:pStyle w:val="ListBullet"/>
        <w:spacing w:after="80"/>
      </w:pPr>
      <w:r>
        <w:t>El CLIENTE remitirá al PARRILLERO una solicitud con: fecha, ubicación, número de invitados, concepto, requerimientos especiales.</w:t>
      </w:r>
    </w:p>
    <w:p>
      <w:pPr>
        <w:pStyle w:val="ListBullet"/>
        <w:spacing w:after="80"/>
      </w:pPr>
      <w:r>
        <w:t>El PARRILLERO confirmará la disponibilidad y emitirá presupuesto en un plazo máximo de 48 horas hábiles.</w:t>
      </w:r>
    </w:p>
    <w:p>
      <w:pPr>
        <w:pStyle w:val="ListBullet"/>
        <w:spacing w:after="80"/>
      </w:pPr>
      <w:r>
        <w:t>El pedido en firme requiere aceptación expresa por escrito (email válido) por ambas partes.</w:t>
      </w:r>
    </w:p>
    <w:p>
      <w:pPr>
        <w:pStyle w:val="ListBullet"/>
        <w:spacing w:after="80"/>
      </w:pPr>
      <w:r>
        <w:t>Toda modificación de un pedido confirmado requiere nuevo acuerdo escrito.</w:t>
      </w:r>
    </w:p>
    <w:p>
      <w:r>
        <w:rPr>
          <w:rFonts w:ascii="Inter" w:hAnsi="Inter"/>
          <w:b/>
          <w:color w:val="B08D57"/>
          <w:sz w:val="18"/>
        </w:rPr>
        <w:t>CUARTA · TARIFAS Y CONDICIONES ECONÓMICAS B2B</w:t>
      </w:r>
    </w:p>
    <w:p>
      <w:pPr>
        <w:spacing w:after="160"/>
      </w:pPr>
      <w:r>
        <w:t>Las tarifas aplicables son las recogidas en el Anexo I (Tarifario), que podrá ser revisado anualmente con preaviso de 30 días. El CLIENTE se beneficia de las siguientes condiciones B2B:</w:t>
      </w:r>
    </w:p>
    <w:p>
      <w:pPr>
        <w:pStyle w:val="ListBullet"/>
        <w:spacing w:after="80"/>
      </w:pPr>
      <w:r>
        <w:t>Descuento profesional: [10 %] sobre tarifa pública para wedding planners y agencias acreditadas.</w:t>
      </w:r>
    </w:p>
    <w:p>
      <w:pPr>
        <w:pStyle w:val="ListBullet"/>
        <w:spacing w:after="80"/>
      </w:pPr>
      <w:r>
        <w:t>Forma de pago: 30 % a la confirmación del pedido, 70 % a 30 días desde la emisión de factura.</w:t>
      </w:r>
    </w:p>
    <w:p>
      <w:pPr>
        <w:pStyle w:val="ListBullet"/>
        <w:spacing w:after="80"/>
      </w:pPr>
      <w:r>
        <w:t>Retención IRPF aplicable: [7 % primer año, 15 % en adelante] según normativa vigente para autónomos.</w:t>
      </w:r>
    </w:p>
    <w:p>
      <w:pPr>
        <w:pStyle w:val="ListBullet"/>
        <w:spacing w:after="80"/>
      </w:pPr>
      <w:r>
        <w:t>IVA 10 % catering / hostelería.</w:t>
      </w:r>
    </w:p>
    <w:p>
      <w:r>
        <w:rPr>
          <w:rFonts w:ascii="Inter" w:hAnsi="Inter"/>
          <w:b/>
          <w:color w:val="B08D57"/>
          <w:sz w:val="18"/>
        </w:rPr>
        <w:t>QUINTA · CANCELACIONES B2B</w:t>
      </w:r>
    </w:p>
    <w:p>
      <w:pPr>
        <w:spacing w:after="160"/>
      </w:pPr>
      <w:r>
        <w:t>Por su carácter profesional, las cancelaciones se rigen por estos porcentajes calculados sobre el precio del pedido confirmado:</w:t>
      </w:r>
    </w:p>
    <w:p>
      <w:pPr>
        <w:pStyle w:val="ListBullet"/>
        <w:spacing w:after="80"/>
      </w:pPr>
      <w:r>
        <w:t>Cancelación con más de 30 días de antelación: 20 % del precio del pedido.</w:t>
      </w:r>
    </w:p>
    <w:p>
      <w:pPr>
        <w:pStyle w:val="ListBullet"/>
        <w:spacing w:after="80"/>
      </w:pPr>
      <w:r>
        <w:t>Cancelación entre 15-29 días: 50 %.</w:t>
      </w:r>
    </w:p>
    <w:p>
      <w:pPr>
        <w:pStyle w:val="ListBullet"/>
        <w:spacing w:after="80"/>
      </w:pPr>
      <w:r>
        <w:t>Cancelación entre 8-14 días: 75 %.</w:t>
      </w:r>
    </w:p>
    <w:p>
      <w:pPr>
        <w:pStyle w:val="ListBullet"/>
        <w:spacing w:after="80"/>
      </w:pPr>
      <w:r>
        <w:t>Cancelación con menos de 7 días o no presentación: 100 %.</w:t>
      </w:r>
    </w:p>
    <w:p>
      <w:r>
        <w:rPr>
          <w:rFonts w:ascii="Inter" w:hAnsi="Inter"/>
          <w:b/>
          <w:color w:val="B08D57"/>
          <w:sz w:val="18"/>
        </w:rPr>
        <w:t>SEXTA · ESTÁNDARES OPERATIVOS Y SLA</w:t>
      </w:r>
    </w:p>
    <w:p>
      <w:pPr>
        <w:pStyle w:val="ListBullet"/>
        <w:spacing w:after="80"/>
      </w:pPr>
      <w:r>
        <w:t>El PARRILLERO se comprometerá a llegar al lugar del evento con al menos 120 minutos de antelación al inicio del servicio.</w:t>
      </w:r>
    </w:p>
    <w:p>
      <w:pPr>
        <w:pStyle w:val="ListBullet"/>
        <w:spacing w:after="80"/>
      </w:pPr>
      <w:r>
        <w:t>Indumentaria profesional homogénea para todo el equipo (uniforme provisional acordado con la marca del CLIENTE si aplica).</w:t>
      </w:r>
    </w:p>
    <w:p>
      <w:pPr>
        <w:pStyle w:val="ListBullet"/>
        <w:spacing w:after="80"/>
      </w:pPr>
      <w:r>
        <w:t>Cumplimiento estricto de plan APPCC, registro de temperaturas y trazabilidad de productos.</w:t>
      </w:r>
    </w:p>
    <w:p>
      <w:pPr>
        <w:pStyle w:val="ListBullet"/>
        <w:spacing w:after="80"/>
      </w:pPr>
      <w:r>
        <w:t>Respeto a los protocolos del venue (ruido, residuos, horarios) y coordinación con el wedding/event planner asignado.</w:t>
      </w:r>
    </w:p>
    <w:p>
      <w:pPr>
        <w:pStyle w:val="ListBullet"/>
        <w:spacing w:after="80"/>
      </w:pPr>
      <w:r>
        <w:t>Reporte post-evento por escrito en un plazo de 72 horas con: incidencias, kilos servidos, mermas, sugerencias.</w:t>
      </w:r>
    </w:p>
    <w:p>
      <w:r>
        <w:rPr>
          <w:rFonts w:ascii="Inter" w:hAnsi="Inter"/>
          <w:b/>
          <w:color w:val="B08D57"/>
          <w:sz w:val="18"/>
        </w:rPr>
        <w:t>SÉPTIMA · RESPONSABILIDAD CIVIL Y SEGUROS B2B</w:t>
      </w:r>
    </w:p>
    <w:p>
      <w:pPr>
        <w:spacing w:after="160"/>
      </w:pPr>
      <w:r>
        <w:t>El PARRILLERO declara disponer de póliza de RC profesional con cobertura mínima de [600.000] € por siniestro. A petición del CLIENTE entregará copia certificada anualmente. Adicionalmente, asumirá responsabilidad directa por daños imputables a su personal o equipamiento, salvo fuerza mayor. El CLIENTE asumirá la gestión y obtención de los permisos administrativos del lugar del evento (autorizaciones de fuego, cesión de espacios, etc.).</w:t>
      </w:r>
    </w:p>
    <w:p>
      <w:r>
        <w:rPr>
          <w:rFonts w:ascii="Inter" w:hAnsi="Inter"/>
          <w:b/>
          <w:color w:val="B08D57"/>
          <w:sz w:val="18"/>
        </w:rPr>
        <w:t>OCTAVA · CONFIDENCIALIDAD</w:t>
      </w:r>
    </w:p>
    <w:p>
      <w:pPr>
        <w:spacing w:after="160"/>
      </w:pPr>
      <w:r>
        <w:t>Ambas partes se comprometen a tratar como confidencial cualquier información comercial, financiera, de clientes finales o estratégica obtenida en virtud de este contrato. La obligación de confidencialidad subsistirá durante 3 años tras la finalización del contrato.</w:t>
      </w:r>
    </w:p>
    <w:p>
      <w:r>
        <w:rPr>
          <w:rFonts w:ascii="Inter" w:hAnsi="Inter"/>
          <w:b/>
          <w:color w:val="B08D57"/>
          <w:sz w:val="18"/>
        </w:rPr>
        <w:t>NOVENA · NO SOLICITACIÓN DE CLIENTES FINALES</w:t>
      </w:r>
    </w:p>
    <w:p>
      <w:pPr>
        <w:spacing w:after="160"/>
      </w:pPr>
      <w:r>
        <w:t>El PARRILLERO se compromete a no contactar directamente con clientes finales del CLIENTE (novios, empresas, particulares) presentados en el marco de este contrato, durante un plazo de doce (12) meses tras la celebración del evento, salvo autorización expresa por escrito del CLIENTE.</w:t>
      </w:r>
    </w:p>
    <w:p>
      <w:r>
        <w:rPr>
          <w:rFonts w:ascii="Inter" w:hAnsi="Inter"/>
          <w:b/>
          <w:color w:val="B08D57"/>
          <w:sz w:val="18"/>
        </w:rPr>
        <w:t>DÉCIMA · IMAGEN, FOTOGRAFÍA Y MATERIALES DE PRENSA</w:t>
      </w:r>
    </w:p>
    <w:p>
      <w:pPr>
        <w:spacing w:after="160"/>
      </w:pPr>
      <w:r>
        <w:t>El PARRILLERO podrá utilizar fotografías y vídeos del servicio prestado para sus materiales comerciales, siempre y cuando: (i) no se identifique al cliente final sin su consentimiento expreso, (ii) se mencione la colaboración con el CLIENTE si así se ha pactado, y (iii) se respeten los plazos de embargo de prensa indicados por el CLIENTE.</w:t>
      </w:r>
    </w:p>
    <w:p>
      <w:r>
        <w:rPr>
          <w:rFonts w:ascii="Inter" w:hAnsi="Inter"/>
          <w:b/>
          <w:color w:val="B08D57"/>
          <w:sz w:val="18"/>
        </w:rPr>
        <w:t>UNDÉCIMA · RESOLUCIÓN Y JURISDICCIÓN</w:t>
      </w:r>
    </w:p>
    <w:p>
      <w:pPr>
        <w:spacing w:after="160"/>
      </w:pPr>
      <w:r>
        <w:t>Cualquier controversia derivada del presente contrato será sometida preferentemente a mediación profesional. En caso de no alcanzarse acuerdo, las partes se someten a los Juzgados y Tribunales de [Ciudad correspondiente].</w:t>
      </w:r>
    </w:p>
    <w:p>
      <w:r>
        <w:rPr>
          <w:rFonts w:ascii="Inter" w:hAnsi="Inter"/>
          <w:b/>
          <w:color w:val="1F1B16"/>
          <w:sz w:val="26"/>
        </w:rPr>
        <w:t>Anexo I · Tarifario base B2B 2026</w:t>
      </w:r>
    </w:p>
    <w:tbl>
      <w:tblPr>
        <w:tblStyle w:val="LightGrid-Accent1"/>
        <w:tblW w:type="auto" w:w="0"/>
        <w:tblLayout w:type="autofit"/>
        <w:tblLook w:firstColumn="1" w:firstRow="1" w:lastColumn="0" w:lastRow="0" w:noHBand="0" w:noVBand="1" w:val="04A0"/>
      </w:tblPr>
      <w:tblGrid>
        <w:gridCol w:w="1624"/>
        <w:gridCol w:w="1624"/>
        <w:gridCol w:w="1624"/>
        <w:gridCol w:w="1624"/>
        <w:gridCol w:w="1624"/>
        <w:gridCol w:w="1624"/>
      </w:tblGrid>
      <w:tr>
        <w:tc>
          <w:tcPr>
            <w:tcW w:type="dxa" w:w="2551"/>
            <w:shd w:val="clear" w:color="auto" w:fill="1F1B16"/>
            <w:vAlign w:val="center"/>
          </w:tcPr>
          <w:p>
            <w:r/>
            <w:r>
              <w:rPr>
                <w:b/>
                <w:color w:val="FFFFFF"/>
                <w:sz w:val="20"/>
              </w:rPr>
              <w:t>Categoría servicio</w:t>
            </w:r>
          </w:p>
        </w:tc>
        <w:tc>
          <w:tcPr>
            <w:tcW w:type="dxa" w:w="1247"/>
            <w:shd w:val="clear" w:color="auto" w:fill="1F1B16"/>
            <w:vAlign w:val="center"/>
          </w:tcPr>
          <w:p>
            <w:r/>
            <w:r>
              <w:rPr>
                <w:b/>
                <w:color w:val="FFFFFF"/>
                <w:sz w:val="20"/>
              </w:rPr>
              <w:t>€/pax bajo</w:t>
            </w:r>
          </w:p>
        </w:tc>
        <w:tc>
          <w:tcPr>
            <w:tcW w:type="dxa" w:w="1247"/>
            <w:shd w:val="clear" w:color="auto" w:fill="1F1B16"/>
            <w:vAlign w:val="center"/>
          </w:tcPr>
          <w:p>
            <w:r/>
            <w:r>
              <w:rPr>
                <w:b/>
                <w:color w:val="FFFFFF"/>
                <w:sz w:val="20"/>
              </w:rPr>
              <w:t>€/pax medio</w:t>
            </w:r>
          </w:p>
        </w:tc>
        <w:tc>
          <w:tcPr>
            <w:tcW w:type="dxa" w:w="1417"/>
            <w:shd w:val="clear" w:color="auto" w:fill="1F1B16"/>
            <w:vAlign w:val="center"/>
          </w:tcPr>
          <w:p>
            <w:r/>
            <w:r>
              <w:rPr>
                <w:b/>
                <w:color w:val="FFFFFF"/>
                <w:sz w:val="20"/>
              </w:rPr>
              <w:t>€/pax premium</w:t>
            </w:r>
          </w:p>
        </w:tc>
        <w:tc>
          <w:tcPr>
            <w:tcW w:type="dxa" w:w="1417"/>
            <w:shd w:val="clear" w:color="auto" w:fill="1F1B16"/>
            <w:vAlign w:val="center"/>
          </w:tcPr>
          <w:p>
            <w:r/>
            <w:r>
              <w:rPr>
                <w:b/>
                <w:color w:val="FFFFFF"/>
                <w:sz w:val="20"/>
              </w:rPr>
              <w:t>Mín. invitados</w:t>
            </w:r>
          </w:p>
        </w:tc>
        <w:tc>
          <w:tcPr>
            <w:tcW w:type="dxa" w:w="1701"/>
            <w:shd w:val="clear" w:color="auto" w:fill="1F1B16"/>
            <w:vAlign w:val="center"/>
          </w:tcPr>
          <w:p>
            <w:r/>
            <w:r>
              <w:rPr>
                <w:b/>
                <w:color w:val="FFFFFF"/>
                <w:sz w:val="20"/>
              </w:rPr>
              <w:t>Fee desplazamiento (€)</w:t>
            </w:r>
          </w:p>
        </w:tc>
      </w:tr>
      <w:tr>
        <w:tc>
          <w:tcPr>
            <w:tcW w:type="dxa" w:w="2551"/>
            <w:shd w:val="clear" w:color="auto" w:fill="FFFFFF"/>
            <w:vAlign w:val="center"/>
          </w:tcPr>
          <w:p>
            <w:r/>
            <w:r>
              <w:rPr>
                <w:color w:val="1F1B16"/>
                <w:sz w:val="20"/>
              </w:rPr>
              <w:t>Boda planner B2B</w:t>
            </w:r>
          </w:p>
        </w:tc>
        <w:tc>
          <w:tcPr>
            <w:tcW w:type="dxa" w:w="1247"/>
            <w:shd w:val="clear" w:color="auto" w:fill="FFFFFF"/>
            <w:vAlign w:val="center"/>
          </w:tcPr>
          <w:p>
            <w:r/>
            <w:r>
              <w:rPr>
                <w:color w:val="1F1B16"/>
                <w:sz w:val="20"/>
              </w:rPr>
              <w:t>60</w:t>
            </w:r>
          </w:p>
        </w:tc>
        <w:tc>
          <w:tcPr>
            <w:tcW w:type="dxa" w:w="1247"/>
            <w:shd w:val="clear" w:color="auto" w:fill="FFFFFF"/>
            <w:vAlign w:val="center"/>
          </w:tcPr>
          <w:p>
            <w:r/>
            <w:r>
              <w:rPr>
                <w:color w:val="1F1B16"/>
                <w:sz w:val="20"/>
              </w:rPr>
              <w:t>90</w:t>
            </w:r>
          </w:p>
        </w:tc>
        <w:tc>
          <w:tcPr>
            <w:tcW w:type="dxa" w:w="1417"/>
            <w:shd w:val="clear" w:color="auto" w:fill="FFFFFF"/>
            <w:vAlign w:val="center"/>
          </w:tcPr>
          <w:p>
            <w:r/>
            <w:r>
              <w:rPr>
                <w:color w:val="1F1B16"/>
                <w:sz w:val="20"/>
              </w:rPr>
              <w:t>130</w:t>
            </w:r>
          </w:p>
        </w:tc>
        <w:tc>
          <w:tcPr>
            <w:tcW w:type="dxa" w:w="1417"/>
            <w:shd w:val="clear" w:color="auto" w:fill="FFFFFF"/>
            <w:vAlign w:val="center"/>
          </w:tcPr>
          <w:p>
            <w:r/>
            <w:r>
              <w:rPr>
                <w:color w:val="1F1B16"/>
                <w:sz w:val="20"/>
              </w:rPr>
              <w:t>30</w:t>
            </w:r>
          </w:p>
        </w:tc>
        <w:tc>
          <w:tcPr>
            <w:tcW w:type="dxa" w:w="1701"/>
            <w:shd w:val="clear" w:color="auto" w:fill="FFFFFF"/>
            <w:vAlign w:val="center"/>
          </w:tcPr>
          <w:p>
            <w:r/>
            <w:r>
              <w:rPr>
                <w:color w:val="1F1B16"/>
                <w:sz w:val="20"/>
              </w:rPr>
              <w:t>250</w:t>
            </w:r>
          </w:p>
        </w:tc>
      </w:tr>
      <w:tr>
        <w:tc>
          <w:tcPr>
            <w:tcW w:type="dxa" w:w="2551"/>
            <w:shd w:val="clear" w:color="auto" w:fill="F5EFE6"/>
            <w:vAlign w:val="center"/>
          </w:tcPr>
          <w:p>
            <w:r/>
            <w:r>
              <w:rPr>
                <w:color w:val="1F1B16"/>
                <w:sz w:val="20"/>
              </w:rPr>
              <w:t>Hotel evento privado</w:t>
            </w:r>
          </w:p>
        </w:tc>
        <w:tc>
          <w:tcPr>
            <w:tcW w:type="dxa" w:w="1247"/>
            <w:shd w:val="clear" w:color="auto" w:fill="F5EFE6"/>
            <w:vAlign w:val="center"/>
          </w:tcPr>
          <w:p>
            <w:r/>
            <w:r>
              <w:rPr>
                <w:color w:val="1F1B16"/>
                <w:sz w:val="20"/>
              </w:rPr>
              <w:t>65</w:t>
            </w:r>
          </w:p>
        </w:tc>
        <w:tc>
          <w:tcPr>
            <w:tcW w:type="dxa" w:w="1247"/>
            <w:shd w:val="clear" w:color="auto" w:fill="F5EFE6"/>
            <w:vAlign w:val="center"/>
          </w:tcPr>
          <w:p>
            <w:r/>
            <w:r>
              <w:rPr>
                <w:color w:val="1F1B16"/>
                <w:sz w:val="20"/>
              </w:rPr>
              <w:t>95</w:t>
            </w:r>
          </w:p>
        </w:tc>
        <w:tc>
          <w:tcPr>
            <w:tcW w:type="dxa" w:w="1417"/>
            <w:shd w:val="clear" w:color="auto" w:fill="F5EFE6"/>
            <w:vAlign w:val="center"/>
          </w:tcPr>
          <w:p>
            <w:r/>
            <w:r>
              <w:rPr>
                <w:color w:val="1F1B16"/>
                <w:sz w:val="20"/>
              </w:rPr>
              <w:t>150</w:t>
            </w:r>
          </w:p>
        </w:tc>
        <w:tc>
          <w:tcPr>
            <w:tcW w:type="dxa" w:w="1417"/>
            <w:shd w:val="clear" w:color="auto" w:fill="F5EFE6"/>
            <w:vAlign w:val="center"/>
          </w:tcPr>
          <w:p>
            <w:r/>
            <w:r>
              <w:rPr>
                <w:color w:val="1F1B16"/>
                <w:sz w:val="20"/>
              </w:rPr>
              <w:t>40</w:t>
            </w:r>
          </w:p>
        </w:tc>
        <w:tc>
          <w:tcPr>
            <w:tcW w:type="dxa" w:w="1701"/>
            <w:shd w:val="clear" w:color="auto" w:fill="F5EFE6"/>
            <w:vAlign w:val="center"/>
          </w:tcPr>
          <w:p>
            <w:r/>
            <w:r>
              <w:rPr>
                <w:color w:val="1F1B16"/>
                <w:sz w:val="20"/>
              </w:rPr>
              <w:t>200</w:t>
            </w:r>
          </w:p>
        </w:tc>
      </w:tr>
      <w:tr>
        <w:tc>
          <w:tcPr>
            <w:tcW w:type="dxa" w:w="2551"/>
            <w:shd w:val="clear" w:color="auto" w:fill="FFFFFF"/>
            <w:vAlign w:val="center"/>
          </w:tcPr>
          <w:p>
            <w:r/>
            <w:r>
              <w:rPr>
                <w:color w:val="1F1B16"/>
                <w:sz w:val="20"/>
              </w:rPr>
              <w:t>Empresa team building</w:t>
            </w:r>
          </w:p>
        </w:tc>
        <w:tc>
          <w:tcPr>
            <w:tcW w:type="dxa" w:w="1247"/>
            <w:shd w:val="clear" w:color="auto" w:fill="FFFFFF"/>
            <w:vAlign w:val="center"/>
          </w:tcPr>
          <w:p>
            <w:r/>
            <w:r>
              <w:rPr>
                <w:color w:val="1F1B16"/>
                <w:sz w:val="20"/>
              </w:rPr>
              <w:t>45</w:t>
            </w:r>
          </w:p>
        </w:tc>
        <w:tc>
          <w:tcPr>
            <w:tcW w:type="dxa" w:w="1247"/>
            <w:shd w:val="clear" w:color="auto" w:fill="FFFFFF"/>
            <w:vAlign w:val="center"/>
          </w:tcPr>
          <w:p>
            <w:r/>
            <w:r>
              <w:rPr>
                <w:color w:val="1F1B16"/>
                <w:sz w:val="20"/>
              </w:rPr>
              <w:t>65</w:t>
            </w:r>
          </w:p>
        </w:tc>
        <w:tc>
          <w:tcPr>
            <w:tcW w:type="dxa" w:w="1417"/>
            <w:shd w:val="clear" w:color="auto" w:fill="FFFFFF"/>
            <w:vAlign w:val="center"/>
          </w:tcPr>
          <w:p>
            <w:r/>
            <w:r>
              <w:rPr>
                <w:color w:val="1F1B16"/>
                <w:sz w:val="20"/>
              </w:rPr>
              <w:t>90</w:t>
            </w:r>
          </w:p>
        </w:tc>
        <w:tc>
          <w:tcPr>
            <w:tcW w:type="dxa" w:w="1417"/>
            <w:shd w:val="clear" w:color="auto" w:fill="FFFFFF"/>
            <w:vAlign w:val="center"/>
          </w:tcPr>
          <w:p>
            <w:r/>
            <w:r>
              <w:rPr>
                <w:color w:val="1F1B16"/>
                <w:sz w:val="20"/>
              </w:rPr>
              <w:t>50</w:t>
            </w:r>
          </w:p>
        </w:tc>
        <w:tc>
          <w:tcPr>
            <w:tcW w:type="dxa" w:w="1701"/>
            <w:shd w:val="clear" w:color="auto" w:fill="FFFFFF"/>
            <w:vAlign w:val="center"/>
          </w:tcPr>
          <w:p>
            <w:r/>
            <w:r>
              <w:rPr>
                <w:color w:val="1F1B16"/>
                <w:sz w:val="20"/>
              </w:rPr>
              <w:t>350</w:t>
            </w:r>
          </w:p>
        </w:tc>
      </w:tr>
      <w:tr>
        <w:tc>
          <w:tcPr>
            <w:tcW w:type="dxa" w:w="2551"/>
            <w:shd w:val="clear" w:color="auto" w:fill="F5EFE6"/>
            <w:vAlign w:val="center"/>
          </w:tcPr>
          <w:p>
            <w:r/>
            <w:r>
              <w:rPr>
                <w:color w:val="1F1B16"/>
                <w:sz w:val="20"/>
              </w:rPr>
              <w:t>Cena empresa Navidad</w:t>
            </w:r>
          </w:p>
        </w:tc>
        <w:tc>
          <w:tcPr>
            <w:tcW w:type="dxa" w:w="1247"/>
            <w:shd w:val="clear" w:color="auto" w:fill="F5EFE6"/>
            <w:vAlign w:val="center"/>
          </w:tcPr>
          <w:p>
            <w:r/>
            <w:r>
              <w:rPr>
                <w:color w:val="1F1B16"/>
                <w:sz w:val="20"/>
              </w:rPr>
              <w:t>50</w:t>
            </w:r>
          </w:p>
        </w:tc>
        <w:tc>
          <w:tcPr>
            <w:tcW w:type="dxa" w:w="1247"/>
            <w:shd w:val="clear" w:color="auto" w:fill="F5EFE6"/>
            <w:vAlign w:val="center"/>
          </w:tcPr>
          <w:p>
            <w:r/>
            <w:r>
              <w:rPr>
                <w:color w:val="1F1B16"/>
                <w:sz w:val="20"/>
              </w:rPr>
              <w:t>75</w:t>
            </w:r>
          </w:p>
        </w:tc>
        <w:tc>
          <w:tcPr>
            <w:tcW w:type="dxa" w:w="1417"/>
            <w:shd w:val="clear" w:color="auto" w:fill="F5EFE6"/>
            <w:vAlign w:val="center"/>
          </w:tcPr>
          <w:p>
            <w:r/>
            <w:r>
              <w:rPr>
                <w:color w:val="1F1B16"/>
                <w:sz w:val="20"/>
              </w:rPr>
              <w:t>110</w:t>
            </w:r>
          </w:p>
        </w:tc>
        <w:tc>
          <w:tcPr>
            <w:tcW w:type="dxa" w:w="1417"/>
            <w:shd w:val="clear" w:color="auto" w:fill="F5EFE6"/>
            <w:vAlign w:val="center"/>
          </w:tcPr>
          <w:p>
            <w:r/>
            <w:r>
              <w:rPr>
                <w:color w:val="1F1B16"/>
                <w:sz w:val="20"/>
              </w:rPr>
              <w:t>30</w:t>
            </w:r>
          </w:p>
        </w:tc>
        <w:tc>
          <w:tcPr>
            <w:tcW w:type="dxa" w:w="1701"/>
            <w:shd w:val="clear" w:color="auto" w:fill="F5EFE6"/>
            <w:vAlign w:val="center"/>
          </w:tcPr>
          <w:p>
            <w:r/>
            <w:r>
              <w:rPr>
                <w:color w:val="1F1B16"/>
                <w:sz w:val="20"/>
              </w:rPr>
              <w:t>250</w:t>
            </w:r>
          </w:p>
        </w:tc>
      </w:tr>
      <w:tr>
        <w:tc>
          <w:tcPr>
            <w:tcW w:type="dxa" w:w="2551"/>
            <w:shd w:val="clear" w:color="auto" w:fill="FFFFFF"/>
            <w:vAlign w:val="center"/>
          </w:tcPr>
          <w:p>
            <w:r/>
            <w:r>
              <w:rPr>
                <w:color w:val="1F1B16"/>
                <w:sz w:val="20"/>
              </w:rPr>
              <w:t>Show cooking restaurante</w:t>
            </w:r>
          </w:p>
        </w:tc>
        <w:tc>
          <w:tcPr>
            <w:tcW w:type="dxa" w:w="1247"/>
            <w:shd w:val="clear" w:color="auto" w:fill="FFFFFF"/>
            <w:vAlign w:val="center"/>
          </w:tcPr>
          <w:p>
            <w:r/>
            <w:r>
              <w:rPr>
                <w:color w:val="1F1B16"/>
                <w:sz w:val="20"/>
              </w:rPr>
              <w:t>fee/jornada 600</w:t>
            </w:r>
          </w:p>
        </w:tc>
        <w:tc>
          <w:tcPr>
            <w:tcW w:type="dxa" w:w="1247"/>
            <w:shd w:val="clear" w:color="auto" w:fill="FFFFFF"/>
            <w:vAlign w:val="center"/>
          </w:tcPr>
          <w:p>
            <w:r/>
            <w:r>
              <w:rPr>
                <w:color w:val="1F1B16"/>
                <w:sz w:val="20"/>
              </w:rPr>
              <w:t>850</w:t>
            </w:r>
          </w:p>
        </w:tc>
        <w:tc>
          <w:tcPr>
            <w:tcW w:type="dxa" w:w="1417"/>
            <w:shd w:val="clear" w:color="auto" w:fill="FFFFFF"/>
            <w:vAlign w:val="center"/>
          </w:tcPr>
          <w:p>
            <w:r/>
            <w:r>
              <w:rPr>
                <w:color w:val="1F1B16"/>
                <w:sz w:val="20"/>
              </w:rPr>
              <w:t>1.200</w:t>
            </w:r>
          </w:p>
        </w:tc>
        <w:tc>
          <w:tcPr>
            <w:tcW w:type="dxa" w:w="1417"/>
            <w:shd w:val="clear" w:color="auto" w:fill="FFFFFF"/>
            <w:vAlign w:val="center"/>
          </w:tcPr>
          <w:p>
            <w:r/>
            <w:r>
              <w:rPr>
                <w:color w:val="1F1B16"/>
                <w:sz w:val="20"/>
              </w:rPr>
              <w:t>—</w:t>
            </w:r>
          </w:p>
        </w:tc>
        <w:tc>
          <w:tcPr>
            <w:tcW w:type="dxa" w:w="1701"/>
            <w:shd w:val="clear" w:color="auto" w:fill="FFFFFF"/>
            <w:vAlign w:val="center"/>
          </w:tcPr>
          <w:p>
            <w:r/>
            <w:r>
              <w:rPr>
                <w:color w:val="1F1B16"/>
                <w:sz w:val="20"/>
              </w:rPr>
              <w:t>200</w:t>
            </w:r>
          </w:p>
        </w:tc>
      </w:tr>
      <w:tr>
        <w:tc>
          <w:tcPr>
            <w:tcW w:type="dxa" w:w="2551"/>
            <w:shd w:val="clear" w:color="auto" w:fill="F5EFE6"/>
            <w:vAlign w:val="center"/>
          </w:tcPr>
          <w:p>
            <w:r/>
            <w:r>
              <w:rPr>
                <w:color w:val="1F1B16"/>
                <w:sz w:val="20"/>
              </w:rPr>
              <w:t>Performance exclusivo</w:t>
            </w:r>
          </w:p>
        </w:tc>
        <w:tc>
          <w:tcPr>
            <w:tcW w:type="dxa" w:w="1247"/>
            <w:shd w:val="clear" w:color="auto" w:fill="F5EFE6"/>
            <w:vAlign w:val="center"/>
          </w:tcPr>
          <w:p>
            <w:r/>
            <w:r>
              <w:rPr>
                <w:color w:val="1F1B16"/>
                <w:sz w:val="20"/>
              </w:rPr>
              <w:t>90</w:t>
            </w:r>
          </w:p>
        </w:tc>
        <w:tc>
          <w:tcPr>
            <w:tcW w:type="dxa" w:w="1247"/>
            <w:shd w:val="clear" w:color="auto" w:fill="F5EFE6"/>
            <w:vAlign w:val="center"/>
          </w:tcPr>
          <w:p>
            <w:r/>
            <w:r>
              <w:rPr>
                <w:color w:val="1F1B16"/>
                <w:sz w:val="20"/>
              </w:rPr>
              <w:t>130</w:t>
            </w:r>
          </w:p>
        </w:tc>
        <w:tc>
          <w:tcPr>
            <w:tcW w:type="dxa" w:w="1417"/>
            <w:shd w:val="clear" w:color="auto" w:fill="F5EFE6"/>
            <w:vAlign w:val="center"/>
          </w:tcPr>
          <w:p>
            <w:r/>
            <w:r>
              <w:rPr>
                <w:color w:val="1F1B16"/>
                <w:sz w:val="20"/>
              </w:rPr>
              <w:t>180</w:t>
            </w:r>
          </w:p>
        </w:tc>
        <w:tc>
          <w:tcPr>
            <w:tcW w:type="dxa" w:w="1417"/>
            <w:shd w:val="clear" w:color="auto" w:fill="F5EFE6"/>
            <w:vAlign w:val="center"/>
          </w:tcPr>
          <w:p>
            <w:r/>
            <w:r>
              <w:rPr>
                <w:color w:val="1F1B16"/>
                <w:sz w:val="20"/>
              </w:rPr>
              <w:t>30</w:t>
            </w:r>
          </w:p>
        </w:tc>
        <w:tc>
          <w:tcPr>
            <w:tcW w:type="dxa" w:w="1701"/>
            <w:shd w:val="clear" w:color="auto" w:fill="F5EFE6"/>
            <w:vAlign w:val="center"/>
          </w:tcPr>
          <w:p>
            <w:r/>
            <w:r>
              <w:rPr>
                <w:color w:val="1F1B16"/>
                <w:sz w:val="20"/>
              </w:rPr>
              <w:t>400</w:t>
            </w:r>
          </w:p>
        </w:tc>
      </w:tr>
    </w:tbl>
    <w:p>
      <w:r>
        <w:rPr>
          <w:rFonts w:ascii="Inter" w:hAnsi="Inter"/>
          <w:b/>
          <w:color w:val="1F1B16"/>
          <w:sz w:val="26"/>
        </w:rPr>
        <w:t>Firmas</w:t>
      </w:r>
    </w:p>
    <w:p>
      <w:pPr>
        <w:spacing w:after="160"/>
      </w:pPr>
      <w:r>
        <w:t>Por el PARRILLERO __________________________      Por la AGENCIA __________________________</w:t>
      </w:r>
    </w:p>
    <w:p>
      <w:pPr>
        <w:spacing w:after="160"/>
      </w:pPr>
      <w:r>
        <w:t>Cargo y firma                                Cargo y firma</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1B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