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Situaciones Resueltas en Cocina</w:t>
      </w:r>
    </w:p>
    <w:p>
      <w:r>
        <w:rPr>
          <w:b/>
          <w:i w:val="0"/>
        </w:rPr>
        <w:t>Bonus del pack «Manual del Chef Ejecutivo» · con los datos de las siete herramientas Excel</w:t>
      </w:r>
    </w:p>
    <w:p>
      <w:pPr>
        <w:jc w:val="center"/>
      </w:pPr>
      <w:r>
        <w:rPr>
          <w:i/>
          <w:color w:val="444444"/>
        </w:rPr>
        <w:t>John Guerrero · AI Chef Pro · aichef.pro</w:t>
      </w:r>
    </w:p>
    <w:p>
      <w:r>
        <w:rPr>
          <w:b w:val="0"/>
          <w:i w:val="0"/>
        </w:rPr>
        <w:t>Doce situaciones que le pasan a cualquier chef: una alergia que llega con el plato montado, la cámara que se cae un domingo por la noche, un banquete de ciento veinte personas, un corte con la cortadora, un pase que se descontrola un viernes. Cada una con los datos del caso, lo que NO hay que hacer, el protocolo paso a paso, la norma que aplica con su artículo y la herramienta del pack que se usa; y cuando hay que hablar con alguien, el guion literal de la conversación. No hay ninguna cifra inventada: cada número sale de una celda que puedes abrir y comprobar.</w:t>
      </w:r>
    </w:p>
    <w:p>
      <w:r>
        <w:rPr>
          <w:b/>
          <w:i w:val="0"/>
        </w:rPr>
        <w:t>Versión 1.0 · septiembre de 2026 · aichef.pro/manual-chef-ejecutivo</w:t>
      </w:r>
    </w:p>
    <w:p>
      <w:r>
        <w:br w:type="page"/>
      </w:r>
    </w:p>
    <w:p>
      <w:pPr>
        <w:pStyle w:val="Heading1"/>
      </w:pPr>
      <w:r>
        <w:t>Índice</w:t>
      </w:r>
    </w:p>
    <w:p>
      <w:pPr>
        <w:pStyle w:val="ListNumber"/>
      </w:pPr>
      <w:r>
        <w:rPr>
          <w:b/>
          <w:i w:val="0"/>
        </w:rPr>
        <w:t>La Única Persona de una Partida se Va a Mitad de Temporada</w:t>
      </w:r>
      <w:r>
        <w:rPr>
          <w:b w:val="0"/>
          <w:i w:val="0"/>
        </w:rPr>
        <w:t xml:space="preserve"> - cómo se certifica en dos semanas que el relevo sabe hacerlo, y qué se recorta de la carta mientras tanto.</w:t>
      </w:r>
    </w:p>
    <w:p>
      <w:pPr>
        <w:pStyle w:val="ListNumber"/>
      </w:pPr>
      <w:r>
        <w:rPr>
          <w:b/>
          <w:i w:val="0"/>
        </w:rPr>
        <w:t>Un Comensal Declara una Alergia con el Plato ya Montado</w:t>
      </w:r>
      <w:r>
        <w:rPr>
          <w:b w:val="0"/>
          <w:i w:val="0"/>
        </w:rPr>
        <w:t xml:space="preserve"> - qué se hace con el plato, qué se hace con la comanda y qué se apunta después.</w:t>
      </w:r>
    </w:p>
    <w:p>
      <w:pPr>
        <w:pStyle w:val="ListNumber"/>
      </w:pPr>
      <w:r>
        <w:rPr>
          <w:b/>
          <w:i w:val="0"/>
        </w:rPr>
        <w:t>Sanidad se Presenta sin Avisar en Mitad del Servicio</w:t>
      </w:r>
      <w:r>
        <w:rPr>
          <w:b w:val="0"/>
          <w:i w:val="0"/>
        </w:rPr>
        <w:t xml:space="preserve"> - quién sigue cocinando, quién acompaña y qué se enseña desde la cocina mientras el pase no para.</w:t>
      </w:r>
    </w:p>
    <w:p>
      <w:pPr>
        <w:pStyle w:val="ListNumber"/>
      </w:pPr>
      <w:r>
        <w:rPr>
          <w:b/>
          <w:i w:val="0"/>
        </w:rPr>
        <w:t>Un Banquete de Ciento Veinte Personas: Qué Guardar, Cómo y Cuánto Tiempo</w:t>
      </w:r>
      <w:r>
        <w:rPr>
          <w:b w:val="0"/>
          <w:i w:val="0"/>
        </w:rPr>
        <w:t xml:space="preserve"> - el umbral que dispara la obligación, los cien gramos por elaboración y la cuenta atrás de siete días.</w:t>
      </w:r>
    </w:p>
    <w:p>
      <w:pPr>
        <w:pStyle w:val="ListNumber"/>
      </w:pPr>
      <w:r>
        <w:rPr>
          <w:b/>
          <w:i w:val="0"/>
        </w:rPr>
        <w:t>El Pase se Descontrola un Viernes: Cuarenta Comandas y Veinticinco Minutos</w:t>
      </w:r>
      <w:r>
        <w:rPr>
          <w:b w:val="0"/>
          <w:i w:val="0"/>
        </w:rPr>
        <w:t xml:space="preserve"> - qué se hace en los diez minutos siguientes, en qué orden se recupera el pase y qué se mide el lunes.</w:t>
      </w:r>
    </w:p>
    <w:p>
      <w:pPr>
        <w:pStyle w:val="ListNumber"/>
      </w:pPr>
      <w:r>
        <w:rPr>
          <w:b/>
          <w:i w:val="0"/>
        </w:rPr>
        <w:t>El Plato Estrella Sale Distinto Según Quién Esté de Turno</w:t>
      </w:r>
      <w:r>
        <w:rPr>
          <w:b w:val="0"/>
          <w:i w:val="0"/>
        </w:rPr>
        <w:t xml:space="preserve"> - cómo se localiza en qué paso se separan las dos versiones, y qué se hace para que no vuelvan a separarse.</w:t>
      </w:r>
    </w:p>
    <w:p>
      <w:pPr>
        <w:pStyle w:val="ListNumber"/>
      </w:pPr>
      <w:r>
        <w:rPr>
          <w:b/>
          <w:i w:val="0"/>
        </w:rPr>
        <w:t>La Merma de la Partida de Fríos se Dispara Tres Semanas Seguidas</w:t>
      </w:r>
      <w:r>
        <w:rPr>
          <w:b w:val="0"/>
          <w:i w:val="0"/>
        </w:rPr>
        <w:t xml:space="preserve"> - en qué orden se descartan las causas cuando una sola partida se desvía y el resto no.</w:t>
      </w:r>
    </w:p>
    <w:p>
      <w:pPr>
        <w:pStyle w:val="ListNumber"/>
      </w:pPr>
      <w:r>
        <w:rPr>
          <w:b/>
          <w:i w:val="0"/>
        </w:rPr>
        <w:t>Se Cae la Cámara un Domingo por la Noche</w:t>
      </w:r>
      <w:r>
        <w:rPr>
          <w:b w:val="0"/>
          <w:i w:val="0"/>
        </w:rPr>
        <w:t xml:space="preserve"> - qué se mide antes de abrir, qué producto se salva, qué se descarta sin discusión y qué se apunta.</w:t>
      </w:r>
    </w:p>
    <w:p>
      <w:pPr>
        <w:pStyle w:val="ListNumber"/>
      </w:pPr>
      <w:r>
        <w:rPr>
          <w:b/>
          <w:i w:val="0"/>
        </w:rPr>
        <w:t>Un Cocinero se Corta con la Cortadora de Fiambre</w:t>
      </w:r>
      <w:r>
        <w:rPr>
          <w:b w:val="0"/>
          <w:i w:val="0"/>
        </w:rPr>
        <w:t xml:space="preserve"> - qué obliga la ley antes del accidente y qué después, y qué se comprueba esa misma noche.</w:t>
      </w:r>
    </w:p>
    <w:p>
      <w:pPr>
        <w:pStyle w:val="ListNumber"/>
      </w:pPr>
      <w:r>
        <w:rPr>
          <w:b/>
          <w:i w:val="0"/>
        </w:rPr>
        <w:t>El Plato que Sale por la Puerta: Delivery y Take-away desde la Cocina</w:t>
      </w:r>
      <w:r>
        <w:rPr>
          <w:b w:val="0"/>
          <w:i w:val="0"/>
        </w:rPr>
        <w:t xml:space="preserve"> - qué temperatura sale, en qué envase, cuánto tiempo aguanta y qué platos no viajan.</w:t>
      </w:r>
    </w:p>
    <w:p>
      <w:pPr>
        <w:pStyle w:val="ListNumber"/>
      </w:pPr>
      <w:r>
        <w:rPr>
          <w:b/>
          <w:i w:val="0"/>
        </w:rPr>
        <w:t>El Propietario Quiere Quitar de la Carta un Plato que a Ti te da Margen</w:t>
      </w:r>
      <w:r>
        <w:rPr>
          <w:b w:val="0"/>
          <w:i w:val="0"/>
        </w:rPr>
        <w:t xml:space="preserve"> - de quién es esa decisión, qué arrastra quitar un plato y con qué datos se defiende.</w:t>
      </w:r>
    </w:p>
    <w:p>
      <w:pPr>
        <w:pStyle w:val="ListNumber"/>
      </w:pPr>
      <w:r>
        <w:rPr>
          <w:b/>
          <w:i w:val="0"/>
        </w:rPr>
        <w:t>Un Cocinero Asciende a Jefe de Cocina: los Primeros Treinta Días</w:t>
      </w:r>
      <w:r>
        <w:rPr>
          <w:b w:val="0"/>
          <w:i w:val="0"/>
        </w:rPr>
        <w:t xml:space="preserve"> - qué se toca la primera semana, qué se mide desde el primer día y cómo se gana autoridad sobre quien ayer era compañero.</w:t>
      </w:r>
    </w:p>
    <w:p>
      <w:r>
        <w:br w:type="page"/>
      </w:r>
    </w:p>
    <w:p>
      <w:pPr>
        <w:pStyle w:val="Heading1"/>
      </w:pPr>
      <w:r>
        <w:t>1. La Única Persona de una Partida se Va a Mitad de Temporada</w:t>
      </w:r>
    </w:p>
    <w:p>
      <w:pPr>
        <w:pStyle w:val="Heading2"/>
      </w:pPr>
      <w:r>
        <w:t>La situación</w:t>
      </w:r>
    </w:p>
    <w:p>
      <w:r>
        <w:rPr>
          <w:b w:val="0"/>
          <w:i w:val="0"/>
        </w:rPr>
        <w:t>Laura S. (P05), la única persona de la partida de fríos y entrantes -la partida de la que salen los entrantes de toda la carta-, entrega el preaviso con dos semanas de margen en mitad de temporada, en "La Encina": la carta (menú) sigue en producción y nadie más en la brigada la trabaja al mismo nivel. La brigada de cocina de "La Encina" suma 6 personas. La rúbrica de competencias del propio pack recoge 8 personas evaluadas, con una media ponderada de 3,53: un dato que sitúa el nivel del equipo, no quién puede sostener la partida que queda vacía. Una brigada de 6 no es una brigada incompleta frente al modelo clásico de quince partidas: es otra estructura, donde cada partida con una sola persona es un punto único de fallo. Cuando ese punto avisa que se va, el chef ejecutivo (chef corporativo, cuando dirige varias cocinas) tiene dos semanas para convertir una baja en un proceso de sustitución con criterio, no en una improvisación de última hora. Lo que sale de esta cocina al final del proceso no es sólo un nombre nuevo en el cuadrante: es una decisión documentada de quién responde de cada ficha técnica (receta estándar), y con qué nivel.</w:t>
      </w:r>
    </w:p>
    <w:p>
      <w:pPr>
        <w:pStyle w:val="Heading2"/>
      </w:pPr>
      <w:r>
        <w:t>Qué no hacer</w:t>
      </w:r>
    </w:p>
    <w:p>
      <w:r>
        <w:rPr>
          <w:b w:val="0"/>
          <w:i w:val="0"/>
        </w:rPr>
        <w:t>Dar por bueno que la persona con más años en la brigada puede sostener la partida es el primer error: la antigüedad dice cuánto tiempo lleva alguien en la cocina, no si domina las fichas técnicas de pescados, y la rúbrica de competencias existe para no fiarse de esa suposición.</w:t>
      </w:r>
    </w:p>
    <w:p>
      <w:r>
        <w:rPr>
          <w:b w:val="0"/>
          <w:i w:val="0"/>
        </w:rPr>
        <w:t>Repartir los platos de la partida entre dos personas sin decidir quién responde de cada uno es el segundo: reparte el riesgo, pero en el pase (despacho) nadie sabe a quién reclamar, y las dos terminan cubriéndose la espalda en vez de cubrir la partida.</w:t>
      </w:r>
    </w:p>
    <w:p>
      <w:r>
        <w:rPr>
          <w:b w:val="0"/>
          <w:i w:val="0"/>
        </w:rPr>
        <w:t>El tercer error es dejar que la persona que se va se lleve en la cabeza lo que no está escrito en ninguna ficha: los ajustes de punto de cocción, los proveedores de temporada, los trucos de mise en place que nunca llegaron al papel. Ese conocimiento no se recupera con una llamada después de que la persona ya se ha ido.</w:t>
      </w:r>
    </w:p>
    <w:p>
      <w:pPr>
        <w:pStyle w:val="Heading2"/>
      </w:pPr>
      <w:r>
        <w:t>Protocolo paso a paso</w:t>
      </w:r>
    </w:p>
    <w:p>
      <w:pPr>
        <w:pStyle w:val="ListBullet"/>
      </w:pPr>
      <w:r>
        <w:rPr>
          <w:b w:val="0"/>
          <w:i w:val="0"/>
        </w:rPr>
        <w:t>Primero, mirar qué competencias exige la partida de pescados y con qué peso, usando la rúbrica de competencias como referencia real y no como trámite: no todas las competencias pesan igual en pescados que en el resto de partidas.</w:t>
      </w:r>
    </w:p>
    <w:p>
      <w:pPr>
        <w:pStyle w:val="ListBullet"/>
      </w:pPr>
      <w:r>
        <w:rPr>
          <w:b w:val="0"/>
          <w:i w:val="0"/>
        </w:rPr>
        <w:t>Segundo, evaluar a los dos candidatos internos con la prueba práctica -160 minutos en total-, nunca con una conversación de pasillo. Esos dos candidatos son, además, quienes ya tienen abierto un plan de desarrollo individual: el cuadro siguiente recoge qué partida aprende cada uno.</w:t>
      </w:r>
    </w:p>
    <w:p>
      <w:pPr>
        <w:pStyle w:val="ListBullet"/>
      </w:pPr>
      <w:r>
        <w:rPr>
          <w:b w:val="0"/>
          <w:i w:val="0"/>
        </w:rPr>
        <w:t>Tercero, usar las dos semanas de preaviso para que quien se va cierre las fichas técnicas que faltan y forme en el puesto a quien se queda, con el mismo mise en place delante, no en una reunión de despedida.</w:t>
      </w:r>
    </w:p>
    <w:p>
      <w:pPr>
        <w:pStyle w:val="ListBullet"/>
      </w:pPr>
      <w:r>
        <w:rPr>
          <w:b w:val="0"/>
          <w:i w:val="0"/>
        </w:rPr>
        <w:t>Cuarto, si ninguno de los dos candidatos llega al nivel exigido, recortar de la carta los platos de esa partida que dependen de la competencia que falta, hasta que alguien la tenga. Es preferible una carta más corta que una partida que promete cada servicio lo que no puede entregar.</w:t>
      </w:r>
    </w:p>
    <w:p>
      <w:pPr>
        <w:pStyle w:val="Heading2"/>
      </w:pPr>
      <w:r>
        <w:t>La norma que aplica</w:t>
      </w:r>
    </w:p>
    <w:p>
      <w:r>
        <w:rPr>
          <w:b w:val="0"/>
          <w:i w:val="0"/>
        </w:rPr>
        <w:t>Aquí no hay obligación legal: decidir quién cubre una partida y con qué criterio se evalúa es una decisión de gestión, no un mandato normativo. Lo que sí obliga, si entra una persona nueva a la partida de pescados, es la formación en manipulación de alimentos, que corresponde al titular de la empresa y tiene que darse por puesto, de acuerdo con la actividad laboral de cada uno: lo fija el punto 1 del capítulo XII del anexo II del Reglamento (CE) 852/2004, comprobado el 6 de septiembre de 2026. Y obliga también la formación teórica y práctica suficiente y adecuada al puesto, que tiene que darse dentro de la jornada de trabajo y sin coste alguno para la persona trabajadora: lo fija el art. 19 de la Ley 31/1995 de Prevención de Riesgos Laborales, comprobado en la misma fecha. Ninguna de las dos formaciones sustituye a la evaluación de competencia técnica de la partida, que sigue siendo criterio del jefe de cocina (chef de cocina), no una casilla legal.</w:t>
      </w:r>
    </w:p>
    <w:p>
      <w:pPr>
        <w:pStyle w:val="Heading2"/>
      </w:pPr>
      <w:r>
        <w:t>La herramienta y el guion</w:t>
      </w:r>
    </w:p>
    <w:p>
      <w:r>
        <w:rPr>
          <w:b w:val="0"/>
          <w:i w:val="0"/>
        </w:rPr>
        <w:t>La rúbrica de competencias y la prueba práctica dan el nivel real de cada candidato; el plan de desarrollo individual -cuatro abiertos ahora mismo, dos en curso y dos planificados- fija qué le falta a quien sube. Dos de los cuatro planes abiertos son justamente los de los candidatos; el cuadro siguiente los recoge todos, con la próxima partida que aprende cada persona. A quien se va no se le pide que "deje todo apuntado": se le pide una lista cerrada, con fecha. La frase, literal: "Antes de tu último día necesito la lista de las fichas técnicas de pescados que todavía no están escritas, cada una con la fecha en que la vas a dejar cerrada, no un cuaderno con todo lo que sabes." Quién puede cubrir la partida desde mañana mismo, y cuánto cuesta esa baja en horas y en refuerzo, eso ya no se resuelve aquí: se calcula con la matriz de polivalencia del Manual del Manager.</w:t>
      </w:r>
    </w:p>
    <w:p>
      <w:r>
        <w:rPr>
          <w:b/>
          <w:i w:val="0"/>
        </w:rPr>
        <w:t>Los planes de desarrollo abiertos y la próxima partida que aprende cada uno (brigada-puestos-y-evaluacion.xlsx, hoja «Plan de Desarrollo Individual»)</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Persona</w:t>
            </w:r>
          </w:p>
        </w:tc>
        <w:tc>
          <w:tcPr>
            <w:tcW w:type="dxa" w:w="1392"/>
          </w:tcPr>
          <w:p>
            <w:r/>
            <w:r>
              <w:rPr>
                <w:b/>
                <w:i w:val="0"/>
              </w:rPr>
              <w:t>Objetivo</w:t>
            </w:r>
          </w:p>
        </w:tc>
        <w:tc>
          <w:tcPr>
            <w:tcW w:type="dxa" w:w="1392"/>
          </w:tcPr>
          <w:p>
            <w:r/>
            <w:r>
              <w:rPr>
                <w:b/>
                <w:i w:val="0"/>
              </w:rPr>
              <w:t>Competencias a trabajar</w:t>
            </w:r>
          </w:p>
        </w:tc>
        <w:tc>
          <w:tcPr>
            <w:tcW w:type="dxa" w:w="1392"/>
          </w:tcPr>
          <w:p>
            <w:r/>
            <w:r>
              <w:rPr>
                <w:b/>
                <w:i w:val="0"/>
              </w:rPr>
              <w:t>Estado</w:t>
            </w:r>
          </w:p>
        </w:tc>
        <w:tc>
          <w:tcPr>
            <w:tcW w:type="dxa" w:w="1392"/>
          </w:tcPr>
          <w:p>
            <w:r/>
            <w:r>
              <w:rPr>
                <w:b/>
                <w:i w:val="0"/>
              </w:rPr>
              <w:t>Próxima partida a aprender</w:t>
            </w:r>
          </w:p>
        </w:tc>
        <w:tc>
          <w:tcPr>
            <w:tcW w:type="dxa" w:w="1392"/>
          </w:tcPr>
          <w:p>
            <w:r/>
            <w:r>
              <w:rPr>
                <w:b/>
                <w:i w:val="0"/>
              </w:rPr>
              <w:t>Remite a</w:t>
            </w:r>
          </w:p>
        </w:tc>
      </w:tr>
      <w:tr>
        <w:tc>
          <w:tcPr>
            <w:tcW w:type="dxa" w:w="1392"/>
          </w:tcPr>
          <w:p>
            <w:r/>
            <w:r>
              <w:rPr>
                <w:b w:val="0"/>
                <w:i w:val="0"/>
              </w:rPr>
              <w:t>P06</w:t>
            </w:r>
          </w:p>
        </w:tc>
        <w:tc>
          <w:tcPr>
            <w:tcW w:type="dxa" w:w="1392"/>
          </w:tcPr>
          <w:p>
            <w:r/>
            <w:r>
              <w:rPr>
                <w:b w:val="0"/>
                <w:i w:val="0"/>
              </w:rPr>
              <w:t>Omar B.</w:t>
            </w:r>
          </w:p>
        </w:tc>
        <w:tc>
          <w:tcPr>
            <w:tcW w:type="dxa" w:w="1392"/>
          </w:tcPr>
          <w:p>
            <w:r/>
            <w:r>
              <w:rPr>
                <w:b w:val="0"/>
                <w:i w:val="0"/>
              </w:rPr>
              <w:t>Sostener la partida de fríos en un servicio de 75 cubiertos (nivel 2)</w:t>
            </w:r>
          </w:p>
        </w:tc>
        <w:tc>
          <w:tcPr>
            <w:tcW w:type="dxa" w:w="1392"/>
          </w:tcPr>
          <w:p>
            <w:r/>
            <w:r>
              <w:rPr>
                <w:b w:val="0"/>
                <w:i w:val="0"/>
              </w:rPr>
              <w:t>Cortes y manejo de cuchillo; Conocimiento y aplicación de la ficha técnica; Gestión de la merma de su partida</w:t>
            </w:r>
          </w:p>
        </w:tc>
        <w:tc>
          <w:tcPr>
            <w:tcW w:type="dxa" w:w="1392"/>
          </w:tcPr>
          <w:p>
            <w:r/>
            <w:r>
              <w:rPr>
                <w:b w:val="0"/>
                <w:i w:val="0"/>
              </w:rPr>
              <w:t>En curso</w:t>
            </w:r>
          </w:p>
        </w:tc>
        <w:tc>
          <w:tcPr>
            <w:tcW w:type="dxa" w:w="1392"/>
          </w:tcPr>
          <w:p>
            <w:r/>
            <w:r>
              <w:rPr>
                <w:b w:val="0"/>
                <w:i w:val="0"/>
              </w:rPr>
              <w:t>Fríos y entrantes</w:t>
            </w:r>
          </w:p>
        </w:tc>
        <w:tc>
          <w:tcPr>
            <w:tcW w:type="dxa" w:w="1392"/>
          </w:tcPr>
          <w:p>
            <w:r/>
            <w:r>
              <w:rPr>
                <w:b w:val="0"/>
                <w:i w:val="0"/>
              </w:rPr>
              <w:t>Plan de Cross-Training del Manual del Manager, fila 1</w:t>
            </w:r>
          </w:p>
        </w:tc>
      </w:tr>
      <w:tr>
        <w:tc>
          <w:tcPr>
            <w:tcW w:type="dxa" w:w="1392"/>
          </w:tcPr>
          <w:p>
            <w:r/>
            <w:r>
              <w:rPr>
                <w:b w:val="0"/>
                <w:i w:val="0"/>
              </w:rPr>
              <w:t>P12</w:t>
            </w:r>
          </w:p>
        </w:tc>
        <w:tc>
          <w:tcPr>
            <w:tcW w:type="dxa" w:w="1392"/>
          </w:tcPr>
          <w:p>
            <w:r/>
            <w:r>
              <w:rPr>
                <w:b w:val="0"/>
                <w:i w:val="0"/>
              </w:rPr>
              <w:t>Andrés P.</w:t>
            </w:r>
          </w:p>
        </w:tc>
        <w:tc>
          <w:tcPr>
            <w:tcW w:type="dxa" w:w="1392"/>
          </w:tcPr>
          <w:p>
            <w:r/>
            <w:r>
              <w:rPr>
                <w:b w:val="0"/>
                <w:i w:val="0"/>
              </w:rPr>
              <w:t>Cubrir el pase en caliente a nivel 2 antes de la temporada alta</w:t>
            </w:r>
          </w:p>
        </w:tc>
        <w:tc>
          <w:tcPr>
            <w:tcW w:type="dxa" w:w="1392"/>
          </w:tcPr>
          <w:p>
            <w:r/>
            <w:r>
              <w:rPr>
                <w:b w:val="0"/>
                <w:i w:val="0"/>
              </w:rPr>
              <w:t>Cortes y manejo de cuchillo; Cocciones y puntos; Higiene de manipulación y APPCC en el puesto</w:t>
            </w:r>
          </w:p>
        </w:tc>
        <w:tc>
          <w:tcPr>
            <w:tcW w:type="dxa" w:w="1392"/>
          </w:tcPr>
          <w:p>
            <w:r/>
            <w:r>
              <w:rPr>
                <w:b w:val="0"/>
                <w:i w:val="0"/>
              </w:rPr>
              <w:t>Planificado</w:t>
            </w:r>
          </w:p>
        </w:tc>
        <w:tc>
          <w:tcPr>
            <w:tcW w:type="dxa" w:w="1392"/>
          </w:tcPr>
          <w:p>
            <w:r/>
            <w:r>
              <w:rPr>
                <w:b w:val="0"/>
                <w:i w:val="0"/>
              </w:rPr>
              <w:t>Pase y caliente</w:t>
            </w:r>
          </w:p>
        </w:tc>
        <w:tc>
          <w:tcPr>
            <w:tcW w:type="dxa" w:w="1392"/>
          </w:tcPr>
          <w:p>
            <w:r/>
            <w:r>
              <w:rPr>
                <w:b w:val="0"/>
                <w:i w:val="0"/>
              </w:rPr>
              <w:t>Plan de Cross-Training del Manual del Manager, fila 7</w:t>
            </w:r>
          </w:p>
        </w:tc>
      </w:tr>
      <w:tr>
        <w:tc>
          <w:tcPr>
            <w:tcW w:type="dxa" w:w="1392"/>
          </w:tcPr>
          <w:p>
            <w:r/>
            <w:r>
              <w:rPr>
                <w:b w:val="0"/>
                <w:i w:val="0"/>
              </w:rPr>
              <w:t>P05</w:t>
            </w:r>
          </w:p>
        </w:tc>
        <w:tc>
          <w:tcPr>
            <w:tcW w:type="dxa" w:w="1392"/>
          </w:tcPr>
          <w:p>
            <w:r/>
            <w:r>
              <w:rPr>
                <w:b w:val="0"/>
                <w:i w:val="0"/>
              </w:rPr>
              <w:t>Laura S.</w:t>
            </w:r>
          </w:p>
        </w:tc>
        <w:tc>
          <w:tcPr>
            <w:tcW w:type="dxa" w:w="1392"/>
          </w:tcPr>
          <w:p>
            <w:r/>
            <w:r>
              <w:rPr>
                <w:b w:val="0"/>
                <w:i w:val="0"/>
              </w:rPr>
              <w:t>Subir de 3 a 4 en gestión de la merma de su partida tras el verano</w:t>
            </w:r>
          </w:p>
        </w:tc>
        <w:tc>
          <w:tcPr>
            <w:tcW w:type="dxa" w:w="1392"/>
          </w:tcPr>
          <w:p>
            <w:r/>
            <w:r>
              <w:rPr>
                <w:b w:val="0"/>
                <w:i w:val="0"/>
              </w:rPr>
              <w:t>Gestión de la merma de su partida</w:t>
            </w:r>
          </w:p>
        </w:tc>
        <w:tc>
          <w:tcPr>
            <w:tcW w:type="dxa" w:w="1392"/>
          </w:tcPr>
          <w:p>
            <w:r/>
            <w:r>
              <w:rPr>
                <w:b w:val="0"/>
                <w:i w:val="0"/>
              </w:rPr>
              <w:t>En curso</w:t>
            </w:r>
          </w:p>
        </w:tc>
        <w:tc>
          <w:tcPr>
            <w:tcW w:type="dxa" w:w="1392"/>
          </w:tcPr>
          <w:p>
            <w:r/>
          </w:p>
        </w:tc>
        <w:tc>
          <w:tcPr>
            <w:tcW w:type="dxa" w:w="1392"/>
          </w:tcPr>
          <w:p>
            <w:r/>
            <w:r>
              <w:rPr>
                <w:b w:val="0"/>
                <w:i w:val="0"/>
              </w:rPr>
              <w:t>Cuadro de mando de cocina, hoja Semana</w:t>
            </w:r>
          </w:p>
        </w:tc>
      </w:tr>
      <w:tr>
        <w:tc>
          <w:tcPr>
            <w:tcW w:type="dxa" w:w="1392"/>
          </w:tcPr>
          <w:p>
            <w:r/>
            <w:r>
              <w:rPr>
                <w:b w:val="0"/>
                <w:i w:val="0"/>
              </w:rPr>
              <w:t>P04</w:t>
            </w:r>
          </w:p>
        </w:tc>
        <w:tc>
          <w:tcPr>
            <w:tcW w:type="dxa" w:w="1392"/>
          </w:tcPr>
          <w:p>
            <w:r/>
            <w:r>
              <w:rPr>
                <w:b w:val="0"/>
                <w:i w:val="0"/>
              </w:rPr>
              <w:t>Diego M.</w:t>
            </w:r>
          </w:p>
        </w:tc>
        <w:tc>
          <w:tcPr>
            <w:tcW w:type="dxa" w:w="1392"/>
          </w:tcPr>
          <w:p>
            <w:r/>
            <w:r>
              <w:rPr>
                <w:b w:val="0"/>
                <w:i w:val="0"/>
              </w:rPr>
              <w:t>Preparar el paso a jefe de partida de caliente</w:t>
            </w:r>
          </w:p>
        </w:tc>
        <w:tc>
          <w:tcPr>
            <w:tcW w:type="dxa" w:w="1392"/>
          </w:tcPr>
          <w:p>
            <w:r/>
            <w:r>
              <w:rPr>
                <w:b w:val="0"/>
                <w:i w:val="0"/>
              </w:rPr>
              <w:t>Emplatado y montaje; Gestión de la merma de su partida</w:t>
            </w:r>
          </w:p>
        </w:tc>
        <w:tc>
          <w:tcPr>
            <w:tcW w:type="dxa" w:w="1392"/>
          </w:tcPr>
          <w:p>
            <w:r/>
            <w:r>
              <w:rPr>
                <w:b w:val="0"/>
                <w:i w:val="0"/>
              </w:rPr>
              <w:t>Planificado</w:t>
            </w:r>
          </w:p>
        </w:tc>
        <w:tc>
          <w:tcPr>
            <w:tcW w:type="dxa" w:w="1392"/>
          </w:tcPr>
          <w:p>
            <w:r/>
            <w:r>
              <w:rPr>
                <w:b w:val="0"/>
                <w:i w:val="0"/>
              </w:rPr>
              <w:t>Fríos y entrantes</w:t>
            </w:r>
          </w:p>
        </w:tc>
        <w:tc>
          <w:tcPr>
            <w:tcW w:type="dxa" w:w="1392"/>
          </w:tcPr>
          <w:p>
            <w:r/>
            <w:r>
              <w:rPr>
                <w:b w:val="0"/>
                <w:i w:val="0"/>
              </w:rPr>
              <w:t>Fichas de puesto del libro de brigada, «Jefe/a de partida»</w:t>
            </w:r>
          </w:p>
        </w:tc>
      </w:tr>
    </w:tbl>
    <w:p/>
    <w:p>
      <w:pPr>
        <w:jc w:val="center"/>
      </w:pPr>
      <w:r>
        <w:rPr>
          <w:i/>
          <w:color w:val="444444"/>
        </w:rPr>
        <w:t>La última columna es la que evita duplicar trabajo: el plan de desarrollo dice qué competencia hay que trabajar, y remite al plan de cross-training del Manual del Manager para el calendario de cobertura.</w:t>
      </w:r>
    </w:p>
    <w:p>
      <w:r>
        <w:br w:type="page"/>
      </w:r>
    </w:p>
    <w:p>
      <w:pPr>
        <w:pStyle w:val="Heading1"/>
      </w:pPr>
      <w:r>
        <w:t>2. Un Comensal Declara una Alergia con el Plato ya Montado</w:t>
      </w:r>
    </w:p>
    <w:p>
      <w:pPr>
        <w:pStyle w:val="Heading2"/>
      </w:pPr>
      <w:r>
        <w:t>La situación</w:t>
      </w:r>
    </w:p>
    <w:p>
      <w:r>
        <w:rPr>
          <w:b w:val="0"/>
          <w:i w:val="0"/>
        </w:rPr>
        <w:t>Son las nueve y media de la noche en La Encina y el segundo plato de la mesa seis lleva ya un minuto en el pase (despacho): ración montada, salsa terminada, listo para subir. Sala llega con un aviso que no estaba en la comanda - la comensal del fondo es alérgica a los frutos secos, y la elaboración lleva triturados dentro de la salsa, no como guarnición que se pueda apartar. No hay retirada limpia posible: el fruto seco está disuelto en la base, no encima de ella.</w:t>
      </w:r>
    </w:p>
    <w:p>
      <w:r>
        <w:rPr>
          <w:b w:val="0"/>
          <w:i w:val="0"/>
        </w:rPr>
        <w:t>Este es el tipo de aviso que en La Encina se registra, no se resuelve de oído. En el año del caso la brigada acumula 15 incidencias de alérgenos en el cuadro de mando de cocina, con una gravedad máxima de 3 sobre una escala de cero a tres y una tasa de 0,32 incidencias por cada base de cubiertos servida. Lo que se decide en los siguientes treinta segundos define si esta comensal come algo seguro esta noche, y si el aviso entra en esa misma estadística o se pierde como un susto sin apuntar.</w:t>
      </w:r>
    </w:p>
    <w:p>
      <w:pPr>
        <w:pStyle w:val="Heading2"/>
      </w:pPr>
      <w:r>
        <w:t>Qué no hacer</w:t>
      </w:r>
    </w:p>
    <w:p>
      <w:r>
        <w:rPr>
          <w:b w:val="0"/>
          <w:i w:val="0"/>
        </w:rPr>
        <w:t>Tres reacciones habituales, y las tres agravan el caso.</w:t>
      </w:r>
    </w:p>
    <w:p>
      <w:pPr>
        <w:pStyle w:val="ListBullet"/>
      </w:pPr>
      <w:r>
        <w:rPr>
          <w:b w:val="0"/>
          <w:i w:val="0"/>
        </w:rPr>
        <w:t>Retirar el fruto seco del plato ya montado y servirlo igual. Un alérgeno triturado y disuelto en una salsa no se separa a ojo en el pase; lo que queda conserva restos suficientes para desencadenar una reacción, aunque no se vea ni un trozo.</w:t>
      </w:r>
    </w:p>
    <w:p>
      <w:pPr>
        <w:pStyle w:val="ListBullet"/>
      </w:pPr>
      <w:r>
        <w:rPr>
          <w:b w:val="0"/>
          <w:i w:val="0"/>
        </w:rPr>
        <w:t>Preguntar a la partida «¿esto lleva frutos secos?» y quedarse con un «creo que no». Esa respuesta de memoria falla justo en lo que más importa: la traza o el utensilio compartido, no sólo el ingrediente que se ve en la receta.</w:t>
      </w:r>
    </w:p>
    <w:p>
      <w:pPr>
        <w:pStyle w:val="ListBullet"/>
      </w:pPr>
      <w:r>
        <w:rPr>
          <w:b w:val="0"/>
          <w:i w:val="0"/>
        </w:rPr>
        <w:t>Mandar el plato con la advertencia verbal al camarero, sin identificarlo de ninguna otra forma. Un plato reconocido sólo porque alguien lo recuerda es un plato que confunde a otro camarero o acaba en la mesa que no toca.</w:t>
      </w:r>
    </w:p>
    <w:p>
      <w:pPr>
        <w:pStyle w:val="Heading2"/>
      </w:pPr>
      <w:r>
        <w:t>Protocolo paso a paso</w:t>
      </w:r>
    </w:p>
    <w:p>
      <w:pPr>
        <w:pStyle w:val="ListBullet"/>
      </w:pPr>
      <w:r>
        <w:rPr>
          <w:b w:val="0"/>
          <w:i w:val="0"/>
        </w:rPr>
        <w:t>El plato montado no se corrige: se descarta entero, salsa incluida, y se retira del pase sin que llegue a ninguna mesa.</w:t>
      </w:r>
    </w:p>
    <w:p>
      <w:pPr>
        <w:pStyle w:val="ListBullet"/>
      </w:pPr>
      <w:r>
        <w:rPr>
          <w:b w:val="0"/>
          <w:i w:val="0"/>
        </w:rPr>
        <w:t>Se consulta la ficha técnica (receta estándar) de esa elaboración, en concreto su tabla de alérgenos de proceso: ahí consta en qué punto entra cada alérgeno - como ingrediente, por traza o por utensilio compartido - y si esa misma ficha admite alguna sustitución.</w:t>
      </w:r>
    </w:p>
    <w:p>
      <w:pPr>
        <w:pStyle w:val="ListBullet"/>
      </w:pPr>
      <w:r>
        <w:rPr>
          <w:b w:val="0"/>
          <w:i w:val="0"/>
        </w:rPr>
        <w:t>Se elabora de nuevo con material limpio y reservado aparte: tabla, cuchillo, sartén y recipiente que no hayan tocado el alérgeno original, no los mismos enjuagados a prisa.</w:t>
      </w:r>
    </w:p>
    <w:p>
      <w:pPr>
        <w:pStyle w:val="ListBullet"/>
      </w:pPr>
      <w:r>
        <w:rPr>
          <w:b w:val="0"/>
          <w:i w:val="0"/>
        </w:rPr>
        <w:t>El plato nuevo sale identificado, con marca visible de qué alergia cubre, y se entrega en mano: de cocina a la mesa, o con un responsable de sala que lo lleve sin pasar por barra compartida.</w:t>
      </w:r>
    </w:p>
    <w:p>
      <w:pPr>
        <w:pStyle w:val="ListBullet"/>
      </w:pPr>
      <w:r>
        <w:rPr>
          <w:b w:val="0"/>
          <w:i w:val="0"/>
        </w:rPr>
        <w:t>Se registra la incidencia aunque el primer plato nunca haya llegado a la mesa. Lo que se mide no es el susto evitado, es el hueco del sistema que lo hizo posible.</w:t>
      </w:r>
    </w:p>
    <w:p>
      <w:pPr>
        <w:pStyle w:val="Heading2"/>
      </w:pPr>
      <w:r>
        <w:t>La norma que aplica</w:t>
      </w:r>
    </w:p>
    <w:p>
      <w:r>
        <w:rPr>
          <w:b w:val="0"/>
          <w:i w:val="0"/>
        </w:rPr>
        <w:t>Aquí hay dos obligaciones legales, no una costumbre de la casa. La primera es la prohibición de cruzar alérgenos con el material de trabajo: el equipo, los recipientes y las superficies usados para transformar, manipular o almacenar un alérgeno no pueden reutilizarse con otros alimentos si no se han limpiado y comprobado que no quedan restos visibles. Es el punto 9 del capítulo IX del anexo II del Reglamento (CE) 852/2004, en la redacción del Reglamento (UE) 2021/382 - no es un capítulo dedicado a alérgenos, es una obligación dentro de las normas generales de higiene del sector.</w:t>
      </w:r>
    </w:p>
    <w:p>
      <w:r>
        <w:rPr>
          <w:b w:val="0"/>
          <w:i w:val="0"/>
        </w:rPr>
        <w:t>La segunda es la información al comensal. Los 14 alérgenos de declaración obligatoria tienen que constar también en el plato sin envasar, y un cartel de «consulte al personal» no basta por sí solo: necesita respaldo escrito o electrónico, accesible al personal, a quien inspecciona y a quien pregunta desde la mesa. Es el Reglamento (UE) 1169/2011, anexo II y artículo 44.1, junto con el artículo 6.5 del RD 126/2015, comprobado el 6 de septiembre de 2026.</w:t>
      </w:r>
    </w:p>
    <w:p>
      <w:pPr>
        <w:pStyle w:val="Heading2"/>
      </w:pPr>
      <w:r>
        <w:t>La herramienta y el guion</w:t>
      </w:r>
    </w:p>
    <w:p>
      <w:r>
        <w:rPr>
          <w:b w:val="0"/>
          <w:i w:val="0"/>
        </w:rPr>
        <w:t>La ficha técnica de la elaboración, con su tabla de alérgenos de proceso, responde en segundos a lo que en el pase no se puede fiar a la memoria: en la ficha de ejemplo del pack hay 2 alérgenos que entran como ingrediente, 1 por traza y 1 por utensilio compartido, cada uno con su casilla y su posible sustitución, en el cuadro siguiente. El registro de incidencias del cuadro de mando es el otro lado de la herramienta: ahí es donde este aviso pasa a sumar en la tasa del año, la misma que ahora marca 0,32 frente a un objetivo de casa fijado en 0,50. La última auditoría interna, con nota de 3,65 en el área de alérgenos del pase, ya señalaba este como el punto donde conviene tener el guion preparado.</w:t>
      </w:r>
    </w:p>
    <w:p>
      <w:r>
        <w:rPr>
          <w:b w:val="0"/>
          <w:i w:val="0"/>
        </w:rPr>
        <w:t>Y el guion son dos frases, no un protocolo largo de explicar en caliente. A sala: «Dame cinco minutos, el plato se rehace desde cero por seguridad, no se sirve el que hay en el pase.» A la partida: «No es una revisión de tu trabajo, es el protocolo con cualquier alergia declarada: lo rehacemos limpio y seguimos.» La declaración de alérgenos de toda la carta (menú), plato a plato, no vive en este manual: esa tabla completa está en el Pack APPCC.</w:t>
      </w:r>
    </w:p>
    <w:p>
      <w:r>
        <w:rPr>
          <w:b/>
          <w:i w:val="0"/>
        </w:rPr>
        <w:t>Los alérgenos de proceso de la ficha, y qué sustitución admite cada uno (ficha-tecnica-proceso.xlsx, hoja «Ficha (ejemplo)»)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Alérgeno</w:t>
            </w:r>
          </w:p>
        </w:tc>
        <w:tc>
          <w:tcPr>
            <w:tcW w:type="dxa" w:w="2436"/>
          </w:tcPr>
          <w:p>
            <w:r/>
            <w:r>
              <w:rPr>
                <w:b/>
                <w:i w:val="0"/>
              </w:rPr>
              <w:t>Estado en esta elaboración</w:t>
            </w:r>
          </w:p>
        </w:tc>
        <w:tc>
          <w:tcPr>
            <w:tcW w:type="dxa" w:w="2436"/>
          </w:tcPr>
          <w:p>
            <w:r/>
            <w:r>
              <w:rPr>
                <w:b/>
                <w:i w:val="0"/>
              </w:rPr>
              <w:t>Dónde entra en esta elaboración</w:t>
            </w:r>
          </w:p>
        </w:tc>
        <w:tc>
          <w:tcPr>
            <w:tcW w:type="dxa" w:w="2436"/>
          </w:tcPr>
          <w:p>
            <w:r/>
            <w:r>
              <w:rPr>
                <w:b/>
                <w:i w:val="0"/>
              </w:rPr>
              <w:t>Sustitución posible</w:t>
            </w:r>
          </w:p>
        </w:tc>
      </w:tr>
      <w:tr>
        <w:tc>
          <w:tcPr>
            <w:tcW w:type="dxa" w:w="2436"/>
          </w:tcPr>
          <w:p>
            <w:r/>
            <w:r>
              <w:rPr>
                <w:b w:val="0"/>
                <w:i w:val="0"/>
              </w:rPr>
              <w:t>Leche</w:t>
            </w:r>
          </w:p>
        </w:tc>
        <w:tc>
          <w:tcPr>
            <w:tcW w:type="dxa" w:w="2436"/>
          </w:tcPr>
          <w:p>
            <w:r/>
            <w:r>
              <w:rPr>
                <w:b w:val="0"/>
                <w:i w:val="0"/>
              </w:rPr>
              <w:t>Presente</w:t>
            </w:r>
          </w:p>
        </w:tc>
        <w:tc>
          <w:tcPr>
            <w:tcW w:type="dxa" w:w="2436"/>
          </w:tcPr>
          <w:p>
            <w:r/>
            <w:r>
              <w:rPr>
                <w:b w:val="0"/>
                <w:i w:val="0"/>
              </w:rPr>
              <w:t>Mantequilla y nata del puré de boniato</w:t>
            </w:r>
          </w:p>
        </w:tc>
        <w:tc>
          <w:tcPr>
            <w:tcW w:type="dxa" w:w="2436"/>
          </w:tcPr>
          <w:p>
            <w:r/>
            <w:r>
              <w:rPr>
                <w:b w:val="0"/>
                <w:i w:val="0"/>
              </w:rPr>
              <w:t>Sí: puré ligado con aceite de oliva virgen extra y agua de cocción</w:t>
            </w:r>
          </w:p>
        </w:tc>
      </w:tr>
      <w:tr>
        <w:tc>
          <w:tcPr>
            <w:tcW w:type="dxa" w:w="2436"/>
          </w:tcPr>
          <w:p>
            <w:r/>
            <w:r>
              <w:rPr>
                <w:b w:val="0"/>
                <w:i w:val="0"/>
              </w:rPr>
              <w:t>Sulfitos</w:t>
            </w:r>
          </w:p>
        </w:tc>
        <w:tc>
          <w:tcPr>
            <w:tcW w:type="dxa" w:w="2436"/>
          </w:tcPr>
          <w:p>
            <w:r/>
            <w:r>
              <w:rPr>
                <w:b w:val="0"/>
                <w:i w:val="0"/>
              </w:rPr>
              <w:t>Presente</w:t>
            </w:r>
          </w:p>
        </w:tc>
        <w:tc>
          <w:tcPr>
            <w:tcW w:type="dxa" w:w="2436"/>
          </w:tcPr>
          <w:p>
            <w:r/>
            <w:r>
              <w:rPr>
                <w:b w:val="0"/>
                <w:i w:val="0"/>
              </w:rPr>
              <w:t>Vino Pedro Ximénez de la salsa</w:t>
            </w:r>
          </w:p>
        </w:tc>
        <w:tc>
          <w:tcPr>
            <w:tcW w:type="dxa" w:w="2436"/>
          </w:tcPr>
          <w:p>
            <w:r/>
            <w:r>
              <w:rPr>
                <w:b w:val="0"/>
                <w:i w:val="0"/>
              </w:rPr>
              <w:t>Sí: reducción de caldo de carne sin vino, con un punto de miel</w:t>
            </w:r>
          </w:p>
        </w:tc>
      </w:tr>
      <w:tr>
        <w:tc>
          <w:tcPr>
            <w:tcW w:type="dxa" w:w="2436"/>
          </w:tcPr>
          <w:p>
            <w:r/>
            <w:r>
              <w:rPr>
                <w:b w:val="0"/>
                <w:i w:val="0"/>
              </w:rPr>
              <w:t>Apio</w:t>
            </w:r>
          </w:p>
        </w:tc>
        <w:tc>
          <w:tcPr>
            <w:tcW w:type="dxa" w:w="2436"/>
          </w:tcPr>
          <w:p>
            <w:r/>
            <w:r>
              <w:rPr>
                <w:b w:val="0"/>
                <w:i w:val="0"/>
              </w:rPr>
              <w:t>Traza en esta elaboración</w:t>
            </w:r>
          </w:p>
        </w:tc>
        <w:tc>
          <w:tcPr>
            <w:tcW w:type="dxa" w:w="2436"/>
          </w:tcPr>
          <w:p>
            <w:r/>
            <w:r>
              <w:rPr>
                <w:b w:val="0"/>
                <w:i w:val="0"/>
              </w:rPr>
              <w:t>Puede venir en el caldo de carne comercial: comprobar la ficha del proveedor</w:t>
            </w:r>
          </w:p>
        </w:tc>
        <w:tc>
          <w:tcPr>
            <w:tcW w:type="dxa" w:w="2436"/>
          </w:tcPr>
          <w:p>
            <w:r/>
            <w:r>
              <w:rPr>
                <w:b w:val="0"/>
                <w:i w:val="0"/>
              </w:rPr>
              <w:t>Sí: caldo de carne propio sin apio</w:t>
            </w:r>
          </w:p>
        </w:tc>
      </w:tr>
      <w:tr>
        <w:tc>
          <w:tcPr>
            <w:tcW w:type="dxa" w:w="2436"/>
          </w:tcPr>
          <w:p>
            <w:r/>
            <w:r>
              <w:rPr>
                <w:b w:val="0"/>
                <w:i w:val="0"/>
              </w:rPr>
              <w:t>Gluten</w:t>
            </w:r>
          </w:p>
        </w:tc>
        <w:tc>
          <w:tcPr>
            <w:tcW w:type="dxa" w:w="2436"/>
          </w:tcPr>
          <w:p>
            <w:r/>
            <w:r>
              <w:rPr>
                <w:b w:val="0"/>
                <w:i w:val="0"/>
              </w:rPr>
              <w:t>Utensilio o superficie compartidos</w:t>
            </w:r>
          </w:p>
        </w:tc>
        <w:tc>
          <w:tcPr>
            <w:tcW w:type="dxa" w:w="2436"/>
          </w:tcPr>
          <w:p>
            <w:r/>
            <w:r>
              <w:rPr>
                <w:b w:val="0"/>
                <w:i w:val="0"/>
              </w:rPr>
              <w:t>La misma plancha tuesta el pan del servicio</w:t>
            </w:r>
          </w:p>
        </w:tc>
        <w:tc>
          <w:tcPr>
            <w:tcW w:type="dxa" w:w="2436"/>
          </w:tcPr>
          <w:p>
            <w:r/>
            <w:r>
              <w:rPr>
                <w:b w:val="0"/>
                <w:i w:val="0"/>
              </w:rPr>
              <w:t>Sí: marcar en sartén limpia reservada</w:t>
            </w:r>
          </w:p>
        </w:tc>
      </w:tr>
      <w:tr>
        <w:tc>
          <w:tcPr>
            <w:tcW w:type="dxa" w:w="2436"/>
          </w:tcPr>
          <w:p>
            <w:r/>
            <w:r>
              <w:rPr>
                <w:b w:val="0"/>
                <w:i w:val="0"/>
              </w:rPr>
              <w:t>Frutos de cáscara</w:t>
            </w:r>
          </w:p>
        </w:tc>
        <w:tc>
          <w:tcPr>
            <w:tcW w:type="dxa" w:w="2436"/>
          </w:tcPr>
          <w:p>
            <w:r/>
            <w:r>
              <w:rPr>
                <w:b w:val="0"/>
                <w:i w:val="0"/>
              </w:rPr>
              <w:t>No interviene</w:t>
            </w:r>
          </w:p>
        </w:tc>
        <w:tc>
          <w:tcPr>
            <w:tcW w:type="dxa" w:w="2436"/>
          </w:tcPr>
          <w:p>
            <w:r/>
          </w:p>
        </w:tc>
        <w:tc>
          <w:tcPr>
            <w:tcW w:type="dxa" w:w="2436"/>
          </w:tcPr>
          <w:p>
            <w:r/>
          </w:p>
        </w:tc>
      </w:tr>
      <w:tr>
        <w:tc>
          <w:tcPr>
            <w:tcW w:type="dxa" w:w="2436"/>
          </w:tcPr>
          <w:p>
            <w:r/>
            <w:r>
              <w:rPr>
                <w:b w:val="0"/>
                <w:i w:val="0"/>
              </w:rPr>
              <w:t>Mostaza</w:t>
            </w:r>
          </w:p>
        </w:tc>
        <w:tc>
          <w:tcPr>
            <w:tcW w:type="dxa" w:w="2436"/>
          </w:tcPr>
          <w:p>
            <w:r/>
            <w:r>
              <w:rPr>
                <w:b w:val="0"/>
                <w:i w:val="0"/>
              </w:rPr>
              <w:t>No interviene</w:t>
            </w:r>
          </w:p>
        </w:tc>
        <w:tc>
          <w:tcPr>
            <w:tcW w:type="dxa" w:w="2436"/>
          </w:tcPr>
          <w:p>
            <w:r/>
          </w:p>
        </w:tc>
        <w:tc>
          <w:tcPr>
            <w:tcW w:type="dxa" w:w="2436"/>
          </w:tcPr>
          <w:p>
            <w:r/>
          </w:p>
        </w:tc>
      </w:tr>
    </w:tbl>
    <w:p/>
    <w:p>
      <w:pPr>
        <w:jc w:val="center"/>
      </w:pPr>
      <w:r>
        <w:rPr>
          <w:i/>
          <w:color w:val="444444"/>
        </w:rPr>
        <w:t>Verificado el 06-09-2026 · Reglamento (CE) 852/2004, Anexo II, capítulos VIII, IX (punto 9), XI bis y XII, en la redacción del Reglamento (UE) 2021/382 · https://eur-lex.europa.eu/legal-content/ES/TXT/HTML/?uri=CELEX:02004R0852-20210324 - la columna de sustitución es la que permite contestar en treinta segundos si el plato se puede adaptar o no.</w:t>
      </w:r>
    </w:p>
    <w:p>
      <w:r>
        <w:br w:type="page"/>
      </w:r>
    </w:p>
    <w:p>
      <w:pPr>
        <w:pStyle w:val="Heading1"/>
      </w:pPr>
      <w:r>
        <w:t>3. Sanidad se Presenta sin Avisar en Mitad del Servicio</w:t>
      </w:r>
    </w:p>
    <w:p>
      <w:pPr>
        <w:pStyle w:val="Heading2"/>
      </w:pPr>
      <w:r>
        <w:t>La situación</w:t>
      </w:r>
    </w:p>
    <w:p>
      <w:r>
        <w:rPr>
          <w:b w:val="0"/>
          <w:i w:val="0"/>
        </w:rPr>
        <w:t>Son las nueve y cuarto de un viernes y el pase (despacho) lleva cuarenta comandas abiertas cuando dos personas se identifican en la puerta de cocina con la acreditación de la autoridad sanitaria. No avisan, y la brigada entera lo sabe en el instante en que alguien asoma la cabeza desde el office. Lo que decide si la visita acaba en trámite o en disgusto no se improvisa esa noche: se construye servicio a servicio, y la auditoría interna de cocina de esta casa, con sus 50 puntos de control repartidos en cinco áreas, arrojó en su última revisión una nota ponderada de 3,54 sobre una escala que llega a 5, con un cumplimiento global del 70,9 %. No es un aprobado brillante ni un suspenso: es una cocina a mitad de camino, con huecos ya conocidos antes de que nadie externo los señalara. Esa fotografía previa es la que marca la diferencia entre improvisar delante de quien inspecciona y mostrar, con calma, un sistema que ya se conocía por dentro.</w:t>
      </w:r>
    </w:p>
    <w:p>
      <w:pPr>
        <w:pStyle w:val="Heading2"/>
      </w:pPr>
      <w:r>
        <w:t>Qué no hacer</w:t>
      </w:r>
    </w:p>
    <w:p>
      <w:r>
        <w:rPr>
          <w:b w:val="0"/>
          <w:i w:val="0"/>
        </w:rPr>
        <w:t>Parar el pase entero y mandar a la brigada a fregar y ordenar cámaras delante de quien inspecciona es la reacción más instintiva y la más perjudicial: convierte cuarenta comandas en espera en un problema añadido al de la propia visita, y transmite justo lo contrario de lo que conviene, que es normalidad. Dejar que acompañe quien esté más cerca de la puerta en ese momento -un ayudante de cocina (auxiliar de cocina), un camarero de paso- es otro error de manual: quien enseña la cocina tiene que poder explicar el procedimiento de autocontrol con propiedad, no limitarse a abrir cámaras. Discutir una observación en caliente, aunque se tenga razón, no cambia lo que queda escrito en el acta y sí cambia el tono de toda la visita. Y lo más caro: ponerse a rellenar registros atrasados con la inspección todavía dentro. Un registro que falta es un incumplimiento formal; ese mismo registro completado a toda prisa delante de quien inspecciona deja de parecer un olvido y empieza a parecer una alteración, justo el tipo de duda que convierte un papel en un problema serio.</w:t>
      </w:r>
    </w:p>
    <w:p>
      <w:pPr>
        <w:pStyle w:val="Heading2"/>
      </w:pPr>
      <w:r>
        <w:t>Protocolo paso a paso</w:t>
      </w:r>
    </w:p>
    <w:p>
      <w:pPr>
        <w:pStyle w:val="ListBullet"/>
      </w:pPr>
      <w:r>
        <w:rPr>
          <w:b w:val="0"/>
          <w:i w:val="0"/>
        </w:rPr>
        <w:t>El pase no para: quien está cocinando sigue cocinando. Detener la producción no ayuda a la inspección y sí garantiza media hora de comandas acumuladas que la sala tendrá que explicar mesa por mesa.</w:t>
      </w:r>
    </w:p>
    <w:p>
      <w:pPr>
        <w:pStyle w:val="ListBullet"/>
      </w:pPr>
      <w:r>
        <w:rPr>
          <w:b w:val="0"/>
          <w:i w:val="0"/>
        </w:rPr>
        <w:t>Acompaña a la inspección el jefe de cocina (chef de cocina) o quien esté designado como responsable del autocontrol -nunca un ayudante-, porque conoce el procedimiento entero y puede responder sin preguntárselo a otro.</w:t>
      </w:r>
    </w:p>
    <w:p>
      <w:pPr>
        <w:pStyle w:val="ListBullet"/>
      </w:pPr>
      <w:r>
        <w:rPr>
          <w:b w:val="0"/>
          <w:i w:val="0"/>
        </w:rPr>
        <w:t>Se enseña lo que se pide y sólo lo que se pide: ni de más, por celo, ni de menos, por nervios.</w:t>
      </w:r>
    </w:p>
    <w:p>
      <w:pPr>
        <w:pStyle w:val="ListBullet"/>
      </w:pPr>
      <w:r>
        <w:rPr>
          <w:b w:val="0"/>
          <w:i w:val="0"/>
        </w:rPr>
        <w:t>Cada observación se anota en el momento, con la hora y de forma textual, no reconstruida de memoria al terminar el servicio.</w:t>
      </w:r>
    </w:p>
    <w:p>
      <w:pPr>
        <w:pStyle w:val="ListBullet"/>
      </w:pPr>
      <w:r>
        <w:rPr>
          <w:b w:val="0"/>
          <w:i w:val="0"/>
        </w:rPr>
        <w:t>Al cerrar el servicio se reúne a la brigada cinco minutos, antes de que se enfríe el recuerdo de lo ocurrido puerta adentro.</w:t>
      </w:r>
    </w:p>
    <w:p>
      <w:r>
        <w:rPr>
          <w:b w:val="0"/>
          <w:i w:val="0"/>
        </w:rPr>
        <w:t>Lo que se enseña desde la cocina, más allá del propio pase, es concreto: el procedimiento de autocontrol y quién figura como responsable designado; las fichas técnicas (recetas estándar) con sus alérgenos de proceso -de esta cocina, tres platos de la carta ya tienen la ficha cerrada-; el registro de comidas testigo cuando hay eventos; las temperaturas del muestreo del propio pase; y la trazabilidad de un paso atrás de lo que hay en cámara. Los registros diarios de temperaturas, limpieza y control de plagas están en el Pack APPCC y se enseñan desde ahí.</w:t>
      </w:r>
    </w:p>
    <w:p>
      <w:pPr>
        <w:pStyle w:val="Heading2"/>
      </w:pPr>
      <w:r>
        <w:t>La norma que aplica</w:t>
      </w:r>
    </w:p>
    <w:p>
      <w:r>
        <w:rPr>
          <w:b w:val="0"/>
          <w:i w:val="0"/>
        </w:rPr>
        <w:t>Desde la modificación de 2021, el Reglamento (CE) 852/2004, en su Anexo II, Capítulo XI bis, puntos 1-3, obliga al titular a establecer y poder demostrar una cultura de seguridad alimentaria: compromiso de la dirección, liderazgo, conocimiento de los peligros por todo el personal, comunicación abierta entre turnos y recursos suficientes, aplicada según la naturaleza y el tamaño de cada negocio. No es una recomendación de estilo: es justo lo que viene a comprobar quien inspecciona cuando pregunta quién decide, quién forma y quién resuelve un fallo. A eso se suma la obligación, recogida en el art. 5 y el Anexo II Capítulo XI bis del Reglamento (CE) 852/2004 y en el art. 20 del RD 1021/2022 -comprobado el 6 de septiembre de 2026-, de mantener un procedimiento de autocontrol permanente basado en los principios del APPCC, con una persona designada como responsable y revisado cada vez que cambia un producto, un proceso o un proveedor. Esa persona designada es la que tiene que acompañar la visita: no es un formalismo de papel, es la que la norma espera encontrar al otro lado de cada pregunta.</w:t>
      </w:r>
    </w:p>
    <w:p>
      <w:pPr>
        <w:pStyle w:val="Heading2"/>
      </w:pPr>
      <w:r>
        <w:t>La herramienta y el guion</w:t>
      </w:r>
    </w:p>
    <w:p>
      <w:r>
        <w:rPr>
          <w:b w:val="0"/>
          <w:i w:val="0"/>
        </w:rPr>
        <w:t>La auditoría interna de cocina no es un ejercicio aparte: es el ensayo de esta visita, con los mismos 50 puntos de control repartidos en cinco áreas que recorrería quien inspecciona, y su nota ponderada -esos 3,54 sobre 5, ese 70,9 % de cumplimiento global- es la fotografía que permite saber, antes de que suene el timbre, dónde está el hueco que cerrar primero. Junto a ella está la hoja de estado normativo, con su propia fecha de corte, que avisa cuando pasan 180 días sin revisar cada norma -en el ejemplo de esta casa, con el aviso «Revisión reciente»-, de modo que nadie descubre un vencimiento el mismo viernes en que se presenta la inspección. Y está la frase con la que se recibe a quien llega: algo tan sencillo como «Adelante, ¿quieren empezar por la documentación o prefieren ver la cocina primero?», dicho con la misma calma con la que se contesta una comanda más. No suena a que se esconda nada porque no hay nada que esconder. Qué se firma, qué se responde por escrito y qué se hace con el acta una vez que la inspección se ha ido son decisiones de dirección, no de cocina, y están resueltas en el Manual del Manager, en su capítulo 19 y en el bonus que lo acompaña.</w:t>
      </w:r>
    </w:p>
    <w:p>
      <w:r>
        <w:rPr>
          <w:b/>
          <w:i w:val="0"/>
        </w:rPr>
        <w:t>El estado de cada norma a la fecha de corte, que es lo que se enseña (auditoria-interna-cocina.xlsx, hoja «Estado Normativo»)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Norma</w:t>
            </w:r>
          </w:p>
        </w:tc>
        <w:tc>
          <w:tcPr>
            <w:tcW w:type="dxa" w:w="3249"/>
          </w:tcPr>
          <w:p>
            <w:r/>
            <w:r>
              <w:rPr>
                <w:b/>
                <w:i w:val="0"/>
              </w:rPr>
              <w:t>Estado a la fecha de corte</w:t>
            </w:r>
          </w:p>
        </w:tc>
        <w:tc>
          <w:tcPr>
            <w:tcW w:type="dxa" w:w="3249"/>
          </w:tcPr>
          <w:p>
            <w:r/>
            <w:r>
              <w:rPr>
                <w:b/>
                <w:i w:val="0"/>
              </w:rPr>
              <w:t>Qué tiene que hacer el chef</w:t>
            </w:r>
          </w:p>
        </w:tc>
      </w:tr>
      <w:tr>
        <w:tc>
          <w:tcPr>
            <w:tcW w:type="dxa" w:w="3249"/>
          </w:tcPr>
          <w:p>
            <w:r/>
            <w:r>
              <w:rPr>
                <w:b w:val="0"/>
                <w:i w:val="0"/>
              </w:rPr>
              <w:t>Reglamento (CE) 852/2004, con la modificación 2021/382</w:t>
            </w:r>
          </w:p>
        </w:tc>
        <w:tc>
          <w:tcPr>
            <w:tcW w:type="dxa" w:w="3249"/>
          </w:tcPr>
          <w:p>
            <w:r/>
            <w:r>
              <w:rPr>
                <w:b w:val="0"/>
                <w:i w:val="0"/>
              </w:rPr>
              <w:t>Vigente; la modificación se aplica desde el 24-03-2021</w:t>
            </w:r>
          </w:p>
        </w:tc>
        <w:tc>
          <w:tcPr>
            <w:tcW w:type="dxa" w:w="3249"/>
          </w:tcPr>
          <w:p>
            <w:r/>
            <w:r>
              <w:rPr>
                <w:b w:val="0"/>
                <w:i w:val="0"/>
              </w:rPr>
              <w:t>La cultura de seguridad alimentaria es obligación de la dirección, no del último que entró: hay que poder demostrarla (Cap. XI bis)</w:t>
            </w:r>
          </w:p>
        </w:tc>
      </w:tr>
      <w:tr>
        <w:tc>
          <w:tcPr>
            <w:tcW w:type="dxa" w:w="3249"/>
          </w:tcPr>
          <w:p>
            <w:r/>
            <w:r>
              <w:rPr>
                <w:b w:val="0"/>
                <w:i w:val="0"/>
              </w:rPr>
              <w:t>Reglamento (UE) 1169/2011 y RD 126/2015</w:t>
            </w:r>
          </w:p>
        </w:tc>
        <w:tc>
          <w:tcPr>
            <w:tcW w:type="dxa" w:w="3249"/>
          </w:tcPr>
          <w:p>
            <w:r/>
            <w:r>
              <w:rPr>
                <w:b w:val="0"/>
                <w:i w:val="0"/>
              </w:rPr>
              <w:t>Vigentes</w:t>
            </w:r>
          </w:p>
        </w:tc>
        <w:tc>
          <w:tcPr>
            <w:tcW w:type="dxa" w:w="3249"/>
          </w:tcPr>
          <w:p>
            <w:r/>
            <w:r>
              <w:rPr>
                <w:b w:val="0"/>
                <w:i w:val="0"/>
              </w:rPr>
              <w:t>Los 14 alérgenos, por escrito y accesibles. El cartel de «consulte al personal» no basta sin soporte escrito</w:t>
            </w:r>
          </w:p>
        </w:tc>
      </w:tr>
      <w:tr>
        <w:tc>
          <w:tcPr>
            <w:tcW w:type="dxa" w:w="3249"/>
          </w:tcPr>
          <w:p>
            <w:r/>
            <w:r>
              <w:rPr>
                <w:b w:val="0"/>
                <w:i w:val="0"/>
              </w:rPr>
              <w:t>Reglamento (UE) 828/2014 (gluten)</w:t>
            </w:r>
          </w:p>
        </w:tc>
        <w:tc>
          <w:tcPr>
            <w:tcW w:type="dxa" w:w="3249"/>
          </w:tcPr>
          <w:p>
            <w:r/>
            <w:r>
              <w:rPr>
                <w:b w:val="0"/>
                <w:i w:val="0"/>
              </w:rPr>
              <w:t>Vigente desde el 20-07-2016</w:t>
            </w:r>
          </w:p>
        </w:tc>
        <w:tc>
          <w:tcPr>
            <w:tcW w:type="dxa" w:w="3249"/>
          </w:tcPr>
          <w:p>
            <w:r/>
            <w:r>
              <w:rPr>
                <w:b w:val="0"/>
                <w:i w:val="0"/>
              </w:rPr>
              <w:t>Si anuncias un plato «sin gluten» te obligas a 20 mg/kg; «muy bajo en gluten», 100 mg/kg</w:t>
            </w:r>
          </w:p>
        </w:tc>
      </w:tr>
      <w:tr>
        <w:tc>
          <w:tcPr>
            <w:tcW w:type="dxa" w:w="3249"/>
          </w:tcPr>
          <w:p>
            <w:r/>
            <w:r>
              <w:rPr>
                <w:b w:val="0"/>
                <w:i w:val="0"/>
              </w:rPr>
              <w:t>Reglamento (CE) 2073/2005 (criterios microbiológicos)</w:t>
            </w:r>
          </w:p>
        </w:tc>
        <w:tc>
          <w:tcPr>
            <w:tcW w:type="dxa" w:w="3249"/>
          </w:tcPr>
          <w:p>
            <w:r/>
            <w:r>
              <w:rPr>
                <w:b w:val="0"/>
                <w:i w:val="0"/>
              </w:rPr>
              <w:t>Vigente, consolidado a 08-03-2020</w:t>
            </w:r>
          </w:p>
        </w:tc>
        <w:tc>
          <w:tcPr>
            <w:tcW w:type="dxa" w:w="3249"/>
          </w:tcPr>
          <w:p>
            <w:r/>
            <w:r>
              <w:rPr>
                <w:b w:val="0"/>
                <w:i w:val="0"/>
              </w:rPr>
              <w:t>Si el plato favorece el crecimiento de Listeria, el estudio de vida útil se documenta: no hay un número de días fijado por ley</w:t>
            </w:r>
          </w:p>
        </w:tc>
      </w:tr>
      <w:tr>
        <w:tc>
          <w:tcPr>
            <w:tcW w:type="dxa" w:w="3249"/>
          </w:tcPr>
          <w:p>
            <w:r/>
            <w:r>
              <w:rPr>
                <w:b w:val="0"/>
                <w:i w:val="0"/>
              </w:rPr>
              <w:t>RD 1086/2020 (redacción del RD 1021/2022), art. 30</w:t>
            </w:r>
          </w:p>
        </w:tc>
        <w:tc>
          <w:tcPr>
            <w:tcW w:type="dxa" w:w="3249"/>
          </w:tcPr>
          <w:p>
            <w:r/>
            <w:r>
              <w:rPr>
                <w:b w:val="0"/>
                <w:i w:val="0"/>
              </w:rPr>
              <w:t>Vigente; última actualización 22-12-2022</w:t>
            </w:r>
          </w:p>
        </w:tc>
        <w:tc>
          <w:tcPr>
            <w:tcW w:type="dxa" w:w="3249"/>
          </w:tcPr>
          <w:p>
            <w:r/>
            <w:r>
              <w:rPr>
                <w:b w:val="0"/>
                <w:i w:val="0"/>
              </w:rPr>
              <w:t>Las cinco temperaturas y el binomio de enfriamiento van en la ficha de cada plato que se mantenga o se regenere</w:t>
            </w:r>
          </w:p>
        </w:tc>
      </w:tr>
      <w:tr>
        <w:tc>
          <w:tcPr>
            <w:tcW w:type="dxa" w:w="3249"/>
          </w:tcPr>
          <w:p>
            <w:r/>
            <w:r>
              <w:rPr>
                <w:b w:val="0"/>
                <w:i w:val="0"/>
              </w:rPr>
              <w:t>RD 1086/2020, art. 30, apartados 8, 9 y 10 (comidas testigo)</w:t>
            </w:r>
          </w:p>
        </w:tc>
        <w:tc>
          <w:tcPr>
            <w:tcW w:type="dxa" w:w="3249"/>
          </w:tcPr>
          <w:p>
            <w:r/>
            <w:r>
              <w:rPr>
                <w:b w:val="0"/>
                <w:i w:val="0"/>
              </w:rPr>
              <w:t>Vigente</w:t>
            </w:r>
          </w:p>
        </w:tc>
        <w:tc>
          <w:tcPr>
            <w:tcW w:type="dxa" w:w="3249"/>
          </w:tcPr>
          <w:p>
            <w:r/>
            <w:r>
              <w:rPr>
                <w:b w:val="0"/>
                <w:i w:val="0"/>
              </w:rPr>
              <w:t>Más de 40 comensales en un encargo: 100 g por elaboración, 7 días, a 4 °C o a -18 °C, identificada y fechada</w:t>
            </w:r>
          </w:p>
        </w:tc>
      </w:tr>
      <w:tr>
        <w:tc>
          <w:tcPr>
            <w:tcW w:type="dxa" w:w="3249"/>
          </w:tcPr>
          <w:p>
            <w:r/>
            <w:r>
              <w:rPr>
                <w:b w:val="0"/>
                <w:i w:val="0"/>
              </w:rPr>
              <w:t>RD 1021/2022, art. 11 (elaboración propia)</w:t>
            </w:r>
          </w:p>
        </w:tc>
        <w:tc>
          <w:tcPr>
            <w:tcW w:type="dxa" w:w="3249"/>
          </w:tcPr>
          <w:p>
            <w:r/>
            <w:r>
              <w:rPr>
                <w:b w:val="0"/>
                <w:i w:val="0"/>
              </w:rPr>
              <w:t>Vigente desde el 22-12-2022</w:t>
            </w:r>
          </w:p>
        </w:tc>
        <w:tc>
          <w:tcPr>
            <w:tcW w:type="dxa" w:w="3249"/>
          </w:tcPr>
          <w:p>
            <w:r/>
            <w:r>
              <w:rPr>
                <w:b w:val="0"/>
                <w:i w:val="0"/>
              </w:rPr>
              <w:t>La mención es voluntaria; fraccionar, envasar, deshuesar carne fresca o limpiar pescado NO es elaboración</w:t>
            </w:r>
          </w:p>
        </w:tc>
      </w:tr>
      <w:tr>
        <w:tc>
          <w:tcPr>
            <w:tcW w:type="dxa" w:w="3249"/>
          </w:tcPr>
          <w:p>
            <w:r/>
            <w:r>
              <w:rPr>
                <w:b w:val="0"/>
                <w:i w:val="0"/>
              </w:rPr>
              <w:t>RD 1021/2022, art. 8 (anisakis)</w:t>
            </w:r>
          </w:p>
        </w:tc>
        <w:tc>
          <w:tcPr>
            <w:tcW w:type="dxa" w:w="3249"/>
          </w:tcPr>
          <w:p>
            <w:r/>
            <w:r>
              <w:rPr>
                <w:b w:val="0"/>
                <w:i w:val="0"/>
              </w:rPr>
              <w:t>Vigente. El RD 1420/2006 está DEROGADO con efectos del 22-12-2022</w:t>
            </w:r>
          </w:p>
        </w:tc>
        <w:tc>
          <w:tcPr>
            <w:tcW w:type="dxa" w:w="3249"/>
          </w:tcPr>
          <w:p>
            <w:r/>
            <w:r>
              <w:rPr>
                <w:b w:val="0"/>
                <w:i w:val="0"/>
              </w:rPr>
              <w:t>Congelación a -20 °C durante 24 horas, o a -35 °C durante 15 horas, salvo el pescado de aguas continentales (excluido) y salvo la acuicultura marina con declaración del operador de origen por lote; hay que informar al consumidor por cartel o carta-menú. El plazo de siete días que circula por el sector viene de una norma derogada</w:t>
            </w:r>
          </w:p>
        </w:tc>
      </w:tr>
      <w:tr>
        <w:tc>
          <w:tcPr>
            <w:tcW w:type="dxa" w:w="3249"/>
          </w:tcPr>
          <w:p>
            <w:r/>
            <w:r>
              <w:rPr>
                <w:b w:val="0"/>
                <w:i w:val="0"/>
              </w:rPr>
              <w:t>Orden de 26-01-1989 sobre aceites de fritura, art. 6.3</w:t>
            </w:r>
          </w:p>
        </w:tc>
        <w:tc>
          <w:tcPr>
            <w:tcW w:type="dxa" w:w="3249"/>
          </w:tcPr>
          <w:p>
            <w:r/>
            <w:r>
              <w:rPr>
                <w:b w:val="0"/>
                <w:i w:val="0"/>
              </w:rPr>
              <w:t>Vigente (otros artículos derogados por el RD 176/2013)</w:t>
            </w:r>
          </w:p>
        </w:tc>
        <w:tc>
          <w:tcPr>
            <w:tcW w:type="dxa" w:w="3249"/>
          </w:tcPr>
          <w:p>
            <w:r/>
            <w:r>
              <w:rPr>
                <w:b w:val="0"/>
                <w:i w:val="0"/>
              </w:rPr>
              <w:t>Por debajo del 25 % de compuestos polares. Se mide, no se mira el color</w:t>
            </w:r>
          </w:p>
        </w:tc>
      </w:tr>
      <w:tr>
        <w:tc>
          <w:tcPr>
            <w:tcW w:type="dxa" w:w="3249"/>
          </w:tcPr>
          <w:p>
            <w:r/>
            <w:r>
              <w:rPr>
                <w:b w:val="0"/>
                <w:i w:val="0"/>
              </w:rPr>
              <w:t>Reglamento (UE) 2023/915 (contaminantes)</w:t>
            </w:r>
          </w:p>
        </w:tc>
        <w:tc>
          <w:tcPr>
            <w:tcW w:type="dxa" w:w="3249"/>
          </w:tcPr>
          <w:p>
            <w:r/>
            <w:r>
              <w:rPr>
                <w:b w:val="0"/>
                <w:i w:val="0"/>
              </w:rPr>
              <w:t>Vigente desde mayo de 2023; derogó el Reglamento 1881/2006</w:t>
            </w:r>
          </w:p>
        </w:tc>
        <w:tc>
          <w:tcPr>
            <w:tcW w:type="dxa" w:w="3249"/>
          </w:tcPr>
          <w:p>
            <w:r/>
            <w:r>
              <w:rPr>
                <w:b w:val="0"/>
                <w:i w:val="0"/>
              </w:rPr>
              <w:t>Vincula al COMPRAR: es la garantía que se le pide al proveedor, no un análisis de cocina</w:t>
            </w:r>
          </w:p>
        </w:tc>
      </w:tr>
      <w:tr>
        <w:tc>
          <w:tcPr>
            <w:tcW w:type="dxa" w:w="3249"/>
          </w:tcPr>
          <w:p>
            <w:r/>
            <w:r>
              <w:rPr>
                <w:b w:val="0"/>
                <w:i w:val="0"/>
              </w:rPr>
              <w:t>Reglamento (UE) 2017/2158 (acrilamida)</w:t>
            </w:r>
          </w:p>
        </w:tc>
        <w:tc>
          <w:tcPr>
            <w:tcW w:type="dxa" w:w="3249"/>
          </w:tcPr>
          <w:p>
            <w:r/>
            <w:r>
              <w:rPr>
                <w:b w:val="0"/>
                <w:i w:val="0"/>
              </w:rPr>
              <w:t>Vigente desde el 11-04-2018; no nombra a los restaurantes como sujeto obligado</w:t>
            </w:r>
          </w:p>
        </w:tc>
        <w:tc>
          <w:tcPr>
            <w:tcW w:type="dxa" w:w="3249"/>
          </w:tcPr>
          <w:p>
            <w:r/>
            <w:r>
              <w:rPr>
                <w:b w:val="0"/>
                <w:i w:val="0"/>
              </w:rPr>
              <w:t>Los niveles de referencia no son un límite sancionable: freír la patata por debajo de 175 °C es la medida práctica</w:t>
            </w:r>
          </w:p>
        </w:tc>
      </w:tr>
      <w:tr>
        <w:tc>
          <w:tcPr>
            <w:tcW w:type="dxa" w:w="3249"/>
          </w:tcPr>
          <w:p>
            <w:r/>
            <w:r>
              <w:rPr>
                <w:b w:val="0"/>
                <w:i w:val="0"/>
              </w:rPr>
              <w:t>RD 486/1997, Anexo III (temperatura del local)</w:t>
            </w:r>
          </w:p>
        </w:tc>
        <w:tc>
          <w:tcPr>
            <w:tcW w:type="dxa" w:w="3249"/>
          </w:tcPr>
          <w:p>
            <w:r/>
            <w:r>
              <w:rPr>
                <w:b w:val="0"/>
                <w:i w:val="0"/>
              </w:rPr>
              <w:t>Vigente, actualizado en 2025</w:t>
            </w:r>
          </w:p>
        </w:tc>
        <w:tc>
          <w:tcPr>
            <w:tcW w:type="dxa" w:w="3249"/>
          </w:tcPr>
          <w:p>
            <w:r/>
            <w:r>
              <w:rPr>
                <w:b w:val="0"/>
                <w:i w:val="0"/>
              </w:rPr>
              <w:t>La categoría de trabajo la fija TU evaluación de riesgos, y el Anexo III admite condicionantes del local: 17-27 °C sedentario, 14-25 °C ligero y sin rango para el trabajo pesado. La cocina no tiene un rango propio en la norma: el suyo sale de la evaluación de riesgos del local</w:t>
            </w:r>
          </w:p>
        </w:tc>
      </w:tr>
      <w:tr>
        <w:tc>
          <w:tcPr>
            <w:tcW w:type="dxa" w:w="3249"/>
          </w:tcPr>
          <w:p>
            <w:r/>
            <w:r>
              <w:rPr>
                <w:b w:val="0"/>
                <w:i w:val="0"/>
              </w:rPr>
              <w:t>RD 773/1997 (equipos de protección individual)</w:t>
            </w:r>
          </w:p>
        </w:tc>
        <w:tc>
          <w:tcPr>
            <w:tcW w:type="dxa" w:w="3249"/>
          </w:tcPr>
          <w:p>
            <w:r/>
            <w:r>
              <w:rPr>
                <w:b w:val="0"/>
                <w:i w:val="0"/>
              </w:rPr>
              <w:t>Vigente, modificado por el RD 1076/2021</w:t>
            </w:r>
          </w:p>
        </w:tc>
        <w:tc>
          <w:tcPr>
            <w:tcW w:type="dxa" w:w="3249"/>
          </w:tcPr>
          <w:p>
            <w:r/>
            <w:r>
              <w:rPr>
                <w:b w:val="0"/>
                <w:i w:val="0"/>
              </w:rPr>
              <w:t>El uso regular de cuchillos y los ambientes húmedos están en el Anexo III: el EPI se entrega gratis y se repone</w:t>
            </w:r>
          </w:p>
        </w:tc>
      </w:tr>
      <w:tr>
        <w:tc>
          <w:tcPr>
            <w:tcW w:type="dxa" w:w="3249"/>
          </w:tcPr>
          <w:p>
            <w:r/>
            <w:r>
              <w:rPr>
                <w:b w:val="0"/>
                <w:i w:val="0"/>
              </w:rPr>
              <w:t>Ley 1/2025 de prevención de pérdidas y desperdicio alimentario</w:t>
            </w:r>
          </w:p>
        </w:tc>
        <w:tc>
          <w:tcPr>
            <w:tcW w:type="dxa" w:w="3249"/>
          </w:tcPr>
          <w:p>
            <w:r/>
            <w:r>
              <w:rPr>
                <w:b w:val="0"/>
                <w:i w:val="0"/>
              </w:rPr>
              <w:t>Publicada en el BOE el 02-04-2025; las obligaciones del art. 6 son exigibles desde el 02-04-2026 (DF vigésima)</w:t>
            </w:r>
          </w:p>
        </w:tc>
        <w:tc>
          <w:tcPr>
            <w:tcW w:type="dxa" w:w="3249"/>
          </w:tcPr>
          <w:p>
            <w:r/>
            <w:r>
              <w:rPr>
                <w:b w:val="0"/>
                <w:i w:val="0"/>
              </w:rPr>
              <w:t>Las microempresas quedan excluidas de las obligaciones del art. 6, pero el doggy bag del art. 8 les sigue obligando</w:t>
            </w:r>
          </w:p>
        </w:tc>
      </w:tr>
    </w:tbl>
    <w:p/>
    <w:p>
      <w:pPr>
        <w:jc w:val="center"/>
      </w:pPr>
      <w:r>
        <w:rPr>
          <w:i/>
          <w:color w:val="444444"/>
        </w:rPr>
        <w:t>Esta hoja no la pide ningún inspector: la usas tú para no llegar a la visita citando una norma derogada, que es lo que más veces pasa.</w:t>
      </w:r>
    </w:p>
    <w:p>
      <w:r>
        <w:br w:type="page"/>
      </w:r>
    </w:p>
    <w:p>
      <w:pPr>
        <w:pStyle w:val="Heading1"/>
      </w:pPr>
      <w:r>
        <w:t>4. Un Banquete de Ciento Veinte Personas: Qué Guardar, Cómo y Cuánto Tiempo</w:t>
      </w:r>
    </w:p>
    <w:p>
      <w:pPr>
        <w:pStyle w:val="Heading2"/>
      </w:pPr>
      <w:r>
        <w:t>La situación</w:t>
      </w:r>
    </w:p>
    <w:p>
      <w:r>
        <w:rPr>
          <w:b w:val="0"/>
          <w:i w:val="0"/>
        </w:rPr>
        <w:t>Nada más colgar la llamada con el cliente, la propuesta de banquete ya está aceptada: 120 comensales, un menú con 6 elaboraciones y fecha cerrada. El chef ejecutivo (chef corporativo, cuando dirige varias cocinas) la da por buena sin abrir antes el libro de banquetes y comidas testigo, y ese es el momento en el que se decide si el evento cumple o no. La obligación de conservar comida testigo se dispara a partir de 40 comensales, y 120 la superan con margen de sobra: en cuanto la cifra entra en el registro, el libro enciende la alerta «COMIDA TESTIGO OBLIGATORIA» y reclama una muestra por cada una de las 6 elaboraciones del menú, no una del banquete completo. Salir de esa llamada sin haber mirado el umbral es salir sin saber que, terminado el servicio, tienen que existir 6 raciones ya guardadas en la cámara. Lo que el chef ejecutivo hace al colgar es abrir el libro y encargarle al jefe de partida (chef de partie) que aparte esas 6 raciones antes de que arranque el servicio.</w:t>
      </w:r>
    </w:p>
    <w:p>
      <w:pPr>
        <w:pStyle w:val="Heading2"/>
      </w:pPr>
      <w:r>
        <w:t>Qué no hacer</w:t>
      </w:r>
    </w:p>
    <w:p>
      <w:r>
        <w:rPr>
          <w:b w:val="0"/>
          <w:i w:val="0"/>
        </w:rPr>
        <w:t>Guardar una sola muestra «del menú», como si una ración representara a las seis elaboraciones, es el error más extendido: cada elaboración tiene su propio riesgo y necesita su propia ración, aunque las seis salgan de la misma cocina el mismo día.</w:t>
      </w:r>
    </w:p>
    <w:p>
      <w:r>
        <w:rPr>
          <w:b w:val="0"/>
          <w:i w:val="0"/>
        </w:rPr>
        <w:t>Guardarla en un táper sin identificar y sin fecha la convierte en papel mojado: un envase sin el plato, el lote y la fecha no sirve de nada el día que haya que abrir esa cámara por una incidencia.</w:t>
      </w:r>
    </w:p>
    <w:p>
      <w:r>
        <w:rPr>
          <w:b w:val="0"/>
          <w:i w:val="0"/>
        </w:rPr>
        <w:t>Tirarla en cuanto termina el evento, porque «ya no hace falta», es el error que más se comete sin mala fe: la obligación es guardarla un mínimo de 7 días desde que se recogió, aunque el evento haya salido perfecto.</w:t>
      </w:r>
    </w:p>
    <w:p>
      <w:r>
        <w:rPr>
          <w:b w:val="0"/>
          <w:i w:val="0"/>
        </w:rPr>
        <w:t>Y dar por hecho que sólo alcanza a los banquetes en salón dedicado es el cuarto error: el umbral lo dispara el número de comensales, no el tipo de local, así que un evento de 120 personas obliga igual en una carpa o en la propia casa del cliente.</w:t>
      </w:r>
    </w:p>
    <w:p>
      <w:pPr>
        <w:pStyle w:val="Heading2"/>
      </w:pPr>
      <w:r>
        <w:t>Protocolo paso a paso</w:t>
      </w:r>
    </w:p>
    <w:p>
      <w:r>
        <w:rPr>
          <w:b w:val="0"/>
          <w:i w:val="0"/>
        </w:rPr>
        <w:t>El protocolo empieza antes de aceptar el encargo, no en cocina: comprobar, con los comensales que trae la propuesta, si el evento entra en los supuestos que obligan a guardar comida testigo. Superados los 40 comensales, entra, y a partir de ahí:</w:t>
      </w:r>
    </w:p>
    <w:p>
      <w:pPr>
        <w:pStyle w:val="ListBullet"/>
      </w:pPr>
      <w:r>
        <w:rPr>
          <w:b w:val="0"/>
          <w:i w:val="0"/>
        </w:rPr>
        <w:t>Recoger una ración individual de al menos 100 gramos por cada elaboración, no una ración por menú completo: con 6 elaboraciones, salen 6 raciones.</w:t>
      </w:r>
    </w:p>
    <w:p>
      <w:pPr>
        <w:pStyle w:val="ListBullet"/>
      </w:pPr>
      <w:r>
        <w:rPr>
          <w:b w:val="0"/>
          <w:i w:val="0"/>
        </w:rPr>
        <w:t>Identificar cada ración con el plato, el lote de producción del día y la fecha de recogida, sobre el propio envase.</w:t>
      </w:r>
    </w:p>
    <w:p>
      <w:pPr>
        <w:pStyle w:val="ListBullet"/>
      </w:pPr>
      <w:r>
        <w:rPr>
          <w:b w:val="0"/>
          <w:i w:val="0"/>
        </w:rPr>
        <w:t>Conservarla en refrigeración a 4 °C o menos, o en congelación a -18 °C o menos, según lo que tenga disponible la cocina.</w:t>
      </w:r>
    </w:p>
    <w:p>
      <w:pPr>
        <w:pStyle w:val="ListBullet"/>
      </w:pPr>
      <w:r>
        <w:rPr>
          <w:b w:val="0"/>
          <w:i w:val="0"/>
        </w:rPr>
        <w:t>Guardarla un mínimo de 7 días desde la recogida, sin excepción porque el evento haya salido bien.</w:t>
      </w:r>
    </w:p>
    <w:p>
      <w:pPr>
        <w:pStyle w:val="ListBullet"/>
      </w:pPr>
      <w:r>
        <w:rPr>
          <w:b w:val="0"/>
          <w:i w:val="0"/>
        </w:rPr>
        <w:t>Destruirla sólo cuando la cuenta atrás del libro lo indique, nunca por criterio propio de que «ya ha pasado tiempo de sobra».</w:t>
      </w:r>
    </w:p>
    <w:p>
      <w:r>
        <w:rPr>
          <w:b w:val="0"/>
          <w:i w:val="0"/>
        </w:rPr>
        <w:t>Hay un punto que casi nadie conoce: la doble toma. Cuando la elaboración y el servicio ocurren en establecimientos distintos -el caso del catering, obrador en un sitio y evento en otro- hacen falta dos muestras de cada elaboración: quien elabora recoge la suya cerca de la salida del obrador, y quien sirve recoge la suya en el momento del servicio. En este evento, elaboración y servicio ocurren en la misma casa, así que el libro no marca ningún aviso de doble toma; pero esa pregunta se comprueba siempre, porque cambia con cada encargo.</w:t>
      </w:r>
    </w:p>
    <w:p>
      <w:pPr>
        <w:pStyle w:val="Heading2"/>
      </w:pPr>
      <w:r>
        <w:t>La norma que aplica</w:t>
      </w:r>
    </w:p>
    <w:p>
      <w:r>
        <w:rPr>
          <w:b w:val="0"/>
          <w:i w:val="0"/>
        </w:rPr>
        <w:t>Los supuestos que obligan, el gramaje mínimo, los 7 días de conservación y las dos temperaturas de guarda están en los apartados 8, 9 y 10 del artículo 30 del RD 1086/2020, en la redacción del RD 1021/2022 -comprobado el 6 de septiembre de 2026-. El apartado 8 fija los supuestos tasados, entre ellos cualquier encargo para grupos o eventos de más de 40 personas, el que hace obligatorio este evento. El apartado 9 regula la doble toma del catering. El apartado 10 fija la ración mínima de 100 gramos, identificada y fechada, en refrigeración a 4 °C o menos o en congelación a -18 °C o menos, durante un mínimo de 7 días. No es un criterio de gestión: es una obligación legal, y por eso el libro no deja avanzar el evento sin la alerta encendida.</w:t>
      </w:r>
    </w:p>
    <w:p>
      <w:pPr>
        <w:pStyle w:val="Heading2"/>
      </w:pPr>
      <w:r>
        <w:t>La herramienta y el guion</w:t>
      </w:r>
    </w:p>
    <w:p>
      <w:r>
        <w:rPr>
          <w:b w:val="0"/>
          <w:i w:val="0"/>
        </w:rPr>
        <w:t>Toda esta gestión vive en el libro de banquetes y comidas testigo, que para este evento ya tiene registradas las 6 muestras testigo de las 6 elaboraciones, sin ninguna pendiente de tomar. La hoja «Registro de Comidas Testigo» enciende la alerta «COMIDA TESTIGO OBLIGATORIA» en cuanto se escriben los comensales, exige el gramaje de 100 gramos y las dos temperaturas de guarda, cuenta los 7 días desde la recogida de cada ración y avisa si el evento necesita la doble toma. La tabla de abajo es esa ficha, elaboración por elaboración.</w:t>
      </w:r>
    </w:p>
    <w:p>
      <w:r>
        <w:rPr>
          <w:b w:val="0"/>
          <w:i w:val="0"/>
        </w:rPr>
        <w:t>Conviene tener preparada una frase para cuando el cliente pregunta por qué se le pide el número exacto de comensales antes de cerrar el menú: basta con decirle, con la misma naturalidad con la que se habla del menú, «para un evento de este tamaño llevamos un registro sanitario de comida testigo de cada plato, así que necesito el número definitivo de comensales antes de cerrar la propuesta». La mayoría de los clientes no lo vive como un obstáculo, sino como la prueba de que el evento está en manos serias, y esa frase suele vender la casa en vez de asustar a quien la escucha.</w:t>
      </w:r>
    </w:p>
    <w:p>
      <w:r>
        <w:rPr>
          <w:b/>
          <w:i w:val="0"/>
        </w:rPr>
        <w:t>Las muestras testigo del evento, una por elaboración (banquetes-comidas-testigo.xlsx, hoja «Registro de Comidas Testigo»)</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Id de muestra</w:t>
            </w:r>
          </w:p>
        </w:tc>
        <w:tc>
          <w:tcPr>
            <w:tcW w:type="dxa" w:w="1083"/>
          </w:tcPr>
          <w:p>
            <w:r/>
            <w:r>
              <w:rPr>
                <w:b/>
                <w:i w:val="0"/>
              </w:rPr>
              <w:t>Elaboración</w:t>
            </w:r>
          </w:p>
        </w:tc>
        <w:tc>
          <w:tcPr>
            <w:tcW w:type="dxa" w:w="1083"/>
          </w:tcPr>
          <w:p>
            <w:r/>
            <w:r>
              <w:rPr>
                <w:b/>
                <w:i w:val="0"/>
              </w:rPr>
              <w:t>Gramos</w:t>
            </w:r>
          </w:p>
        </w:tc>
        <w:tc>
          <w:tcPr>
            <w:tcW w:type="dxa" w:w="1083"/>
          </w:tcPr>
          <w:p>
            <w:r/>
            <w:r>
              <w:rPr>
                <w:b/>
                <w:i w:val="0"/>
              </w:rPr>
              <w:t>Ubicación</w:t>
            </w:r>
          </w:p>
        </w:tc>
        <w:tc>
          <w:tcPr>
            <w:tcW w:type="dxa" w:w="1083"/>
          </w:tcPr>
          <w:p>
            <w:r/>
            <w:r>
              <w:rPr>
                <w:b/>
                <w:i w:val="0"/>
              </w:rPr>
              <w:t>Temperatura (°C)</w:t>
            </w:r>
          </w:p>
        </w:tc>
        <w:tc>
          <w:tcPr>
            <w:tcW w:type="dxa" w:w="1083"/>
          </w:tcPr>
          <w:p>
            <w:r/>
            <w:r>
              <w:rPr>
                <w:b/>
                <w:i w:val="0"/>
              </w:rPr>
              <w:t>Conservación</w:t>
            </w:r>
          </w:p>
        </w:tc>
        <w:tc>
          <w:tcPr>
            <w:tcW w:type="dxa" w:w="1083"/>
          </w:tcPr>
          <w:p>
            <w:r/>
            <w:r>
              <w:rPr>
                <w:b/>
                <w:i w:val="0"/>
              </w:rPr>
              <w:t>Días que faltan</w:t>
            </w:r>
          </w:p>
        </w:tc>
        <w:tc>
          <w:tcPr>
            <w:tcW w:type="dxa" w:w="1083"/>
          </w:tcPr>
          <w:p>
            <w:r/>
            <w:r>
              <w:rPr>
                <w:b/>
                <w:i w:val="0"/>
              </w:rPr>
              <w:t>Estado</w:t>
            </w:r>
          </w:p>
        </w:tc>
        <w:tc>
          <w:tcPr>
            <w:tcW w:type="dxa" w:w="1083"/>
          </w:tcPr>
          <w:p>
            <w:r/>
            <w:r>
              <w:rPr>
                <w:b/>
                <w:i w:val="0"/>
              </w:rPr>
              <w:t>Momento de la toma</w:t>
            </w:r>
          </w:p>
        </w:tc>
      </w:tr>
      <w:tr>
        <w:tc>
          <w:tcPr>
            <w:tcW w:type="dxa" w:w="1083"/>
          </w:tcPr>
          <w:p>
            <w:r/>
            <w:r>
              <w:rPr>
                <w:b w:val="0"/>
                <w:i w:val="0"/>
              </w:rPr>
              <w:t>CT-2026-014-1</w:t>
            </w:r>
          </w:p>
        </w:tc>
        <w:tc>
          <w:tcPr>
            <w:tcW w:type="dxa" w:w="1083"/>
          </w:tcPr>
          <w:p>
            <w:r/>
            <w:r>
              <w:rPr>
                <w:b w:val="0"/>
                <w:i w:val="0"/>
              </w:rPr>
              <w:t>Croquetas de jamón ibérico</w:t>
            </w:r>
          </w:p>
        </w:tc>
        <w:tc>
          <w:tcPr>
            <w:tcW w:type="dxa" w:w="1083"/>
          </w:tcPr>
          <w:p>
            <w:r/>
            <w:r>
              <w:rPr>
                <w:b w:val="0"/>
                <w:i w:val="0"/>
              </w:rPr>
              <w:t>120</w:t>
            </w:r>
          </w:p>
        </w:tc>
        <w:tc>
          <w:tcPr>
            <w:tcW w:type="dxa" w:w="1083"/>
          </w:tcPr>
          <w:p>
            <w:r/>
            <w:r>
              <w:rPr>
                <w:b w:val="0"/>
                <w:i w:val="0"/>
              </w:rPr>
              <w:t>Cámara 3, balda superior</w:t>
            </w:r>
          </w:p>
        </w:tc>
        <w:tc>
          <w:tcPr>
            <w:tcW w:type="dxa" w:w="1083"/>
          </w:tcPr>
          <w:p>
            <w:r/>
            <w:r>
              <w:rPr>
                <w:b w:val="0"/>
                <w:i w:val="0"/>
              </w:rPr>
              <w:t>4</w:t>
            </w:r>
          </w:p>
        </w:tc>
        <w:tc>
          <w:tcPr>
            <w:tcW w:type="dxa" w:w="1083"/>
          </w:tcPr>
          <w:p>
            <w:r/>
            <w:r>
              <w:rPr>
                <w:b w:val="0"/>
                <w:i w:val="0"/>
              </w:rPr>
              <w:t>Refrigeración</w:t>
            </w:r>
          </w:p>
        </w:tc>
        <w:tc>
          <w:tcPr>
            <w:tcW w:type="dxa" w:w="1083"/>
          </w:tcPr>
          <w:p>
            <w:r/>
            <w:r>
              <w:rPr>
                <w:b w:val="0"/>
                <w:i w:val="0"/>
              </w:rPr>
              <w:t>4</w:t>
            </w:r>
          </w:p>
        </w:tc>
        <w:tc>
          <w:tcPr>
            <w:tcW w:type="dxa" w:w="1083"/>
          </w:tcPr>
          <w:p>
            <w:r/>
            <w:r>
              <w:rPr>
                <w:b w:val="0"/>
                <w:i w:val="0"/>
              </w:rPr>
              <w:t>En conservación: NO destruir</w:t>
            </w:r>
          </w:p>
        </w:tc>
        <w:tc>
          <w:tcPr>
            <w:tcW w:type="dxa" w:w="1083"/>
          </w:tcPr>
          <w:p>
            <w:r/>
            <w:r>
              <w:rPr>
                <w:b w:val="0"/>
                <w:i w:val="0"/>
              </w:rPr>
              <w:t>Toma única</w:t>
            </w:r>
          </w:p>
        </w:tc>
      </w:tr>
      <w:tr>
        <w:tc>
          <w:tcPr>
            <w:tcW w:type="dxa" w:w="1083"/>
          </w:tcPr>
          <w:p>
            <w:r/>
            <w:r>
              <w:rPr>
                <w:b w:val="0"/>
                <w:i w:val="0"/>
              </w:rPr>
              <w:t>CT-2026-014-2</w:t>
            </w:r>
          </w:p>
        </w:tc>
        <w:tc>
          <w:tcPr>
            <w:tcW w:type="dxa" w:w="1083"/>
          </w:tcPr>
          <w:p>
            <w:r/>
            <w:r>
              <w:rPr>
                <w:b w:val="0"/>
                <w:i w:val="0"/>
              </w:rPr>
              <w:t>Ensalada de tomate rosa, ventresca y cebolleta</w:t>
            </w:r>
          </w:p>
        </w:tc>
        <w:tc>
          <w:tcPr>
            <w:tcW w:type="dxa" w:w="1083"/>
          </w:tcPr>
          <w:p>
            <w:r/>
            <w:r>
              <w:rPr>
                <w:b w:val="0"/>
                <w:i w:val="0"/>
              </w:rPr>
              <w:t>110</w:t>
            </w:r>
          </w:p>
        </w:tc>
        <w:tc>
          <w:tcPr>
            <w:tcW w:type="dxa" w:w="1083"/>
          </w:tcPr>
          <w:p>
            <w:r/>
            <w:r>
              <w:rPr>
                <w:b w:val="0"/>
                <w:i w:val="0"/>
              </w:rPr>
              <w:t>Cámara 3, balda superior</w:t>
            </w:r>
          </w:p>
        </w:tc>
        <w:tc>
          <w:tcPr>
            <w:tcW w:type="dxa" w:w="1083"/>
          </w:tcPr>
          <w:p>
            <w:r/>
            <w:r>
              <w:rPr>
                <w:b w:val="0"/>
                <w:i w:val="0"/>
              </w:rPr>
              <w:t>4</w:t>
            </w:r>
          </w:p>
        </w:tc>
        <w:tc>
          <w:tcPr>
            <w:tcW w:type="dxa" w:w="1083"/>
          </w:tcPr>
          <w:p>
            <w:r/>
            <w:r>
              <w:rPr>
                <w:b w:val="0"/>
                <w:i w:val="0"/>
              </w:rPr>
              <w:t>Refrigeración</w:t>
            </w:r>
          </w:p>
        </w:tc>
        <w:tc>
          <w:tcPr>
            <w:tcW w:type="dxa" w:w="1083"/>
          </w:tcPr>
          <w:p>
            <w:r/>
            <w:r>
              <w:rPr>
                <w:b w:val="0"/>
                <w:i w:val="0"/>
              </w:rPr>
              <w:t>4</w:t>
            </w:r>
          </w:p>
        </w:tc>
        <w:tc>
          <w:tcPr>
            <w:tcW w:type="dxa" w:w="1083"/>
          </w:tcPr>
          <w:p>
            <w:r/>
            <w:r>
              <w:rPr>
                <w:b w:val="0"/>
                <w:i w:val="0"/>
              </w:rPr>
              <w:t>En conservación: NO destruir</w:t>
            </w:r>
          </w:p>
        </w:tc>
        <w:tc>
          <w:tcPr>
            <w:tcW w:type="dxa" w:w="1083"/>
          </w:tcPr>
          <w:p>
            <w:r/>
            <w:r>
              <w:rPr>
                <w:b w:val="0"/>
                <w:i w:val="0"/>
              </w:rPr>
              <w:t>Toma única</w:t>
            </w:r>
          </w:p>
        </w:tc>
      </w:tr>
      <w:tr>
        <w:tc>
          <w:tcPr>
            <w:tcW w:type="dxa" w:w="1083"/>
          </w:tcPr>
          <w:p>
            <w:r/>
            <w:r>
              <w:rPr>
                <w:b w:val="0"/>
                <w:i w:val="0"/>
              </w:rPr>
              <w:t>CT-2026-014-3</w:t>
            </w:r>
          </w:p>
        </w:tc>
        <w:tc>
          <w:tcPr>
            <w:tcW w:type="dxa" w:w="1083"/>
          </w:tcPr>
          <w:p>
            <w:r/>
            <w:r>
              <w:rPr>
                <w:b w:val="0"/>
                <w:i w:val="0"/>
              </w:rPr>
              <w:t>Alcachofas confitadas con jamón</w:t>
            </w:r>
          </w:p>
        </w:tc>
        <w:tc>
          <w:tcPr>
            <w:tcW w:type="dxa" w:w="1083"/>
          </w:tcPr>
          <w:p>
            <w:r/>
            <w:r>
              <w:rPr>
                <w:b w:val="0"/>
                <w:i w:val="0"/>
              </w:rPr>
              <w:t>105</w:t>
            </w:r>
          </w:p>
        </w:tc>
        <w:tc>
          <w:tcPr>
            <w:tcW w:type="dxa" w:w="1083"/>
          </w:tcPr>
          <w:p>
            <w:r/>
            <w:r>
              <w:rPr>
                <w:b w:val="0"/>
                <w:i w:val="0"/>
              </w:rPr>
              <w:t>Cámara 3, balda superior</w:t>
            </w:r>
          </w:p>
        </w:tc>
        <w:tc>
          <w:tcPr>
            <w:tcW w:type="dxa" w:w="1083"/>
          </w:tcPr>
          <w:p>
            <w:r/>
            <w:r>
              <w:rPr>
                <w:b w:val="0"/>
                <w:i w:val="0"/>
              </w:rPr>
              <w:t>4</w:t>
            </w:r>
          </w:p>
        </w:tc>
        <w:tc>
          <w:tcPr>
            <w:tcW w:type="dxa" w:w="1083"/>
          </w:tcPr>
          <w:p>
            <w:r/>
            <w:r>
              <w:rPr>
                <w:b w:val="0"/>
                <w:i w:val="0"/>
              </w:rPr>
              <w:t>Refrigeración</w:t>
            </w:r>
          </w:p>
        </w:tc>
        <w:tc>
          <w:tcPr>
            <w:tcW w:type="dxa" w:w="1083"/>
          </w:tcPr>
          <w:p>
            <w:r/>
            <w:r>
              <w:rPr>
                <w:b w:val="0"/>
                <w:i w:val="0"/>
              </w:rPr>
              <w:t>4</w:t>
            </w:r>
          </w:p>
        </w:tc>
        <w:tc>
          <w:tcPr>
            <w:tcW w:type="dxa" w:w="1083"/>
          </w:tcPr>
          <w:p>
            <w:r/>
            <w:r>
              <w:rPr>
                <w:b w:val="0"/>
                <w:i w:val="0"/>
              </w:rPr>
              <w:t>En conservación: NO destruir</w:t>
            </w:r>
          </w:p>
        </w:tc>
        <w:tc>
          <w:tcPr>
            <w:tcW w:type="dxa" w:w="1083"/>
          </w:tcPr>
          <w:p>
            <w:r/>
            <w:r>
              <w:rPr>
                <w:b w:val="0"/>
                <w:i w:val="0"/>
              </w:rPr>
              <w:t>Toma única</w:t>
            </w:r>
          </w:p>
        </w:tc>
      </w:tr>
      <w:tr>
        <w:tc>
          <w:tcPr>
            <w:tcW w:type="dxa" w:w="1083"/>
          </w:tcPr>
          <w:p>
            <w:r/>
            <w:r>
              <w:rPr>
                <w:b w:val="0"/>
                <w:i w:val="0"/>
              </w:rPr>
              <w:t>CT-2026-014-4</w:t>
            </w:r>
          </w:p>
        </w:tc>
        <w:tc>
          <w:tcPr>
            <w:tcW w:type="dxa" w:w="1083"/>
          </w:tcPr>
          <w:p>
            <w:r/>
            <w:r>
              <w:rPr>
                <w:b w:val="0"/>
                <w:i w:val="0"/>
              </w:rPr>
              <w:t>Solomillo de cerdo ibérico con puré de boniato</w:t>
            </w:r>
          </w:p>
        </w:tc>
        <w:tc>
          <w:tcPr>
            <w:tcW w:type="dxa" w:w="1083"/>
          </w:tcPr>
          <w:p>
            <w:r/>
            <w:r>
              <w:rPr>
                <w:b w:val="0"/>
                <w:i w:val="0"/>
              </w:rPr>
              <w:t>130</w:t>
            </w:r>
          </w:p>
        </w:tc>
        <w:tc>
          <w:tcPr>
            <w:tcW w:type="dxa" w:w="1083"/>
          </w:tcPr>
          <w:p>
            <w:r/>
            <w:r>
              <w:rPr>
                <w:b w:val="0"/>
                <w:i w:val="0"/>
              </w:rPr>
              <w:t>Cámara 3, balda superior</w:t>
            </w:r>
          </w:p>
        </w:tc>
        <w:tc>
          <w:tcPr>
            <w:tcW w:type="dxa" w:w="1083"/>
          </w:tcPr>
          <w:p>
            <w:r/>
            <w:r>
              <w:rPr>
                <w:b w:val="0"/>
                <w:i w:val="0"/>
              </w:rPr>
              <w:t>4</w:t>
            </w:r>
          </w:p>
        </w:tc>
        <w:tc>
          <w:tcPr>
            <w:tcW w:type="dxa" w:w="1083"/>
          </w:tcPr>
          <w:p>
            <w:r/>
            <w:r>
              <w:rPr>
                <w:b w:val="0"/>
                <w:i w:val="0"/>
              </w:rPr>
              <w:t>Refrigeración</w:t>
            </w:r>
          </w:p>
        </w:tc>
        <w:tc>
          <w:tcPr>
            <w:tcW w:type="dxa" w:w="1083"/>
          </w:tcPr>
          <w:p>
            <w:r/>
            <w:r>
              <w:rPr>
                <w:b w:val="0"/>
                <w:i w:val="0"/>
              </w:rPr>
              <w:t>4</w:t>
            </w:r>
          </w:p>
        </w:tc>
        <w:tc>
          <w:tcPr>
            <w:tcW w:type="dxa" w:w="1083"/>
          </w:tcPr>
          <w:p>
            <w:r/>
            <w:r>
              <w:rPr>
                <w:b w:val="0"/>
                <w:i w:val="0"/>
              </w:rPr>
              <w:t>En conservación: NO destruir</w:t>
            </w:r>
          </w:p>
        </w:tc>
        <w:tc>
          <w:tcPr>
            <w:tcW w:type="dxa" w:w="1083"/>
          </w:tcPr>
          <w:p>
            <w:r/>
            <w:r>
              <w:rPr>
                <w:b w:val="0"/>
                <w:i w:val="0"/>
              </w:rPr>
              <w:t>Toma única</w:t>
            </w:r>
          </w:p>
        </w:tc>
      </w:tr>
      <w:tr>
        <w:tc>
          <w:tcPr>
            <w:tcW w:type="dxa" w:w="1083"/>
          </w:tcPr>
          <w:p>
            <w:r/>
            <w:r>
              <w:rPr>
                <w:b w:val="0"/>
                <w:i w:val="0"/>
              </w:rPr>
              <w:t>CT-2026-014-5</w:t>
            </w:r>
          </w:p>
        </w:tc>
        <w:tc>
          <w:tcPr>
            <w:tcW w:type="dxa" w:w="1083"/>
          </w:tcPr>
          <w:p>
            <w:r/>
            <w:r>
              <w:rPr>
                <w:b w:val="0"/>
                <w:i w:val="0"/>
              </w:rPr>
              <w:t>Bacalao confitado al pil-pil</w:t>
            </w:r>
          </w:p>
        </w:tc>
        <w:tc>
          <w:tcPr>
            <w:tcW w:type="dxa" w:w="1083"/>
          </w:tcPr>
          <w:p>
            <w:r/>
            <w:r>
              <w:rPr>
                <w:b w:val="0"/>
                <w:i w:val="0"/>
              </w:rPr>
              <w:t>115</w:t>
            </w:r>
          </w:p>
        </w:tc>
        <w:tc>
          <w:tcPr>
            <w:tcW w:type="dxa" w:w="1083"/>
          </w:tcPr>
          <w:p>
            <w:r/>
            <w:r>
              <w:rPr>
                <w:b w:val="0"/>
                <w:i w:val="0"/>
              </w:rPr>
              <w:t>Cámara 3, balda superior</w:t>
            </w:r>
          </w:p>
        </w:tc>
        <w:tc>
          <w:tcPr>
            <w:tcW w:type="dxa" w:w="1083"/>
          </w:tcPr>
          <w:p>
            <w:r/>
            <w:r>
              <w:rPr>
                <w:b w:val="0"/>
                <w:i w:val="0"/>
              </w:rPr>
              <w:t>4</w:t>
            </w:r>
          </w:p>
        </w:tc>
        <w:tc>
          <w:tcPr>
            <w:tcW w:type="dxa" w:w="1083"/>
          </w:tcPr>
          <w:p>
            <w:r/>
            <w:r>
              <w:rPr>
                <w:b w:val="0"/>
                <w:i w:val="0"/>
              </w:rPr>
              <w:t>Refrigeración</w:t>
            </w:r>
          </w:p>
        </w:tc>
        <w:tc>
          <w:tcPr>
            <w:tcW w:type="dxa" w:w="1083"/>
          </w:tcPr>
          <w:p>
            <w:r/>
            <w:r>
              <w:rPr>
                <w:b w:val="0"/>
                <w:i w:val="0"/>
              </w:rPr>
              <w:t>4</w:t>
            </w:r>
          </w:p>
        </w:tc>
        <w:tc>
          <w:tcPr>
            <w:tcW w:type="dxa" w:w="1083"/>
          </w:tcPr>
          <w:p>
            <w:r/>
            <w:r>
              <w:rPr>
                <w:b w:val="0"/>
                <w:i w:val="0"/>
              </w:rPr>
              <w:t>En conservación: NO destruir</w:t>
            </w:r>
          </w:p>
        </w:tc>
        <w:tc>
          <w:tcPr>
            <w:tcW w:type="dxa" w:w="1083"/>
          </w:tcPr>
          <w:p>
            <w:r/>
            <w:r>
              <w:rPr>
                <w:b w:val="0"/>
                <w:i w:val="0"/>
              </w:rPr>
              <w:t>Toma única</w:t>
            </w:r>
          </w:p>
        </w:tc>
      </w:tr>
      <w:tr>
        <w:tc>
          <w:tcPr>
            <w:tcW w:type="dxa" w:w="1083"/>
          </w:tcPr>
          <w:p>
            <w:r/>
            <w:r>
              <w:rPr>
                <w:b w:val="0"/>
                <w:i w:val="0"/>
              </w:rPr>
              <w:t>CT-2026-014-6</w:t>
            </w:r>
          </w:p>
        </w:tc>
        <w:tc>
          <w:tcPr>
            <w:tcW w:type="dxa" w:w="1083"/>
          </w:tcPr>
          <w:p>
            <w:r/>
            <w:r>
              <w:rPr>
                <w:b w:val="0"/>
                <w:i w:val="0"/>
              </w:rPr>
              <w:t>Tarta de queso cremosa</w:t>
            </w:r>
          </w:p>
        </w:tc>
        <w:tc>
          <w:tcPr>
            <w:tcW w:type="dxa" w:w="1083"/>
          </w:tcPr>
          <w:p>
            <w:r/>
            <w:r>
              <w:rPr>
                <w:b w:val="0"/>
                <w:i w:val="0"/>
              </w:rPr>
              <w:t>100</w:t>
            </w:r>
          </w:p>
        </w:tc>
        <w:tc>
          <w:tcPr>
            <w:tcW w:type="dxa" w:w="1083"/>
          </w:tcPr>
          <w:p>
            <w:r/>
            <w:r>
              <w:rPr>
                <w:b w:val="0"/>
                <w:i w:val="0"/>
              </w:rPr>
              <w:t>Congelador 1, cesta 2</w:t>
            </w:r>
          </w:p>
        </w:tc>
        <w:tc>
          <w:tcPr>
            <w:tcW w:type="dxa" w:w="1083"/>
          </w:tcPr>
          <w:p>
            <w:r/>
            <w:r>
              <w:rPr>
                <w:b w:val="0"/>
                <w:i w:val="0"/>
              </w:rPr>
              <w:t>-18</w:t>
            </w:r>
          </w:p>
        </w:tc>
        <w:tc>
          <w:tcPr>
            <w:tcW w:type="dxa" w:w="1083"/>
          </w:tcPr>
          <w:p>
            <w:r/>
            <w:r>
              <w:rPr>
                <w:b w:val="0"/>
                <w:i w:val="0"/>
              </w:rPr>
              <w:t>Congelación</w:t>
            </w:r>
          </w:p>
        </w:tc>
        <w:tc>
          <w:tcPr>
            <w:tcW w:type="dxa" w:w="1083"/>
          </w:tcPr>
          <w:p>
            <w:r/>
            <w:r>
              <w:rPr>
                <w:b w:val="0"/>
                <w:i w:val="0"/>
              </w:rPr>
              <w:t>4</w:t>
            </w:r>
          </w:p>
        </w:tc>
        <w:tc>
          <w:tcPr>
            <w:tcW w:type="dxa" w:w="1083"/>
          </w:tcPr>
          <w:p>
            <w:r/>
            <w:r>
              <w:rPr>
                <w:b w:val="0"/>
                <w:i w:val="0"/>
              </w:rPr>
              <w:t>En conservación: NO destruir</w:t>
            </w:r>
          </w:p>
        </w:tc>
        <w:tc>
          <w:tcPr>
            <w:tcW w:type="dxa" w:w="1083"/>
          </w:tcPr>
          <w:p>
            <w:r/>
            <w:r>
              <w:rPr>
                <w:b w:val="0"/>
                <w:i w:val="0"/>
              </w:rPr>
              <w:t>Toma única</w:t>
            </w:r>
          </w:p>
        </w:tc>
      </w:tr>
    </w:tbl>
    <w:p/>
    <w:p>
      <w:pPr>
        <w:jc w:val="center"/>
      </w:pPr>
      <w:r>
        <w:rPr>
          <w:i/>
          <w:color w:val="444444"/>
        </w:rPr>
        <w:t>Verificado el 06-09-2026 · Art. 30, apartados 8, 9 y 10, del RD 1086/2020 en la redacción del RD 1021/2022 · https://www.boe.es/buscar/act.php?id=BOE-A-2020-15872 - la columna de días que faltan es la que impide los dos errores contrarios: tirarlas antes de tiempo y acumular meses de táperes en la cámara.</w:t>
      </w:r>
    </w:p>
    <w:p>
      <w:r>
        <w:br w:type="page"/>
      </w:r>
    </w:p>
    <w:p>
      <w:pPr>
        <w:pStyle w:val="Heading1"/>
      </w:pPr>
      <w:r>
        <w:t>5. El Pase se Descontrola un Viernes: Cuarenta Comandas y Veinticinco Minutos</w:t>
      </w:r>
    </w:p>
    <w:p>
      <w:pPr>
        <w:pStyle w:val="Heading2"/>
      </w:pPr>
      <w:r>
        <w:t>La situación</w:t>
      </w:r>
    </w:p>
    <w:p>
      <w:r>
        <w:rPr>
          <w:b w:val="0"/>
          <w:i w:val="0"/>
        </w:rPr>
        <w:t>Son las nueve y media de un viernes, la sala está llena y el pase (despacho) lleva rato sacando principales muy por encima de lo pedido, mientras siguen entrando comandas nuevas. El objetivo de la casa para este pase es de 18 minutos, y el año, en conjunto, se mueve en 16,5: hay margen casi todas las noches. Esta noche no: el tiempo se ha ido a veinticinco minutos, siete por encima del objetivo de dieciocho, y nadie ha dicho todavía «alto» a la entrada de comandas, así que la cola crece por el mismo lado por el que se intenta vaciarla.</w:t>
      </w:r>
    </w:p>
    <w:p>
      <w:r>
        <w:rPr>
          <w:b w:val="0"/>
          <w:i w:val="0"/>
        </w:rPr>
        <w:t>El jefe de cocina (chef de cocina) mira una hilera de tickets que no deja de alargarse. Cada minuto sin decidir suma una comanda a una cola que ya no cabe en la cabeza de nadie, y el problema deja de ser una mesa para ser el pase entero: trabajar más rápido con el mismo orden ya no sirve, porque el orden es justo lo que se ha roto.</w:t>
      </w:r>
    </w:p>
    <w:p>
      <w:pPr>
        <w:pStyle w:val="Heading2"/>
      </w:pPr>
      <w:r>
        <w:t>Qué no hacer</w:t>
      </w:r>
    </w:p>
    <w:p>
      <w:pPr>
        <w:pStyle w:val="ListBullet"/>
      </w:pPr>
      <w:r>
        <w:rPr>
          <w:b w:val="0"/>
          <w:i w:val="0"/>
        </w:rPr>
        <w:t>Gritar más alto no acelera nada: sube el ruido, no baja el tiempo, y logra que nadie oiga la orden que sí importa.</w:t>
      </w:r>
    </w:p>
    <w:p>
      <w:pPr>
        <w:pStyle w:val="ListBullet"/>
      </w:pPr>
      <w:r>
        <w:rPr>
          <w:b w:val="0"/>
          <w:i w:val="0"/>
        </w:rPr>
        <w:t>Montar platos fuera de orden para «sacar algo» rompe el criterio por el que se prioriza: dos minutos después nadie sabe qué mesa iba antes y se pierde el control real de la cola.</w:t>
      </w:r>
    </w:p>
    <w:p>
      <w:pPr>
        <w:pStyle w:val="ListBullet"/>
      </w:pPr>
      <w:r>
        <w:rPr>
          <w:b w:val="0"/>
          <w:i w:val="0"/>
        </w:rPr>
        <w:t>Mandar a alguien de la partida de fríos a caliente sin decirle qué deja de hacer abre un segundo frente en vez de cerrar el primero: fríos se queda sin nadie y el problema se traslada.</w:t>
      </w:r>
    </w:p>
    <w:p>
      <w:pPr>
        <w:pStyle w:val="ListBullet"/>
      </w:pPr>
      <w:r>
        <w:rPr>
          <w:b w:val="0"/>
          <w:i w:val="0"/>
        </w:rPr>
        <w:t>Prometer a sala un tiempo que no se va a cumplir cambia una cola de cocina por una cola de comensales molestos: cuando el tiempo real llega tarde otra vez, sala deja de creerse cualquier número del pase.</w:t>
      </w:r>
    </w:p>
    <w:p>
      <w:pPr>
        <w:pStyle w:val="Heading2"/>
      </w:pPr>
      <w:r>
        <w:t>Protocolo paso a paso</w:t>
      </w:r>
    </w:p>
    <w:p>
      <w:pPr>
        <w:pStyle w:val="ListNumber"/>
      </w:pPr>
      <w:r>
        <w:rPr>
          <w:b w:val="0"/>
          <w:i w:val="0"/>
        </w:rPr>
        <w:t>Parar de aceptar comandas nuevas durante dos minutos y ordenar las que ya están por hora de entrada, no por la partida que más se queja. Sin esa foto, cualquier decisión posterior se toma a ciegas.</w:t>
      </w:r>
    </w:p>
    <w:p>
      <w:pPr>
        <w:pStyle w:val="ListNumber"/>
      </w:pPr>
      <w:r>
        <w:rPr>
          <w:b w:val="0"/>
          <w:i w:val="0"/>
        </w:rPr>
        <w:t>Agrupar por técnica cuando el atasco está en la plancha o en el horno, en vez de por mesa: si el cuello de botella es un equipo, se despacha junto lo que pasa por él.</w:t>
      </w:r>
    </w:p>
    <w:p>
      <w:pPr>
        <w:pStyle w:val="ListNumber"/>
      </w:pPr>
      <w:r>
        <w:rPr>
          <w:b w:val="0"/>
          <w:i w:val="0"/>
        </w:rPr>
        <w:t>Declarar un 86 si hay un plato concreto bloqueando la cadena: no es una rendición, es liberar al resto del pase de la elaboración que lo retiene, y se retoma en cuanto baja la cola.</w:t>
      </w:r>
    </w:p>
    <w:p>
      <w:pPr>
        <w:pStyle w:val="ListNumber"/>
      </w:pPr>
      <w:r>
        <w:rPr>
          <w:b w:val="0"/>
          <w:i w:val="0"/>
        </w:rPr>
        <w:t>Avisar a sala del tiempo real, una sola vez y con un número, nunca con un «ya casi» que nadie puede verificar: un número que se cumple reconstruye la confianza que las promesas incumplidas acaban de quemar.</w:t>
      </w:r>
    </w:p>
    <w:p>
      <w:pPr>
        <w:pStyle w:val="ListNumber"/>
      </w:pPr>
      <w:r>
        <w:rPr>
          <w:b w:val="0"/>
          <w:i w:val="0"/>
        </w:rPr>
        <w:t>Reforzar la partida que bloquea la cadena, no el pase entero: repartir gente sin destino sólo añade cuerpos mirando la misma cola.</w:t>
      </w:r>
    </w:p>
    <w:p>
      <w:pPr>
        <w:pStyle w:val="Heading2"/>
      </w:pPr>
      <w:r>
        <w:t>La norma que aplica</w:t>
      </w:r>
    </w:p>
    <w:p>
      <w:r>
        <w:rPr>
          <w:b w:val="0"/>
          <w:i w:val="0"/>
        </w:rPr>
        <w:t>Este protocolo, en sí mismo, no es una obligación legal: es criterio de gestión, la manera en que esta casa organiza la cocina bajo presión, y otra casa puede ordenar estos pasos de otra forma sin infringir nada. Hay, sin embargo, una excepción que no se puede saltar por prisa.</w:t>
      </w:r>
    </w:p>
    <w:p>
      <w:r>
        <w:rPr>
          <w:b w:val="0"/>
          <w:i w:val="0"/>
        </w:rPr>
        <w:t>Lo que se sirve caliente tiene que salir del pase a la temperatura de mantenimiento, que el art. 30.2 del RD 1086/2020, en la redacción del RD 1021/2022, fija en 63 °C o más (comprobado el 6 de septiembre de 2026). Un plato que ha esperado en el pase por debajo de esa temperatura no se envía a la mesa: se rehace, aunque suponga un segundo 86. El mismo artículo, en su punto 30.7, cierra con una regla que conviene tener presente aquí: «Todos los alimentos recalentados que no se consuman se descartarán y no volverán a calentarse ni se volverán a almacenar». Mandar un plato dos veces no es más barato: es un riesgo que la norma ya ha decidido que no se asume.</w:t>
      </w:r>
    </w:p>
    <w:p>
      <w:pPr>
        <w:pStyle w:val="Heading2"/>
      </w:pPr>
      <w:r>
        <w:t>La herramienta y el guion</w:t>
      </w:r>
    </w:p>
    <w:p>
      <w:r>
        <w:rPr>
          <w:b w:val="0"/>
          <w:i w:val="0"/>
        </w:rPr>
        <w:t>Lo que distingue un viernes malo de un problema estructural no se ve esa misma noche: se ve el lunes, con el muestreo del pase, que acumula ya 30 mediciones en la hoja de control de calidad del pase del libro de desarrollo de carta. Esa hoja da 17,2 minutos de media en principales y 8,8 en entrantes, contra objetivos de 18 y 10: si los entrantes van bien y los principales llevan semanas rozando o superando el objetivo, el viernes descontrolado fue el día en que un síntoma ya presente se hizo visible. La misma hoja registra la temperatura de emplatado, y el dato más bajo recogido, 6,0 grados, sólo aparece midiendo con regularidad.</w:t>
      </w:r>
    </w:p>
    <w:p>
      <w:r>
        <w:rPr>
          <w:b w:val="0"/>
          <w:i w:val="0"/>
        </w:rPr>
        <w:t>El coste de estas noches está también en el registro de devueltos y retrabajados: 221 platos devueltos y 516 retrabajados en el año del caso, 15,8 por cada base de cubiertos servida, el gasto invisible de un pase descontrolado.</w:t>
      </w:r>
    </w:p>
    <w:p>
      <w:r>
        <w:rPr>
          <w:b w:val="0"/>
          <w:i w:val="0"/>
        </w:rPr>
        <w:t>Conviene tener preparadas dos frases. A sala, en el momento: «El principal de tu mesa sale con el tiempo real que marca el pase, no el que gustaría decir, y no hay otro antes». A la brigada, al cerrar: «Esta noche se fue a veinticinco minutos contra un objetivo de dieciocho; el lunes miramos, con el muestreo, si fue esta noche o viene de semanas atrás».</w:t>
      </w:r>
    </w:p>
    <w:p>
      <w:r>
        <w:rPr>
          <w:b/>
          <w:i w:val="0"/>
        </w:rPr>
        <w:t>Lo que dice el muestreo del pase cuando se mira el lunes (desarrollo-carta-control-calidad.xlsx, hoja «Control de Calidad del Pase»)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Indicador</w:t>
            </w:r>
          </w:p>
        </w:tc>
        <w:tc>
          <w:tcPr>
            <w:tcW w:type="dxa" w:w="2436"/>
          </w:tcPr>
          <w:p>
            <w:r/>
            <w:r>
              <w:rPr>
                <w:b/>
                <w:i w:val="0"/>
              </w:rPr>
              <w:t>Medido</w:t>
            </w:r>
          </w:p>
        </w:tc>
        <w:tc>
          <w:tcPr>
            <w:tcW w:type="dxa" w:w="2436"/>
          </w:tcPr>
          <w:p>
            <w:r/>
            <w:r>
              <w:rPr>
                <w:b/>
                <w:i w:val="0"/>
              </w:rPr>
              <w:t>Objetivo de la casa</w:t>
            </w:r>
          </w:p>
        </w:tc>
        <w:tc>
          <w:tcPr>
            <w:tcW w:type="dxa" w:w="2436"/>
          </w:tcPr>
          <w:p>
            <w:r/>
            <w:r>
              <w:rPr>
                <w:b/>
                <w:i w:val="0"/>
              </w:rPr>
              <w:t>Lectura</w:t>
            </w:r>
          </w:p>
        </w:tc>
      </w:tr>
      <w:tr>
        <w:tc>
          <w:tcPr>
            <w:tcW w:type="dxa" w:w="2436"/>
          </w:tcPr>
          <w:p>
            <w:r/>
            <w:r>
              <w:rPr>
                <w:b w:val="0"/>
                <w:i w:val="0"/>
              </w:rPr>
              <w:t>Tiempo medio de pase - Entrantes (min)</w:t>
            </w:r>
          </w:p>
        </w:tc>
        <w:tc>
          <w:tcPr>
            <w:tcW w:type="dxa" w:w="2436"/>
          </w:tcPr>
          <w:p>
            <w:r/>
            <w:r>
              <w:rPr>
                <w:b w:val="0"/>
                <w:i w:val="0"/>
              </w:rPr>
              <w:t>8,8</w:t>
            </w:r>
          </w:p>
        </w:tc>
        <w:tc>
          <w:tcPr>
            <w:tcW w:type="dxa" w:w="2436"/>
          </w:tcPr>
          <w:p>
            <w:r/>
            <w:r>
              <w:rPr>
                <w:b w:val="0"/>
                <w:i w:val="0"/>
              </w:rPr>
              <w:t>10,0</w:t>
            </w:r>
          </w:p>
        </w:tc>
        <w:tc>
          <w:tcPr>
            <w:tcW w:type="dxa" w:w="2436"/>
          </w:tcPr>
          <w:p>
            <w:r/>
            <w:r>
              <w:rPr>
                <w:b w:val="0"/>
                <w:i w:val="0"/>
              </w:rPr>
              <w:t>En objetivo</w:t>
            </w:r>
          </w:p>
        </w:tc>
      </w:tr>
      <w:tr>
        <w:tc>
          <w:tcPr>
            <w:tcW w:type="dxa" w:w="2436"/>
          </w:tcPr>
          <w:p>
            <w:r/>
            <w:r>
              <w:rPr>
                <w:b w:val="0"/>
                <w:i w:val="0"/>
              </w:rPr>
              <w:t>Tiempo medio de pase - Principales (min)</w:t>
            </w:r>
          </w:p>
        </w:tc>
        <w:tc>
          <w:tcPr>
            <w:tcW w:type="dxa" w:w="2436"/>
          </w:tcPr>
          <w:p>
            <w:r/>
            <w:r>
              <w:rPr>
                <w:b w:val="0"/>
                <w:i w:val="0"/>
              </w:rPr>
              <w:t>17,2</w:t>
            </w:r>
          </w:p>
        </w:tc>
        <w:tc>
          <w:tcPr>
            <w:tcW w:type="dxa" w:w="2436"/>
          </w:tcPr>
          <w:p>
            <w:r/>
            <w:r>
              <w:rPr>
                <w:b w:val="0"/>
                <w:i w:val="0"/>
              </w:rPr>
              <w:t>18,0</w:t>
            </w:r>
          </w:p>
        </w:tc>
        <w:tc>
          <w:tcPr>
            <w:tcW w:type="dxa" w:w="2436"/>
          </w:tcPr>
          <w:p>
            <w:r/>
            <w:r>
              <w:rPr>
                <w:b w:val="0"/>
                <w:i w:val="0"/>
              </w:rPr>
              <w:t>En objetivo</w:t>
            </w:r>
          </w:p>
        </w:tc>
      </w:tr>
      <w:tr>
        <w:tc>
          <w:tcPr>
            <w:tcW w:type="dxa" w:w="2436"/>
          </w:tcPr>
          <w:p>
            <w:r/>
            <w:r>
              <w:rPr>
                <w:b w:val="0"/>
                <w:i w:val="0"/>
              </w:rPr>
              <w:t>Tiempo medio de pase - Postres (min)</w:t>
            </w:r>
          </w:p>
        </w:tc>
        <w:tc>
          <w:tcPr>
            <w:tcW w:type="dxa" w:w="2436"/>
          </w:tcPr>
          <w:p>
            <w:r/>
            <w:r>
              <w:rPr>
                <w:b w:val="0"/>
                <w:i w:val="0"/>
              </w:rPr>
              <w:t>7,1</w:t>
            </w:r>
          </w:p>
        </w:tc>
        <w:tc>
          <w:tcPr>
            <w:tcW w:type="dxa" w:w="2436"/>
          </w:tcPr>
          <w:p>
            <w:r/>
            <w:r>
              <w:rPr>
                <w:b w:val="0"/>
                <w:i w:val="0"/>
              </w:rPr>
              <w:t>8,0</w:t>
            </w:r>
          </w:p>
        </w:tc>
        <w:tc>
          <w:tcPr>
            <w:tcW w:type="dxa" w:w="2436"/>
          </w:tcPr>
          <w:p>
            <w:r/>
            <w:r>
              <w:rPr>
                <w:b w:val="0"/>
                <w:i w:val="0"/>
              </w:rPr>
              <w:t>En objetivo</w:t>
            </w:r>
          </w:p>
        </w:tc>
      </w:tr>
    </w:tbl>
    <w:p/>
    <w:p>
      <w:pPr>
        <w:jc w:val="center"/>
      </w:pPr>
      <w:r>
        <w:rPr>
          <w:i/>
          <w:color w:val="444444"/>
        </w:rPr>
        <w:t>Un viernes malo no mueve una media de treinta muestreos. Si la media ya estaba por encima del objetivo, el viernes no fue la causa: fue el día en que se notó.</w:t>
      </w:r>
    </w:p>
    <w:p>
      <w:r>
        <w:br w:type="page"/>
      </w:r>
    </w:p>
    <w:p>
      <w:pPr>
        <w:pStyle w:val="Heading1"/>
      </w:pPr>
      <w:r>
        <w:t>6. El Plato Estrella Sale Distinto Según Quién Esté de Turno</w:t>
      </w:r>
    </w:p>
    <w:p>
      <w:pPr>
        <w:pStyle w:val="Heading2"/>
      </w:pPr>
      <w:r>
        <w:t>La situación</w:t>
      </w:r>
    </w:p>
    <w:p>
      <w:r>
        <w:rPr>
          <w:b w:val="0"/>
          <w:i w:val="0"/>
        </w:rPr>
        <w:t>Son las nueve y cuarto de un viernes cuando llega de sala el tercer aviso del mes sobre el mismo plato: hoy no está tan jugoso como el jueves. Ya había dos reseñas recientes con la misma queja: el plato más vendido de la carta (menú) no sabe igual según el día. Ninguna menciona un ingrediente ni una ración; las tres apuntan, sin saberlo, a un turno.</w:t>
      </w:r>
    </w:p>
    <w:p>
      <w:r>
        <w:rPr>
          <w:b w:val="0"/>
          <w:i w:val="0"/>
        </w:rPr>
        <w:t>El plato es el solomillo de cerdo ibérico con puré de boniato: vende 340 raciones al mes, con un coste por ración de 5,67 € copiado del escandallo (costeo). Su ficha técnica (receta estándar) está en la versión 1.2, la que se supone que sigue toda la brigada que pasa por esa partida, y dos personas la usan en días distintos. La pregunta que resuelve este capítulo no es quién cocina mejor, sino en qué paso concreto se separan de lo escrito y por qué la ficha no lo ha impedido.</w:t>
      </w:r>
    </w:p>
    <w:p>
      <w:pPr>
        <w:pStyle w:val="Heading2"/>
      </w:pPr>
      <w:r>
        <w:t>Qué no hacer</w:t>
      </w:r>
    </w:p>
    <w:p>
      <w:r>
        <w:rPr>
          <w:b w:val="0"/>
          <w:i w:val="0"/>
        </w:rPr>
        <w:t>Sentar a las dos personas que se turnan la partida para que cada una explique cómo lo hace no resuelve nada: las dos describen su versión con seguridad, ninguna se reconoce apartándose de la ficha, y la reunión termina en una comparación de percepciones sin que nadie haya cocinado delante de nadie.</w:t>
      </w:r>
    </w:p>
    <w:p>
      <w:r>
        <w:rPr>
          <w:b w:val="0"/>
          <w:i w:val="0"/>
        </w:rPr>
        <w:t>Reescribir la ficha entera tampoco es la respuesta: casi siempre la diferencia vive en un solo paso, y rehacer el documento entero mezcla ese punto con el resto, que ya se cumple igual en las dos versiones.</w:t>
      </w:r>
    </w:p>
    <w:p>
      <w:r>
        <w:rPr>
          <w:b w:val="0"/>
          <w:i w:val="0"/>
        </w:rPr>
        <w:t>Decidir por gusto propio cuál de las dos formas es la buena, sin comparar ninguna con la ficha, convierte una desviación medible en una preferencia personal que no queda escrita en ningún sitio, y por eso vuelve a aparecer en cuanto cambia el turno.</w:t>
      </w:r>
    </w:p>
    <w:p>
      <w:r>
        <w:rPr>
          <w:b w:val="0"/>
          <w:i w:val="0"/>
        </w:rPr>
        <w:t>Y cambiar el plato de partida -moverlo a otra persona o a otra zona para no lidiar con el problema- no corrige la ficha: sólo traslada la misma variabilidad a quien lo reciba después.</w:t>
      </w:r>
    </w:p>
    <w:p>
      <w:pPr>
        <w:pStyle w:val="Heading2"/>
      </w:pPr>
      <w:r>
        <w:t>Protocolo paso a paso</w:t>
      </w:r>
    </w:p>
    <w:p>
      <w:pPr>
        <w:pStyle w:val="ListBullet"/>
      </w:pPr>
      <w:r>
        <w:rPr>
          <w:b w:val="0"/>
          <w:i w:val="0"/>
        </w:rPr>
        <w:t>Hacer el plato dos veces, una con cada persona, con la ficha técnica delante y sin decir qué se está comprobando: si alguien sabe que se le observa, ajusta el gesto y el dato deja de servir.</w:t>
      </w:r>
    </w:p>
    <w:p>
      <w:pPr>
        <w:pStyle w:val="ListBullet"/>
      </w:pPr>
      <w:r>
        <w:rPr>
          <w:b w:val="0"/>
          <w:i w:val="0"/>
        </w:rPr>
        <w:t>Comparar cada ejecución paso a paso contra la ficha y anotar por escrito dónde se separan. El punto de cocción de la ficha -al punto: 58 °C en el centro de la pieza tras el reposo- es uno de los puntos de control que hay que verificar en las dos.</w:t>
      </w:r>
    </w:p>
    <w:p>
      <w:pPr>
        <w:pStyle w:val="ListBullet"/>
      </w:pPr>
      <w:r>
        <w:rPr>
          <w:b w:val="0"/>
          <w:i w:val="0"/>
        </w:rPr>
        <w:t>Pesar la ración resultante de cada ejecución.</w:t>
      </w:r>
    </w:p>
    <w:p>
      <w:pPr>
        <w:pStyle w:val="ListBullet"/>
      </w:pPr>
      <w:r>
        <w:rPr>
          <w:b w:val="0"/>
          <w:i w:val="0"/>
        </w:rPr>
        <w:t>Medir la temperatura de emplatado de las dos raciones al salir al pase (despacho).</w:t>
      </w:r>
    </w:p>
    <w:p>
      <w:pPr>
        <w:pStyle w:val="ListBullet"/>
      </w:pPr>
      <w:r>
        <w:rPr>
          <w:b w:val="0"/>
          <w:i w:val="0"/>
        </w:rPr>
        <w:t>Con esos datos delante, decidir cuál de las dos formas es la que se queda, escribirla en la ficha con una versión nueva, ya no la 1.2, y formar a las dos personas en el propio puesto, delante del plato, no en una reunión aparte.</w:t>
      </w:r>
    </w:p>
    <w:p>
      <w:r>
        <w:rPr>
          <w:b w:val="0"/>
          <w:i w:val="0"/>
        </w:rPr>
        <w:t>Lo que casi siempre aparece al terminar esta comparación es que el paso donde se separan las dos ejecuciones no estaba escrito en la ficha, o admitía las dos lecturas. No es un problema de disciplina: es un hueco de la ficha, y por eso la solución es una versión nueva del documento, no una advertencia a una de las dos personas.</w:t>
      </w:r>
    </w:p>
    <w:p>
      <w:pPr>
        <w:pStyle w:val="Heading2"/>
      </w:pPr>
      <w:r>
        <w:t>La norma que aplica</w:t>
      </w:r>
    </w:p>
    <w:p>
      <w:r>
        <w:rPr>
          <w:b w:val="0"/>
          <w:i w:val="0"/>
        </w:rPr>
        <w:t>Aquí no hay ninguna obligación legal: qué versión se impone, qué punto de cocción se elige o cómo se organiza la partida es criterio de gestión de la casa, no un mandato de ninguna norma. Lo único que sí obliga es que, si el cambio afecta a algún ingrediente, cambie también la información de alérgenos que se ofrece al cliente. Los 14 alérgenos de declaración obligatoria siguen siéndolo también en platos que no llevan envase, y un cartel de «consulte al personal» no basta si detrás no hay un respaldo escrito o electrónico accesible, según el anexo II y el art. 44.1 del Reglamento (UE) 1169/2011, junto con el art. 6.5 del RD 126/2015 (comprobado el 6 de septiembre de 2026). Si el puré de boniato de una de las dos versiones lleva un ingrediente que la otra no lleva, esa diferencia deja de ser un matiz de cocina: es una ficha de alérgenos que hay que actualizar antes de servir la versión que se impone.</w:t>
      </w:r>
    </w:p>
    <w:p>
      <w:pPr>
        <w:pStyle w:val="Heading2"/>
      </w:pPr>
      <w:r>
        <w:t>La herramienta y el guion</w:t>
      </w:r>
    </w:p>
    <w:p>
      <w:r>
        <w:rPr>
          <w:b w:val="0"/>
          <w:i w:val="0"/>
        </w:rPr>
        <w:t>La ficha de proceso, con sus pasos numerados y sus puntos de control marcados uno a uno, es donde se localiza la diferencia: el cuadro siguiente recoge esos pasos tal como quedan tras la comparación. El muestreo del pase permite comprobar después que la desviación ha desaparecido de verdad, no sólo sobre el papel: el cumplimiento de ficha técnica medido hasta ahora es del 86,7 % frente a un objetivo de la casa del 90,0 %, con 4 muestreos no conformes en el periodo revisado, y ese es el número que tiene que subir con la versión nueva en marcha. El índice de fichas es donde se sube la versión, con su fecha y la firma de quien la aprueba.</w:t>
      </w:r>
    </w:p>
    <w:p>
      <w:r>
        <w:rPr>
          <w:b w:val="0"/>
          <w:i w:val="0"/>
        </w:rPr>
        <w:t>Queda la parte que más se estropea si se hace mal: la conversación con quien no se queda con su forma de trabajar. No empieza con un reproche, empieza con un hecho: «He comparado las dos formas de hacer el solomillo contra la ficha, y a partir de hoy la que vamos a servir es esta; te la enseño paso a paso, aquí, para que la partida quede igual los dos días.» Dicha delante del plato y no en un despacho, describe qué versión se sirve, no quién lo hacía peor.</w:t>
      </w:r>
    </w:p>
    <w:p>
      <w:r>
        <w:rPr>
          <w:b/>
          <w:i w:val="0"/>
        </w:rPr>
        <w:t>Los pasos de la ficha, con su punto de control: aquí es donde se localiza la diferencia (ficha-tecnica-proceso.xlsx, hoja «Ficha (ejemplo)»)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Nº</w:t>
            </w:r>
          </w:p>
        </w:tc>
        <w:tc>
          <w:tcPr>
            <w:tcW w:type="dxa" w:w="3249"/>
          </w:tcPr>
          <w:p>
            <w:r/>
            <w:r>
              <w:rPr>
                <w:b/>
                <w:i w:val="0"/>
              </w:rPr>
              <w:t>Operación</w:t>
            </w:r>
          </w:p>
        </w:tc>
        <w:tc>
          <w:tcPr>
            <w:tcW w:type="dxa" w:w="3249"/>
          </w:tcPr>
          <w:p>
            <w:r/>
            <w:r>
              <w:rPr>
                <w:b/>
                <w:i w:val="0"/>
              </w:rPr>
              <w:t>Punto de control</w:t>
            </w:r>
          </w:p>
        </w:tc>
      </w:tr>
      <w:tr>
        <w:tc>
          <w:tcPr>
            <w:tcW w:type="dxa" w:w="3249"/>
          </w:tcPr>
          <w:p>
            <w:r/>
            <w:r>
              <w:rPr>
                <w:b w:val="0"/>
                <w:i w:val="0"/>
              </w:rPr>
              <w:t>1</w:t>
            </w:r>
          </w:p>
        </w:tc>
        <w:tc>
          <w:tcPr>
            <w:tcW w:type="dxa" w:w="3249"/>
          </w:tcPr>
          <w:p>
            <w:r/>
            <w:r>
              <w:rPr>
                <w:b w:val="0"/>
                <w:i w:val="0"/>
              </w:rPr>
              <w:t>Atemperar el solomillo 20 minutos fuera de cámara y salpimentar.</w:t>
            </w:r>
          </w:p>
        </w:tc>
        <w:tc>
          <w:tcPr>
            <w:tcW w:type="dxa" w:w="3249"/>
          </w:tcPr>
          <w:p>
            <w:r/>
            <w:r>
              <w:rPr>
                <w:b w:val="0"/>
                <w:i w:val="0"/>
              </w:rPr>
              <w:t>Salpimentado uniforme y sin jugo en la bandeja: el solomillo pierde el frío de cámara al tacto.</w:t>
            </w:r>
          </w:p>
        </w:tc>
      </w:tr>
      <w:tr>
        <w:tc>
          <w:tcPr>
            <w:tcW w:type="dxa" w:w="3249"/>
          </w:tcPr>
          <w:p>
            <w:r/>
            <w:r>
              <w:rPr>
                <w:b w:val="0"/>
                <w:i w:val="0"/>
              </w:rPr>
              <w:t>2</w:t>
            </w:r>
          </w:p>
        </w:tc>
        <w:tc>
          <w:tcPr>
            <w:tcW w:type="dxa" w:w="3249"/>
          </w:tcPr>
          <w:p>
            <w:r/>
            <w:r>
              <w:rPr>
                <w:b w:val="0"/>
                <w:i w:val="0"/>
              </w:rPr>
              <w:t>Cocer el boniato pelado en agua con sal 18 minutos, escurrir y triturar con la mantequilla y la nata calientes. Pasar por colador fino.</w:t>
            </w:r>
          </w:p>
        </w:tc>
        <w:tc>
          <w:tcPr>
            <w:tcW w:type="dxa" w:w="3249"/>
          </w:tcPr>
          <w:p>
            <w:r/>
            <w:r>
              <w:rPr>
                <w:b w:val="0"/>
                <w:i w:val="0"/>
              </w:rPr>
              <w:t>El puré pasa por el colador sin grumos y sale a 63 °C o más.</w:t>
            </w:r>
          </w:p>
        </w:tc>
      </w:tr>
      <w:tr>
        <w:tc>
          <w:tcPr>
            <w:tcW w:type="dxa" w:w="3249"/>
          </w:tcPr>
          <w:p>
            <w:r/>
            <w:r>
              <w:rPr>
                <w:b w:val="0"/>
                <w:i w:val="0"/>
              </w:rPr>
              <w:t>3</w:t>
            </w:r>
          </w:p>
        </w:tc>
        <w:tc>
          <w:tcPr>
            <w:tcW w:type="dxa" w:w="3249"/>
          </w:tcPr>
          <w:p>
            <w:r/>
            <w:r>
              <w:rPr>
                <w:b w:val="0"/>
                <w:i w:val="0"/>
              </w:rPr>
              <w:t>Pochar la cebolla en juliana a fuego suave 25 minutos, sin coger color.</w:t>
            </w:r>
          </w:p>
        </w:tc>
        <w:tc>
          <w:tcPr>
            <w:tcW w:type="dxa" w:w="3249"/>
          </w:tcPr>
          <w:p>
            <w:r/>
            <w:r>
              <w:rPr>
                <w:b w:val="0"/>
                <w:i w:val="0"/>
              </w:rPr>
              <w:t>Cebolla transparente y blanda, sin ningún punto dorado.</w:t>
            </w:r>
          </w:p>
        </w:tc>
      </w:tr>
      <w:tr>
        <w:tc>
          <w:tcPr>
            <w:tcW w:type="dxa" w:w="3249"/>
          </w:tcPr>
          <w:p>
            <w:r/>
            <w:r>
              <w:rPr>
                <w:b w:val="0"/>
                <w:i w:val="0"/>
              </w:rPr>
              <w:t>4</w:t>
            </w:r>
          </w:p>
        </w:tc>
        <w:tc>
          <w:tcPr>
            <w:tcW w:type="dxa" w:w="3249"/>
          </w:tcPr>
          <w:p>
            <w:r/>
            <w:r>
              <w:rPr>
                <w:b w:val="0"/>
                <w:i w:val="0"/>
              </w:rPr>
              <w:t>Desglasar la cebolla con el Pedro Ximénez, reducir a la mitad, añadir el caldo de carne y reducir hasta napar. Colar.</w:t>
            </w:r>
          </w:p>
        </w:tc>
        <w:tc>
          <w:tcPr>
            <w:tcW w:type="dxa" w:w="3249"/>
          </w:tcPr>
          <w:p>
            <w:r/>
            <w:r>
              <w:rPr>
                <w:b w:val="0"/>
                <w:i w:val="0"/>
              </w:rPr>
              <w:t>La salsa napa el dorso de una cuchara y sale colada, sin grumos.</w:t>
            </w:r>
          </w:p>
        </w:tc>
      </w:tr>
      <w:tr>
        <w:tc>
          <w:tcPr>
            <w:tcW w:type="dxa" w:w="3249"/>
          </w:tcPr>
          <w:p>
            <w:r/>
            <w:r>
              <w:rPr>
                <w:b w:val="0"/>
                <w:i w:val="0"/>
              </w:rPr>
              <w:t>5</w:t>
            </w:r>
          </w:p>
        </w:tc>
        <w:tc>
          <w:tcPr>
            <w:tcW w:type="dxa" w:w="3249"/>
          </w:tcPr>
          <w:p>
            <w:r/>
            <w:r>
              <w:rPr>
                <w:b w:val="0"/>
                <w:i w:val="0"/>
              </w:rPr>
              <w:t>Marcar el solomillo en plancha muy caliente 2 minutos por cara.</w:t>
            </w:r>
          </w:p>
        </w:tc>
        <w:tc>
          <w:tcPr>
            <w:tcW w:type="dxa" w:w="3249"/>
          </w:tcPr>
          <w:p>
            <w:r/>
            <w:r>
              <w:rPr>
                <w:b w:val="0"/>
                <w:i w:val="0"/>
              </w:rPr>
              <w:t>Marca dorada uniforme en las dos caras, sin jugo en la plancha.</w:t>
            </w:r>
          </w:p>
        </w:tc>
      </w:tr>
      <w:tr>
        <w:tc>
          <w:tcPr>
            <w:tcW w:type="dxa" w:w="3249"/>
          </w:tcPr>
          <w:p>
            <w:r/>
            <w:r>
              <w:rPr>
                <w:b w:val="0"/>
                <w:i w:val="0"/>
              </w:rPr>
              <w:t>6</w:t>
            </w:r>
          </w:p>
        </w:tc>
        <w:tc>
          <w:tcPr>
            <w:tcW w:type="dxa" w:w="3249"/>
          </w:tcPr>
          <w:p>
            <w:r/>
            <w:r>
              <w:rPr>
                <w:b w:val="0"/>
                <w:i w:val="0"/>
              </w:rPr>
              <w:t>Terminar en horno a 180 °C hasta 58 °C en el centro (punto al punto). Reposar 4 minutos antes de cortar.</w:t>
            </w:r>
          </w:p>
        </w:tc>
        <w:tc>
          <w:tcPr>
            <w:tcW w:type="dxa" w:w="3249"/>
          </w:tcPr>
          <w:p>
            <w:r/>
            <w:r>
              <w:rPr>
                <w:b w:val="0"/>
                <w:i w:val="0"/>
              </w:rPr>
              <w:t>Sonda al centro: 58 °C antes del reposo.</w:t>
            </w:r>
          </w:p>
        </w:tc>
      </w:tr>
      <w:tr>
        <w:tc>
          <w:tcPr>
            <w:tcW w:type="dxa" w:w="3249"/>
          </w:tcPr>
          <w:p>
            <w:r/>
            <w:r>
              <w:rPr>
                <w:b w:val="0"/>
                <w:i w:val="0"/>
              </w:rPr>
              <w:t>7</w:t>
            </w:r>
          </w:p>
        </w:tc>
        <w:tc>
          <w:tcPr>
            <w:tcW w:type="dxa" w:w="3249"/>
          </w:tcPr>
          <w:p>
            <w:r/>
            <w:r>
              <w:rPr>
                <w:b w:val="0"/>
                <w:i w:val="0"/>
              </w:rPr>
              <w:t>Crujiente de panceta: horno a 170 °C, 12 minutos entre dos papeles.</w:t>
            </w:r>
          </w:p>
        </w:tc>
        <w:tc>
          <w:tcPr>
            <w:tcW w:type="dxa" w:w="3249"/>
          </w:tcPr>
          <w:p>
            <w:r/>
            <w:r>
              <w:rPr>
                <w:b w:val="0"/>
                <w:i w:val="0"/>
              </w:rPr>
              <w:t>Panceta dorada y crujiente entre los dos papeles, sin quemarse en los bordes.</w:t>
            </w:r>
          </w:p>
        </w:tc>
      </w:tr>
      <w:tr>
        <w:tc>
          <w:tcPr>
            <w:tcW w:type="dxa" w:w="3249"/>
          </w:tcPr>
          <w:p>
            <w:r/>
            <w:r>
              <w:rPr>
                <w:b w:val="0"/>
                <w:i w:val="0"/>
              </w:rPr>
              <w:t>8</w:t>
            </w:r>
          </w:p>
        </w:tc>
        <w:tc>
          <w:tcPr>
            <w:tcW w:type="dxa" w:w="3249"/>
          </w:tcPr>
          <w:p>
            <w:r/>
            <w:r>
              <w:rPr>
                <w:b w:val="0"/>
                <w:i w:val="0"/>
              </w:rPr>
              <w:t>Montar: base de puré caliente, solomillo cortado en dos medallones, salsa alrededor, crujiente de panceta y brotes de rúcula.</w:t>
            </w:r>
          </w:p>
        </w:tc>
        <w:tc>
          <w:tcPr>
            <w:tcW w:type="dxa" w:w="3249"/>
          </w:tcPr>
          <w:p>
            <w:r/>
            <w:r>
              <w:rPr>
                <w:b w:val="0"/>
                <w:i w:val="0"/>
              </w:rPr>
              <w:t>Peso de la ración y foto de referencia.</w:t>
            </w:r>
          </w:p>
        </w:tc>
      </w:tr>
    </w:tbl>
    <w:p/>
    <w:p>
      <w:pPr>
        <w:jc w:val="center"/>
      </w:pPr>
      <w:r>
        <w:rPr>
          <w:i/>
          <w:color w:val="444444"/>
        </w:rPr>
        <w:t>Se recorre la lista con las dos personas por separado y se marca el primer paso en el que no coinciden. Casi nunca hace falta llegar al final.</w:t>
      </w:r>
    </w:p>
    <w:p>
      <w:r>
        <w:br w:type="page"/>
      </w:r>
    </w:p>
    <w:p>
      <w:pPr>
        <w:pStyle w:val="Heading1"/>
      </w:pPr>
      <w:r>
        <w:t>7. La Merma de la Partida de Fríos se Dispara Tres Semanas Seguidas</w:t>
      </w:r>
    </w:p>
    <w:p>
      <w:pPr>
        <w:pStyle w:val="Heading2"/>
      </w:pPr>
      <w:r>
        <w:t>La situación</w:t>
      </w:r>
    </w:p>
    <w:p>
      <w:r>
        <w:rPr>
          <w:b w:val="0"/>
          <w:i w:val="0"/>
        </w:rPr>
        <w:t>Es lunes por la mañana en La Encina y el jefe de cocina repasa la hoja «Semana» del cuadro de mando antes de que entre el primer proveedor. La merma global de la casa lleva todo el año en 3,7 %, un número tranquilo que no ha dado ningún susto en los cierres mensuales. La columna de la partida de fríos y entrantes cuenta otra historia: acumula un 5,1 % en lo que va de año y, en las tres últimas semanas, se ha mantenido por encima del objetivo que tiene fijado en la propia hoja. La peor de las tres cerró en un 9,2 %, muy por encima de ese 5,1 % acumulado, mientras que la merma global de la cocina esa misma semana apenas se movió hasta el 4,9 %. Esa semana se sirvieron 809 cubiertos, un volumen normal de temporada, y de los indicadores que la casa revisa cada lunes, cuatro quedaron fuera de objetivo -entre ellos, el de esta partida-. El problema está localizado y es sostenido en el tiempo, pero mirado sólo desde el número global resulta invisible: justo el tipo de aviso para el que existe un cuadro de mando por partida, y que sólo vigilando el total de la cocina no se ve llegar hasta que ya lleva semanas corriendo.</w:t>
      </w:r>
    </w:p>
    <w:p>
      <w:pPr>
        <w:pStyle w:val="Heading2"/>
      </w:pPr>
      <w:r>
        <w:t>Qué no hacer</w:t>
      </w:r>
    </w:p>
    <w:p>
      <w:r>
        <w:rPr>
          <w:b w:val="0"/>
          <w:i w:val="0"/>
        </w:rPr>
        <w:t>Mirar sólo la merma global y quedarse tranquilo porque el 4,9 % de esa semana parece razonable: ahí es precisamente donde el problema de una sola partida se diluye y desaparece del radar.</w:t>
      </w:r>
    </w:p>
    <w:p>
      <w:r>
        <w:rPr>
          <w:b w:val="0"/>
          <w:i w:val="0"/>
        </w:rPr>
        <w:t>Dar por hecho que alguien de la partida está tirando producto o llevándoselo a casa. Es la conclusión más rápida y más barata, y casi nunca la correcta; y una vez dicha delante de la brigada, ya no se puede retirar aunque luego se demuestre falsa.</w:t>
      </w:r>
    </w:p>
    <w:p>
      <w:r>
        <w:rPr>
          <w:b w:val="0"/>
          <w:i w:val="0"/>
        </w:rPr>
        <w:t>Bajar el objetivo de la partida para que la casilla se ponga verde en la próxima revisión: eso no cambia un solo gramo de lo que se está mermando, sólo apaga el aviso.</w:t>
      </w:r>
    </w:p>
    <w:p>
      <w:r>
        <w:rPr>
          <w:b w:val="0"/>
          <w:i w:val="0"/>
        </w:rPr>
        <w:t>Cambiar de proveedor sin comprobar antes si el dato está bien medido: si el fallo está en cómo se pesa o en cómo está configurada la ficha de la partida, cambiar de proveedor no toca la causa y desordena una relación que puede llevar años funcionando bien.</w:t>
      </w:r>
    </w:p>
    <w:p>
      <w:pPr>
        <w:pStyle w:val="Heading2"/>
      </w:pPr>
      <w:r>
        <w:t>Protocolo paso a paso</w:t>
      </w:r>
    </w:p>
    <w:p>
      <w:r>
        <w:rPr>
          <w:b w:val="0"/>
          <w:i w:val="0"/>
        </w:rPr>
        <w:t>Primero, el dato. Antes de sospechar de nada ni de nadie se comprueba que la merma de esa partida se ha pesado, no estimado a ojo, y se revisa la hoja de parámetros del cuadro de mando para confirmar que los kilos de materia prima neta por ración siguen puestos como corresponde -en este caso, 0,22 kilos por ración-. Si esa casilla está mal, el porcentaje sale mal aunque se pese cada bandeja con precisión de laboratorio, así que este paso va antes que cualquier otro.</w:t>
      </w:r>
    </w:p>
    <w:p>
      <w:r>
        <w:rPr>
          <w:b w:val="0"/>
          <w:i w:val="0"/>
        </w:rPr>
        <w:t>Segundo, la producción: la causa raíz más frecuente y también la más fácil de comprobar. Se abre la planificación de producción de la partida y se compara lo producido cada día con lo servido. Producir de más «por si acaso» -una ronda extra de un entrante, una guarnición fría para un cubierto que al final no llegó- no aparece como error en el pase de esa noche: aparece como merma días después, cuando ese producto ya no está en condiciones de servirse.</w:t>
      </w:r>
    </w:p>
    <w:p>
      <w:r>
        <w:rPr>
          <w:b w:val="0"/>
          <w:i w:val="0"/>
        </w:rPr>
        <w:t>Tercero, el producto: calibre y rendimiento de lo entrado en esas tres semanas, un lote con menos rendimiento del habitual, una pieza de calibre distinto al de siempre, un cambio en el punto de maduración de la materia prima. Se contrasta contra la ficha técnica de la partida, nunca contra la memoria de nadie.</w:t>
      </w:r>
    </w:p>
    <w:p>
      <w:r>
        <w:rPr>
          <w:b w:val="0"/>
          <w:i w:val="0"/>
        </w:rPr>
        <w:t>Sólo cuando el dato, la producción y el producto quedan descartados, se habla con la partida, con una pregunta y no con una acusación: «¿Qué ha cambiado esta semana en cómo estáis preparando los fríos?». Deja la puerta abierta a que la respuesta sea un cambio de turno, un compañero todavía sin coger el ritmo, o un procedimiento que se ha ido relajando sin que nadie lo decidiera así.</w:t>
      </w:r>
    </w:p>
    <w:p>
      <w:pPr>
        <w:pStyle w:val="Heading2"/>
      </w:pPr>
      <w:r>
        <w:t>La norma que aplica</w:t>
      </w:r>
    </w:p>
    <w:p>
      <w:r>
        <w:rPr>
          <w:b w:val="0"/>
          <w:i w:val="0"/>
        </w:rPr>
        <w:t>Aquí no hay ninguna obligación legal que fije cuánto puede mermar una partida ni que obligue a investigar una desviación como esta: es criterio de gestión de la casa, no un mandato normativo. Lo que sí existe es un punto de contacto con la seguridad alimentaria: el producto elaborado que se prepara de más y se queda en cámara sin encontrar servicio no se conserva de forma indefinida, y cuando llega al final de su vida útil se tira. Ese kilo no entra en la misma columna que la merma propiamente dicha: es desperdicio, y conviene no confundir las dos lecturas al repasar el cuadro de mando.</w:t>
      </w:r>
    </w:p>
    <w:p>
      <w:pPr>
        <w:pStyle w:val="Heading2"/>
      </w:pPr>
      <w:r>
        <w:t>La herramienta y el guion</w:t>
      </w:r>
    </w:p>
    <w:p>
      <w:r>
        <w:rPr>
          <w:b w:val="0"/>
          <w:i w:val="0"/>
        </w:rPr>
        <w:t>La hoja «Semana» del cuadro de mando de cocina es donde se ve la columna de esta partida semana a semana, y donde se detecta que tres seguidas por encima del objetivo ya no es una mala semana suelta sino una tendencia. La misma hoja acumula también el total de kilos de merma del año -617 kilos hasta la fecha-, cifra que sólo dice algo leída junto a la producción del periodo, nunca sola. La hoja de parámetros es donde se comprueban los kilos por ración y el objetivo de cada partida, y la planificación de producción es donde se contrasta lo producido contra lo servido antes de mirar a nadie a la cara. Y cuando llega el momento de hablar, la frase de apertura es la misma que abre el protocolo: «¿Qué ha cambiado esta semana en cómo estáis preparando los fríos?», nunca «se os está yendo la merma», que ya viene con la conclusión puesta antes de escuchar la respuesta.</w:t>
      </w:r>
    </w:p>
    <w:p>
      <w:r>
        <w:rPr>
          <w:b/>
          <w:i w:val="0"/>
        </w:rPr>
        <w:t>Siete semanas seguidas: la merma global no se mueve y la de una partida sí (cuadro-de-mando-cocina.xlsx, hoja «Semana»)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Semana ISO</w:t>
            </w:r>
          </w:p>
        </w:tc>
        <w:tc>
          <w:tcPr>
            <w:tcW w:type="dxa" w:w="1392"/>
          </w:tcPr>
          <w:p>
            <w:r/>
            <w:r>
              <w:rPr>
                <w:b/>
                <w:i w:val="0"/>
              </w:rPr>
              <w:t>Cubiertos servidos</w:t>
            </w:r>
          </w:p>
        </w:tc>
        <w:tc>
          <w:tcPr>
            <w:tcW w:type="dxa" w:w="1392"/>
          </w:tcPr>
          <w:p>
            <w:r/>
            <w:r>
              <w:rPr>
                <w:b/>
                <w:i w:val="0"/>
              </w:rPr>
              <w:t>Merma global (%)</w:t>
            </w:r>
          </w:p>
        </w:tc>
        <w:tc>
          <w:tcPr>
            <w:tcW w:type="dxa" w:w="1392"/>
          </w:tcPr>
          <w:p>
            <w:r/>
            <w:r>
              <w:rPr>
                <w:b/>
                <w:i w:val="0"/>
              </w:rPr>
              <w:t>Merma de pase y caliente (%)</w:t>
            </w:r>
          </w:p>
        </w:tc>
        <w:tc>
          <w:tcPr>
            <w:tcW w:type="dxa" w:w="1392"/>
          </w:tcPr>
          <w:p>
            <w:r/>
            <w:r>
              <w:rPr>
                <w:b/>
                <w:i w:val="0"/>
              </w:rPr>
              <w:t>Merma de fríos y entrantes (%)</w:t>
            </w:r>
          </w:p>
        </w:tc>
        <w:tc>
          <w:tcPr>
            <w:tcW w:type="dxa" w:w="1392"/>
          </w:tcPr>
          <w:p>
            <w:r/>
            <w:r>
              <w:rPr>
                <w:b/>
                <w:i w:val="0"/>
              </w:rPr>
              <w:t>Indicadores fuera de objetivo</w:t>
            </w:r>
          </w:p>
        </w:tc>
        <w:tc>
          <w:tcPr>
            <w:tcW w:type="dxa" w:w="1392"/>
          </w:tcPr>
          <w:p>
            <w:r/>
            <w:r>
              <w:rPr>
                <w:b/>
                <w:i w:val="0"/>
              </w:rPr>
              <w:t>Lectura de la semana</w:t>
            </w:r>
          </w:p>
        </w:tc>
      </w:tr>
      <w:tr>
        <w:tc>
          <w:tcPr>
            <w:tcW w:type="dxa" w:w="1392"/>
          </w:tcPr>
          <w:p>
            <w:r/>
            <w:r>
              <w:rPr>
                <w:b w:val="0"/>
                <w:i w:val="0"/>
              </w:rPr>
              <w:t>31</w:t>
            </w:r>
          </w:p>
        </w:tc>
        <w:tc>
          <w:tcPr>
            <w:tcW w:type="dxa" w:w="1392"/>
          </w:tcPr>
          <w:p>
            <w:r/>
            <w:r>
              <w:rPr>
                <w:b w:val="0"/>
                <w:i w:val="0"/>
              </w:rPr>
              <w:t>962</w:t>
            </w:r>
          </w:p>
        </w:tc>
        <w:tc>
          <w:tcPr>
            <w:tcW w:type="dxa" w:w="1392"/>
          </w:tcPr>
          <w:p>
            <w:r/>
            <w:r>
              <w:rPr>
                <w:b w:val="0"/>
                <w:i w:val="0"/>
              </w:rPr>
              <w:t>3,6 %</w:t>
            </w:r>
          </w:p>
        </w:tc>
        <w:tc>
          <w:tcPr>
            <w:tcW w:type="dxa" w:w="1392"/>
          </w:tcPr>
          <w:p>
            <w:r/>
            <w:r>
              <w:rPr>
                <w:b w:val="0"/>
                <w:i w:val="0"/>
              </w:rPr>
              <w:t>3,3 %</w:t>
            </w:r>
          </w:p>
        </w:tc>
        <w:tc>
          <w:tcPr>
            <w:tcW w:type="dxa" w:w="1392"/>
          </w:tcPr>
          <w:p>
            <w:r/>
            <w:r>
              <w:rPr>
                <w:b w:val="0"/>
                <w:i w:val="0"/>
              </w:rPr>
              <w:t>4,4 %</w:t>
            </w:r>
          </w:p>
        </w:tc>
        <w:tc>
          <w:tcPr>
            <w:tcW w:type="dxa" w:w="1392"/>
          </w:tcPr>
          <w:p>
            <w:r/>
            <w:r>
              <w:rPr>
                <w:b w:val="0"/>
                <w:i w:val="0"/>
              </w:rPr>
              <w:t>1</w:t>
            </w:r>
          </w:p>
        </w:tc>
        <w:tc>
          <w:tcPr>
            <w:tcW w:type="dxa" w:w="1392"/>
          </w:tcPr>
          <w:p>
            <w:r/>
            <w:r>
              <w:rPr>
                <w:b w:val="0"/>
                <w:i w:val="0"/>
              </w:rPr>
              <w:t>1 indicador fuera de objetivo</w:t>
            </w:r>
          </w:p>
        </w:tc>
      </w:tr>
      <w:tr>
        <w:tc>
          <w:tcPr>
            <w:tcW w:type="dxa" w:w="1392"/>
          </w:tcPr>
          <w:p>
            <w:r/>
            <w:r>
              <w:rPr>
                <w:b w:val="0"/>
                <w:i w:val="0"/>
              </w:rPr>
              <w:t>32</w:t>
            </w:r>
          </w:p>
        </w:tc>
        <w:tc>
          <w:tcPr>
            <w:tcW w:type="dxa" w:w="1392"/>
          </w:tcPr>
          <w:p>
            <w:r/>
            <w:r>
              <w:rPr>
                <w:b w:val="0"/>
                <w:i w:val="0"/>
              </w:rPr>
              <w:t>847</w:t>
            </w:r>
          </w:p>
        </w:tc>
        <w:tc>
          <w:tcPr>
            <w:tcW w:type="dxa" w:w="1392"/>
          </w:tcPr>
          <w:p>
            <w:r/>
            <w:r>
              <w:rPr>
                <w:b w:val="0"/>
                <w:i w:val="0"/>
              </w:rPr>
              <w:t>3,5 %</w:t>
            </w:r>
          </w:p>
        </w:tc>
        <w:tc>
          <w:tcPr>
            <w:tcW w:type="dxa" w:w="1392"/>
          </w:tcPr>
          <w:p>
            <w:r/>
            <w:r>
              <w:rPr>
                <w:b w:val="0"/>
                <w:i w:val="0"/>
              </w:rPr>
              <w:t>2,9 %</w:t>
            </w:r>
          </w:p>
        </w:tc>
        <w:tc>
          <w:tcPr>
            <w:tcW w:type="dxa" w:w="1392"/>
          </w:tcPr>
          <w:p>
            <w:r/>
            <w:r>
              <w:rPr>
                <w:b w:val="0"/>
                <w:i w:val="0"/>
              </w:rPr>
              <w:t>4,8 %</w:t>
            </w:r>
          </w:p>
        </w:tc>
        <w:tc>
          <w:tcPr>
            <w:tcW w:type="dxa" w:w="1392"/>
          </w:tcPr>
          <w:p>
            <w:r/>
            <w:r>
              <w:rPr>
                <w:b w:val="0"/>
                <w:i w:val="0"/>
              </w:rPr>
              <w:t>1</w:t>
            </w:r>
          </w:p>
        </w:tc>
        <w:tc>
          <w:tcPr>
            <w:tcW w:type="dxa" w:w="1392"/>
          </w:tcPr>
          <w:p>
            <w:r/>
            <w:r>
              <w:rPr>
                <w:b w:val="0"/>
                <w:i w:val="0"/>
              </w:rPr>
              <w:t>1 indicador fuera de objetivo</w:t>
            </w:r>
          </w:p>
        </w:tc>
      </w:tr>
      <w:tr>
        <w:tc>
          <w:tcPr>
            <w:tcW w:type="dxa" w:w="1392"/>
          </w:tcPr>
          <w:p>
            <w:r/>
            <w:r>
              <w:rPr>
                <w:b w:val="0"/>
                <w:i w:val="0"/>
              </w:rPr>
              <w:t>33</w:t>
            </w:r>
          </w:p>
        </w:tc>
        <w:tc>
          <w:tcPr>
            <w:tcW w:type="dxa" w:w="1392"/>
          </w:tcPr>
          <w:p>
            <w:r/>
            <w:r>
              <w:rPr>
                <w:b w:val="0"/>
                <w:i w:val="0"/>
              </w:rPr>
              <w:t>809</w:t>
            </w:r>
          </w:p>
        </w:tc>
        <w:tc>
          <w:tcPr>
            <w:tcW w:type="dxa" w:w="1392"/>
          </w:tcPr>
          <w:p>
            <w:r/>
            <w:r>
              <w:rPr>
                <w:b w:val="0"/>
                <w:i w:val="0"/>
              </w:rPr>
              <w:t>4,9 %</w:t>
            </w:r>
          </w:p>
        </w:tc>
        <w:tc>
          <w:tcPr>
            <w:tcW w:type="dxa" w:w="1392"/>
          </w:tcPr>
          <w:p>
            <w:r/>
            <w:r>
              <w:rPr>
                <w:b w:val="0"/>
                <w:i w:val="0"/>
              </w:rPr>
              <w:t>3,4 %</w:t>
            </w:r>
          </w:p>
        </w:tc>
        <w:tc>
          <w:tcPr>
            <w:tcW w:type="dxa" w:w="1392"/>
          </w:tcPr>
          <w:p>
            <w:r/>
            <w:r>
              <w:rPr>
                <w:b w:val="0"/>
                <w:i w:val="0"/>
              </w:rPr>
              <w:t>9,2 %</w:t>
            </w:r>
          </w:p>
        </w:tc>
        <w:tc>
          <w:tcPr>
            <w:tcW w:type="dxa" w:w="1392"/>
          </w:tcPr>
          <w:p>
            <w:r/>
            <w:r>
              <w:rPr>
                <w:b w:val="0"/>
                <w:i w:val="0"/>
              </w:rPr>
              <w:t>4</w:t>
            </w:r>
          </w:p>
        </w:tc>
        <w:tc>
          <w:tcPr>
            <w:tcW w:type="dxa" w:w="1392"/>
          </w:tcPr>
          <w:p>
            <w:r/>
            <w:r>
              <w:rPr>
                <w:b w:val="0"/>
                <w:i w:val="0"/>
              </w:rPr>
              <w:t>4 indicadores fuera de objetivo</w:t>
            </w:r>
          </w:p>
        </w:tc>
      </w:tr>
      <w:tr>
        <w:tc>
          <w:tcPr>
            <w:tcW w:type="dxa" w:w="1392"/>
          </w:tcPr>
          <w:p>
            <w:r/>
            <w:r>
              <w:rPr>
                <w:b w:val="0"/>
                <w:i w:val="0"/>
              </w:rPr>
              <w:t>34</w:t>
            </w:r>
          </w:p>
        </w:tc>
        <w:tc>
          <w:tcPr>
            <w:tcW w:type="dxa" w:w="1392"/>
          </w:tcPr>
          <w:p>
            <w:r/>
            <w:r>
              <w:rPr>
                <w:b w:val="0"/>
                <w:i w:val="0"/>
              </w:rPr>
              <w:t>819</w:t>
            </w:r>
          </w:p>
        </w:tc>
        <w:tc>
          <w:tcPr>
            <w:tcW w:type="dxa" w:w="1392"/>
          </w:tcPr>
          <w:p>
            <w:r/>
            <w:r>
              <w:rPr>
                <w:b w:val="0"/>
                <w:i w:val="0"/>
              </w:rPr>
              <w:t>5,2 %</w:t>
            </w:r>
          </w:p>
        </w:tc>
        <w:tc>
          <w:tcPr>
            <w:tcW w:type="dxa" w:w="1392"/>
          </w:tcPr>
          <w:p>
            <w:r/>
            <w:r>
              <w:rPr>
                <w:b w:val="0"/>
                <w:i w:val="0"/>
              </w:rPr>
              <w:t>3,1 %</w:t>
            </w:r>
          </w:p>
        </w:tc>
        <w:tc>
          <w:tcPr>
            <w:tcW w:type="dxa" w:w="1392"/>
          </w:tcPr>
          <w:p>
            <w:r/>
            <w:r>
              <w:rPr>
                <w:b w:val="0"/>
                <w:i w:val="0"/>
              </w:rPr>
              <w:t>10,7 %</w:t>
            </w:r>
          </w:p>
        </w:tc>
        <w:tc>
          <w:tcPr>
            <w:tcW w:type="dxa" w:w="1392"/>
          </w:tcPr>
          <w:p>
            <w:r/>
            <w:r>
              <w:rPr>
                <w:b w:val="0"/>
                <w:i w:val="0"/>
              </w:rPr>
              <w:t>5</w:t>
            </w:r>
          </w:p>
        </w:tc>
        <w:tc>
          <w:tcPr>
            <w:tcW w:type="dxa" w:w="1392"/>
          </w:tcPr>
          <w:p>
            <w:r/>
            <w:r>
              <w:rPr>
                <w:b w:val="0"/>
                <w:i w:val="0"/>
              </w:rPr>
              <w:t>5 indicadores fuera de objetivo</w:t>
            </w:r>
          </w:p>
        </w:tc>
      </w:tr>
      <w:tr>
        <w:tc>
          <w:tcPr>
            <w:tcW w:type="dxa" w:w="1392"/>
          </w:tcPr>
          <w:p>
            <w:r/>
            <w:r>
              <w:rPr>
                <w:b w:val="0"/>
                <w:i w:val="0"/>
              </w:rPr>
              <w:t>35</w:t>
            </w:r>
          </w:p>
        </w:tc>
        <w:tc>
          <w:tcPr>
            <w:tcW w:type="dxa" w:w="1392"/>
          </w:tcPr>
          <w:p>
            <w:r/>
            <w:r>
              <w:rPr>
                <w:b w:val="0"/>
                <w:i w:val="0"/>
              </w:rPr>
              <w:t>845</w:t>
            </w:r>
          </w:p>
        </w:tc>
        <w:tc>
          <w:tcPr>
            <w:tcW w:type="dxa" w:w="1392"/>
          </w:tcPr>
          <w:p>
            <w:r/>
            <w:r>
              <w:rPr>
                <w:b w:val="0"/>
                <w:i w:val="0"/>
              </w:rPr>
              <w:t>4,9 %</w:t>
            </w:r>
          </w:p>
        </w:tc>
        <w:tc>
          <w:tcPr>
            <w:tcW w:type="dxa" w:w="1392"/>
          </w:tcPr>
          <w:p>
            <w:r/>
            <w:r>
              <w:rPr>
                <w:b w:val="0"/>
                <w:i w:val="0"/>
              </w:rPr>
              <w:t>3,0 %</w:t>
            </w:r>
          </w:p>
        </w:tc>
        <w:tc>
          <w:tcPr>
            <w:tcW w:type="dxa" w:w="1392"/>
          </w:tcPr>
          <w:p>
            <w:r/>
            <w:r>
              <w:rPr>
                <w:b w:val="0"/>
                <w:i w:val="0"/>
              </w:rPr>
              <w:t>9,7 %</w:t>
            </w:r>
          </w:p>
        </w:tc>
        <w:tc>
          <w:tcPr>
            <w:tcW w:type="dxa" w:w="1392"/>
          </w:tcPr>
          <w:p>
            <w:r/>
            <w:r>
              <w:rPr>
                <w:b w:val="0"/>
                <w:i w:val="0"/>
              </w:rPr>
              <w:t>5</w:t>
            </w:r>
          </w:p>
        </w:tc>
        <w:tc>
          <w:tcPr>
            <w:tcW w:type="dxa" w:w="1392"/>
          </w:tcPr>
          <w:p>
            <w:r/>
            <w:r>
              <w:rPr>
                <w:b w:val="0"/>
                <w:i w:val="0"/>
              </w:rPr>
              <w:t>5 indicadores fuera de objetivo</w:t>
            </w:r>
          </w:p>
        </w:tc>
      </w:tr>
      <w:tr>
        <w:tc>
          <w:tcPr>
            <w:tcW w:type="dxa" w:w="1392"/>
          </w:tcPr>
          <w:p>
            <w:r/>
            <w:r>
              <w:rPr>
                <w:b w:val="0"/>
                <w:i w:val="0"/>
              </w:rPr>
              <w:t>36</w:t>
            </w:r>
          </w:p>
        </w:tc>
        <w:tc>
          <w:tcPr>
            <w:tcW w:type="dxa" w:w="1392"/>
          </w:tcPr>
          <w:p>
            <w:r/>
            <w:r>
              <w:rPr>
                <w:b w:val="0"/>
                <w:i w:val="0"/>
              </w:rPr>
              <w:t>903</w:t>
            </w:r>
          </w:p>
        </w:tc>
        <w:tc>
          <w:tcPr>
            <w:tcW w:type="dxa" w:w="1392"/>
          </w:tcPr>
          <w:p>
            <w:r/>
            <w:r>
              <w:rPr>
                <w:b w:val="0"/>
                <w:i w:val="0"/>
              </w:rPr>
              <w:t>3,7 %</w:t>
            </w:r>
          </w:p>
        </w:tc>
        <w:tc>
          <w:tcPr>
            <w:tcW w:type="dxa" w:w="1392"/>
          </w:tcPr>
          <w:p>
            <w:r/>
            <w:r>
              <w:rPr>
                <w:b w:val="0"/>
                <w:i w:val="0"/>
              </w:rPr>
              <w:t>3,5 %</w:t>
            </w:r>
          </w:p>
        </w:tc>
        <w:tc>
          <w:tcPr>
            <w:tcW w:type="dxa" w:w="1392"/>
          </w:tcPr>
          <w:p>
            <w:r/>
            <w:r>
              <w:rPr>
                <w:b w:val="0"/>
                <w:i w:val="0"/>
              </w:rPr>
              <w:t>4,8 %</w:t>
            </w:r>
          </w:p>
        </w:tc>
        <w:tc>
          <w:tcPr>
            <w:tcW w:type="dxa" w:w="1392"/>
          </w:tcPr>
          <w:p>
            <w:r/>
            <w:r>
              <w:rPr>
                <w:b w:val="0"/>
                <w:i w:val="0"/>
              </w:rPr>
              <w:t>0</w:t>
            </w:r>
          </w:p>
        </w:tc>
        <w:tc>
          <w:tcPr>
            <w:tcW w:type="dxa" w:w="1392"/>
          </w:tcPr>
          <w:p>
            <w:r/>
            <w:r>
              <w:rPr>
                <w:b w:val="0"/>
                <w:i w:val="0"/>
              </w:rPr>
              <w:t>Semana en objetivo</w:t>
            </w:r>
          </w:p>
        </w:tc>
      </w:tr>
      <w:tr>
        <w:tc>
          <w:tcPr>
            <w:tcW w:type="dxa" w:w="1392"/>
          </w:tcPr>
          <w:p>
            <w:r/>
            <w:r>
              <w:rPr>
                <w:b w:val="0"/>
                <w:i w:val="0"/>
              </w:rPr>
              <w:t>37</w:t>
            </w:r>
          </w:p>
        </w:tc>
        <w:tc>
          <w:tcPr>
            <w:tcW w:type="dxa" w:w="1392"/>
          </w:tcPr>
          <w:p>
            <w:r/>
            <w:r>
              <w:rPr>
                <w:b w:val="0"/>
                <w:i w:val="0"/>
              </w:rPr>
              <w:t>958</w:t>
            </w:r>
          </w:p>
        </w:tc>
        <w:tc>
          <w:tcPr>
            <w:tcW w:type="dxa" w:w="1392"/>
          </w:tcPr>
          <w:p>
            <w:r/>
            <w:r>
              <w:rPr>
                <w:b w:val="0"/>
                <w:i w:val="0"/>
              </w:rPr>
              <w:t>3,5 %</w:t>
            </w:r>
          </w:p>
        </w:tc>
        <w:tc>
          <w:tcPr>
            <w:tcW w:type="dxa" w:w="1392"/>
          </w:tcPr>
          <w:p>
            <w:r/>
            <w:r>
              <w:rPr>
                <w:b w:val="0"/>
                <w:i w:val="0"/>
              </w:rPr>
              <w:t>3,0 %</w:t>
            </w:r>
          </w:p>
        </w:tc>
        <w:tc>
          <w:tcPr>
            <w:tcW w:type="dxa" w:w="1392"/>
          </w:tcPr>
          <w:p>
            <w:r/>
            <w:r>
              <w:rPr>
                <w:b w:val="0"/>
                <w:i w:val="0"/>
              </w:rPr>
              <w:t>4,5 %</w:t>
            </w:r>
          </w:p>
        </w:tc>
        <w:tc>
          <w:tcPr>
            <w:tcW w:type="dxa" w:w="1392"/>
          </w:tcPr>
          <w:p>
            <w:r/>
            <w:r>
              <w:rPr>
                <w:b w:val="0"/>
                <w:i w:val="0"/>
              </w:rPr>
              <w:t>0</w:t>
            </w:r>
          </w:p>
        </w:tc>
        <w:tc>
          <w:tcPr>
            <w:tcW w:type="dxa" w:w="1392"/>
          </w:tcPr>
          <w:p>
            <w:r/>
            <w:r>
              <w:rPr>
                <w:b w:val="0"/>
                <w:i w:val="0"/>
              </w:rPr>
              <w:t>Semana en objetivo</w:t>
            </w:r>
          </w:p>
        </w:tc>
      </w:tr>
    </w:tbl>
    <w:p/>
    <w:p>
      <w:pPr>
        <w:jc w:val="center"/>
      </w:pPr>
      <w:r>
        <w:rPr>
          <w:i/>
          <w:color w:val="444444"/>
        </w:rPr>
        <w:t>Ésta es la tabla que justifica todo el libro: sin columna por partida, estas tres semanas no existen para nadie.</w:t>
      </w:r>
    </w:p>
    <w:p>
      <w:r>
        <w:br w:type="page"/>
      </w:r>
    </w:p>
    <w:p>
      <w:pPr>
        <w:pStyle w:val="Heading1"/>
      </w:pPr>
      <w:r>
        <w:t>8. Se Cae la Cámara un Domingo por la Noche</w:t>
      </w:r>
    </w:p>
    <w:p>
      <w:pPr>
        <w:pStyle w:val="Heading2"/>
      </w:pPr>
      <w:r>
        <w:t>La situación</w:t>
      </w:r>
    </w:p>
    <w:p>
      <w:r>
        <w:rPr>
          <w:b w:val="0"/>
          <w:i w:val="0"/>
        </w:rPr>
        <w:t>Son las once de la noche de un domingo y la cámara de refrigeración marca una temperatura muy por encima de la de conservación segura. Nadie sabe desde cuándo: la cocina cerró hace horas, no reabre hasta el servicio del martes, y no hay proveedor de frío ni técnico a quien llamar a esa hora. Solo hay un termómetro, un cuaderno y el criterio de quien está delante.</w:t>
      </w:r>
    </w:p>
    <w:p>
      <w:r>
        <w:rPr>
          <w:b w:val="0"/>
          <w:i w:val="0"/>
        </w:rPr>
        <w:t>El pack fija tres referencias para situar la distancia: la muestra testigo se conserva a 4 °C como máximo en refrigeración y a -18 °C como máximo en congelación, y el mantenimiento en caliente del pase exige un mínimo de 63 °C. Cualquier lectura de la cámara alejada de esas cifras, sin saber desde cuándo lleva así, es la situación de este capítulo.</w:t>
      </w:r>
    </w:p>
    <w:p>
      <w:pPr>
        <w:pStyle w:val="Heading2"/>
      </w:pPr>
      <w:r>
        <w:t>Qué no hacer</w:t>
      </w:r>
    </w:p>
    <w:p>
      <w:r>
        <w:rPr>
          <w:b w:val="0"/>
          <w:i w:val="0"/>
        </w:rPr>
        <w:t>Abrir la puerta para «ver cómo está» el producto: cada apertura mete aire caliente en una cámara que ya viene mal, la temperatura sube más, y el aspecto o el olor no dicen si un producto ha cruzado la línea de riesgo.</w:t>
      </w:r>
    </w:p>
    <w:p>
      <w:r>
        <w:rPr>
          <w:b w:val="0"/>
          <w:i w:val="0"/>
        </w:rPr>
        <w:t>Repartir lo dudoso entre la brigada para que no se pierda: convierte un fallo de mantenimiento en un riesgo alimentario repartido entre varias casas y borra cualquier posibilidad de trazar después qué se comió.</w:t>
      </w:r>
    </w:p>
    <w:p>
      <w:r>
        <w:rPr>
          <w:b w:val="0"/>
          <w:i w:val="0"/>
        </w:rPr>
        <w:t>Meterlo todo en el congelador y decidir el martes: aplaza la decisión sin evitarla, y de paso congela género que ya venía con la cadena de frío rota, algo que la norma trata de forma distinta a una congelación normal.</w:t>
      </w:r>
    </w:p>
    <w:p>
      <w:r>
        <w:rPr>
          <w:b w:val="0"/>
          <w:i w:val="0"/>
        </w:rPr>
        <w:t>Tirarlo todo sin anotar nada: es un desenlace tan malo como no tirar nada, porque se pierde género que a lo mejor se podía haber salvado y no queda ningún papel que sostenga la decisión después.</w:t>
      </w:r>
    </w:p>
    <w:p>
      <w:pPr>
        <w:pStyle w:val="Heading2"/>
      </w:pPr>
      <w:r>
        <w:t>Protocolo paso a paso</w:t>
      </w:r>
    </w:p>
    <w:p>
      <w:pPr>
        <w:pStyle w:val="ListBullet"/>
      </w:pPr>
      <w:r>
        <w:rPr>
          <w:b w:val="0"/>
          <w:i w:val="0"/>
        </w:rPr>
        <w:t>No abrir la cámara mientras se decide qué hacer.</w:t>
      </w:r>
    </w:p>
    <w:p>
      <w:pPr>
        <w:pStyle w:val="ListBullet"/>
      </w:pPr>
      <w:r>
        <w:rPr>
          <w:b w:val="0"/>
          <w:i w:val="0"/>
        </w:rPr>
        <w:t>Medir la temperatura del aire y, sobre todo, la del centro de un producto testigo.</w:t>
      </w:r>
    </w:p>
    <w:p>
      <w:pPr>
        <w:pStyle w:val="ListBullet"/>
      </w:pPr>
      <w:r>
        <w:rPr>
          <w:b w:val="0"/>
          <w:i w:val="0"/>
        </w:rPr>
        <w:t>Anotar la hora de la medida y la última hora en la que consta que la cámara funcionaba bien.</w:t>
      </w:r>
    </w:p>
    <w:p>
      <w:pPr>
        <w:pStyle w:val="ListBullet"/>
      </w:pPr>
      <w:r>
        <w:rPr>
          <w:b w:val="0"/>
          <w:i w:val="0"/>
        </w:rPr>
        <w:t>Separar por familias -lo crudo de origen animal, lo elaborado listo para consumo y lo envasado sin abrir no aguantan lo mismo-; dentro de lo elaborado tampoco es uniforme: una ficha técnica de ejemplo del pack fija 3 días de vida útil para un puré, 4 para una salsa y 2 para una pieza racionada.</w:t>
      </w:r>
    </w:p>
    <w:p>
      <w:pPr>
        <w:pStyle w:val="ListBullet"/>
      </w:pPr>
      <w:r>
        <w:rPr>
          <w:b w:val="0"/>
          <w:i w:val="0"/>
        </w:rPr>
        <w:t>Decidir con la temperatura y el tiempo transcurrido, nunca con el olor ni el aspecto.</w:t>
      </w:r>
    </w:p>
    <w:p>
      <w:pPr>
        <w:pStyle w:val="ListBullet"/>
      </w:pPr>
      <w:r>
        <w:rPr>
          <w:b w:val="0"/>
          <w:i w:val="0"/>
        </w:rPr>
        <w:t>Trasladar lo que se salva a otra cámara antes de seguir revisando el resto.</w:t>
      </w:r>
    </w:p>
    <w:p>
      <w:pPr>
        <w:pStyle w:val="ListBullet"/>
      </w:pPr>
      <w:r>
        <w:rPr>
          <w:b w:val="0"/>
          <w:i w:val="0"/>
        </w:rPr>
        <w:t>Escribir la decisión producto a producto.</w:t>
      </w:r>
    </w:p>
    <w:p>
      <w:r>
        <w:rPr>
          <w:b w:val="0"/>
          <w:i w:val="0"/>
        </w:rPr>
        <w:t>Hay dos reglas que no se negocian. Lo que ya se recalentó y no se consumió no vuelve a la cámara ni se vuelve a calentar: el art. 30.7 del RD 1086/2020, en la redacción del RD 1021/2022, lo dice sin margen de interpretación: «Todos los alimentos recalentados que no se consuman se descartarán y no volverán a calentarse ni se volverán a almacenar». Y lo congelado que se ha descongelado no se recongela como si nada: el art. 5 del RD 1021/2022 obliga a etiquetar lo que se congela en el propio establecimiento con tres fechas -elaboración, congelación y caducidad o consumo preferente-, que dejan de decir la verdad en cuanto el producto pasa por una descongelación sin control.</w:t>
      </w:r>
    </w:p>
    <w:p>
      <w:pPr>
        <w:pStyle w:val="Heading2"/>
      </w:pPr>
      <w:r>
        <w:t>La norma que aplica</w:t>
      </w:r>
    </w:p>
    <w:p>
      <w:r>
        <w:rPr>
          <w:b w:val="0"/>
          <w:i w:val="0"/>
        </w:rPr>
        <w:t>El artículo que gobierna toda la noche es el 30 del RD 1086/2020, comprobado el 6 de septiembre de 2026, en su redacción del RD 1021/2022: art. 30.1, 30.2, 30.5 y 30.7. El 30.1 pide elaborar con la menor antelación posible; el 30.2 exige un mínimo de 63 °C en caliente; el 30.3 fija un máximo de 4 °C en refrigeración si la vida útil supera las 24 horas, u 8 °C si es menor; el 30.4 fija un máximo de -18 °C en congelación; el 30.6 exige enfriar de 60 a 10 °C en menos de dos horas; y el 30.7 exige recalentar a un mínimo de 74 °C durante 15 segundos en el centro, dentro de la hora siguiente a sacarlo del frigorífico. El 30.5 admite temperaturas distintas de las del apartado 3 -nunca los 63 °C en caliente ni los -18 °C en congelación- si el operador demuestra ante la autoridad competente que se basan en evidencias científicas: no es una salida para una noche de apuro, sino un régimen que se pide y se justifica de antemano.</w:t>
      </w:r>
    </w:p>
    <w:p>
      <w:r>
        <w:rPr>
          <w:b w:val="0"/>
          <w:i w:val="0"/>
        </w:rPr>
        <w:t>El marco que se explica aquí es el español; si trabajas fuera de España, la referencia es tu normativa local.</w:t>
      </w:r>
    </w:p>
    <w:p>
      <w:pPr>
        <w:pStyle w:val="Heading2"/>
      </w:pPr>
      <w:r>
        <w:t>La herramienta y el guion</w:t>
      </w:r>
    </w:p>
    <w:p>
      <w:r>
        <w:rPr>
          <w:b w:val="0"/>
          <w:i w:val="0"/>
        </w:rPr>
        <w:t>Para saber qué temperatura rige sin repasar el articulado a las once de la noche está la hoja de estado normativo del pack, que avisa cada 180 días de revisar si algo ha cambiado. Lo decidido se deja escrito en el registro del pack de seguridad alimentaria, con la misma lógica de un inspector: la Guía de requisitos de seguridad alimentaria para establecimientos de restauración, Comunidad de Madrid, 2024, explica que la inspección cruza lo que entra -albaranes con lote y fecha de caducidad-, lo que pasa por el proceso -envases originales, fecha de elaboración, registros- y lo que sale -empresas destinatarias, comidas servidas, cantidad y fecha-. Esa trazabilidad no la exige la norma, pero sin ella una retirada de producto es mucho más lenta y cara.</w:t>
      </w:r>
    </w:p>
    <w:p>
      <w:r>
        <w:rPr>
          <w:b w:val="0"/>
          <w:i w:val="0"/>
        </w:rPr>
        <w:t>La nota que se escribe esa misma noche, producto a producto, sigue siempre el mismo guion:</w:t>
      </w:r>
    </w:p>
    <w:p>
      <w:r>
        <w:rPr>
          <w:b w:val="0"/>
          <w:i w:val="0"/>
        </w:rPr>
        <w:t>«Hora de la medición: ___. Temperatura del aire: ___. Temperatura en el centro del producto testigo: ___. Producto y familia: ___. Decisión: se conserva / se traslada / se descarta. Tomada por: ___.»</w:t>
      </w:r>
    </w:p>
    <w:p>
      <w:r>
        <w:rPr>
          <w:b w:val="0"/>
          <w:i w:val="0"/>
        </w:rPr>
        <w:t>Es exactamente lo que se va a pedir si alguna vez hay que justificar, meses después, qué se tiró y qué se salvó esa noche.</w:t>
      </w:r>
    </w:p>
    <w:p>
      <w:r>
        <w:rPr>
          <w:b/>
          <w:i w:val="0"/>
        </w:rPr>
        <w:t>Qué se salva, qué se descarta y qué se apunta cuando se cae el frío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tienes en la cámara</w:t>
            </w:r>
          </w:p>
        </w:tc>
        <w:tc>
          <w:tcPr>
            <w:tcW w:type="dxa" w:w="3249"/>
          </w:tcPr>
          <w:p>
            <w:r/>
            <w:r>
              <w:rPr>
                <w:b/>
                <w:i w:val="0"/>
              </w:rPr>
              <w:t>Qué se hace</w:t>
            </w:r>
          </w:p>
        </w:tc>
        <w:tc>
          <w:tcPr>
            <w:tcW w:type="dxa" w:w="3249"/>
          </w:tcPr>
          <w:p>
            <w:r/>
            <w:r>
              <w:rPr>
                <w:b/>
                <w:i w:val="0"/>
              </w:rPr>
              <w:t>Por qué</w:t>
            </w:r>
          </w:p>
        </w:tc>
      </w:tr>
      <w:tr>
        <w:tc>
          <w:tcPr>
            <w:tcW w:type="dxa" w:w="3249"/>
          </w:tcPr>
          <w:p>
            <w:r/>
            <w:r>
              <w:rPr>
                <w:b w:val="0"/>
                <w:i w:val="0"/>
              </w:rPr>
              <w:t>Producto crudo de origen animal sin abrir, dentro de su envase</w:t>
            </w:r>
          </w:p>
        </w:tc>
        <w:tc>
          <w:tcPr>
            <w:tcW w:type="dxa" w:w="3249"/>
          </w:tcPr>
          <w:p>
            <w:r/>
            <w:r>
              <w:rPr>
                <w:b w:val="0"/>
                <w:i w:val="0"/>
              </w:rPr>
              <w:t>Se decide por la temperatura del centro y por el tiempo transcurrido, no por el aspecto</w:t>
            </w:r>
          </w:p>
        </w:tc>
        <w:tc>
          <w:tcPr>
            <w:tcW w:type="dxa" w:w="3249"/>
          </w:tcPr>
          <w:p>
            <w:r/>
            <w:r>
              <w:rPr>
                <w:b w:val="0"/>
                <w:i w:val="0"/>
              </w:rPr>
              <w:t>Es el que peor tolera la desviación y el que más riesgo tiene</w:t>
            </w:r>
          </w:p>
        </w:tc>
      </w:tr>
      <w:tr>
        <w:tc>
          <w:tcPr>
            <w:tcW w:type="dxa" w:w="3249"/>
          </w:tcPr>
          <w:p>
            <w:r/>
            <w:r>
              <w:rPr>
                <w:b w:val="0"/>
                <w:i w:val="0"/>
              </w:rPr>
              <w:t>Elaboración propia lista para consumo</w:t>
            </w:r>
          </w:p>
        </w:tc>
        <w:tc>
          <w:tcPr>
            <w:tcW w:type="dxa" w:w="3249"/>
          </w:tcPr>
          <w:p>
            <w:r/>
            <w:r>
              <w:rPr>
                <w:b w:val="0"/>
                <w:i w:val="0"/>
              </w:rPr>
              <w:t>Se descarta si no se puede demostrar que se mantuvo en temperatura</w:t>
            </w:r>
          </w:p>
        </w:tc>
        <w:tc>
          <w:tcPr>
            <w:tcW w:type="dxa" w:w="3249"/>
          </w:tcPr>
          <w:p>
            <w:r/>
            <w:r>
              <w:rPr>
                <w:b w:val="0"/>
                <w:i w:val="0"/>
              </w:rPr>
              <w:t>Es el supuesto en el que la norma exige estudio de vida útil</w:t>
            </w:r>
          </w:p>
        </w:tc>
      </w:tr>
      <w:tr>
        <w:tc>
          <w:tcPr>
            <w:tcW w:type="dxa" w:w="3249"/>
          </w:tcPr>
          <w:p>
            <w:r/>
            <w:r>
              <w:rPr>
                <w:b w:val="0"/>
                <w:i w:val="0"/>
              </w:rPr>
              <w:t>Producto ya recalentado que no se consumió</w:t>
            </w:r>
          </w:p>
        </w:tc>
        <w:tc>
          <w:tcPr>
            <w:tcW w:type="dxa" w:w="3249"/>
          </w:tcPr>
          <w:p>
            <w:r/>
            <w:r>
              <w:rPr>
                <w:b w:val="0"/>
                <w:i w:val="0"/>
              </w:rPr>
              <w:t>Se descarta siempre</w:t>
            </w:r>
          </w:p>
        </w:tc>
        <w:tc>
          <w:tcPr>
            <w:tcW w:type="dxa" w:w="3249"/>
          </w:tcPr>
          <w:p>
            <w:r/>
            <w:r>
              <w:rPr>
                <w:b w:val="0"/>
                <w:i w:val="0"/>
              </w:rPr>
              <w:t>La norma dice que no vuelve a calentarse ni a almacenarse</w:t>
            </w:r>
          </w:p>
        </w:tc>
      </w:tr>
      <w:tr>
        <w:tc>
          <w:tcPr>
            <w:tcW w:type="dxa" w:w="3249"/>
          </w:tcPr>
          <w:p>
            <w:r/>
            <w:r>
              <w:rPr>
                <w:b w:val="0"/>
                <w:i w:val="0"/>
              </w:rPr>
              <w:t>Congelado que se ha descongelado</w:t>
            </w:r>
          </w:p>
        </w:tc>
        <w:tc>
          <w:tcPr>
            <w:tcW w:type="dxa" w:w="3249"/>
          </w:tcPr>
          <w:p>
            <w:r/>
            <w:r>
              <w:rPr>
                <w:b w:val="0"/>
                <w:i w:val="0"/>
              </w:rPr>
              <w:t>No se vuelve a congelar; se decide entre usarlo con tratamiento térmico inmediato o descartarlo</w:t>
            </w:r>
          </w:p>
        </w:tc>
        <w:tc>
          <w:tcPr>
            <w:tcW w:type="dxa" w:w="3249"/>
          </w:tcPr>
          <w:p>
            <w:r/>
            <w:r>
              <w:rPr>
                <w:b w:val="0"/>
                <w:i w:val="0"/>
              </w:rPr>
              <w:t>Sus tres fechas de etiqueta ya no describen el producto</w:t>
            </w:r>
          </w:p>
        </w:tc>
      </w:tr>
      <w:tr>
        <w:tc>
          <w:tcPr>
            <w:tcW w:type="dxa" w:w="3249"/>
          </w:tcPr>
          <w:p>
            <w:r/>
            <w:r>
              <w:rPr>
                <w:b w:val="0"/>
                <w:i w:val="0"/>
              </w:rPr>
              <w:t>Envasado no perecedero y conservas</w:t>
            </w:r>
          </w:p>
        </w:tc>
        <w:tc>
          <w:tcPr>
            <w:tcW w:type="dxa" w:w="3249"/>
          </w:tcPr>
          <w:p>
            <w:r/>
            <w:r>
              <w:rPr>
                <w:b w:val="0"/>
                <w:i w:val="0"/>
              </w:rPr>
              <w:t>Se revisa el envase y se mantiene</w:t>
            </w:r>
          </w:p>
        </w:tc>
        <w:tc>
          <w:tcPr>
            <w:tcW w:type="dxa" w:w="3249"/>
          </w:tcPr>
          <w:p>
            <w:r/>
            <w:r>
              <w:rPr>
                <w:b w:val="0"/>
                <w:i w:val="0"/>
              </w:rPr>
              <w:t>La cadena de frío no es su barrera</w:t>
            </w:r>
          </w:p>
        </w:tc>
      </w:tr>
      <w:tr>
        <w:tc>
          <w:tcPr>
            <w:tcW w:type="dxa" w:w="3249"/>
          </w:tcPr>
          <w:p>
            <w:r/>
            <w:r>
              <w:rPr>
                <w:b w:val="0"/>
                <w:i w:val="0"/>
              </w:rPr>
              <w:t>Vegetal crudo y fruta</w:t>
            </w:r>
          </w:p>
        </w:tc>
        <w:tc>
          <w:tcPr>
            <w:tcW w:type="dxa" w:w="3249"/>
          </w:tcPr>
          <w:p>
            <w:r/>
            <w:r>
              <w:rPr>
                <w:b w:val="0"/>
                <w:i w:val="0"/>
              </w:rPr>
              <w:t>Se valora por estado; suele salvarse</w:t>
            </w:r>
          </w:p>
        </w:tc>
        <w:tc>
          <w:tcPr>
            <w:tcW w:type="dxa" w:w="3249"/>
          </w:tcPr>
          <w:p>
            <w:r/>
            <w:r>
              <w:rPr>
                <w:b w:val="0"/>
                <w:i w:val="0"/>
              </w:rPr>
              <w:t>Su riesgo es de calidad antes que de seguridad</w:t>
            </w:r>
          </w:p>
        </w:tc>
      </w:tr>
      <w:tr>
        <w:tc>
          <w:tcPr>
            <w:tcW w:type="dxa" w:w="3249"/>
          </w:tcPr>
          <w:p>
            <w:r/>
            <w:r>
              <w:rPr>
                <w:b w:val="0"/>
                <w:i w:val="0"/>
              </w:rPr>
              <w:t>Cualquier producto del que dudes</w:t>
            </w:r>
          </w:p>
        </w:tc>
        <w:tc>
          <w:tcPr>
            <w:tcW w:type="dxa" w:w="3249"/>
          </w:tcPr>
          <w:p>
            <w:r/>
            <w:r>
              <w:rPr>
                <w:b w:val="0"/>
                <w:i w:val="0"/>
              </w:rPr>
              <w:t>Se descarta y se anota</w:t>
            </w:r>
          </w:p>
        </w:tc>
        <w:tc>
          <w:tcPr>
            <w:tcW w:type="dxa" w:w="3249"/>
          </w:tcPr>
          <w:p>
            <w:r/>
            <w:r>
              <w:rPr>
                <w:b w:val="0"/>
                <w:i w:val="0"/>
              </w:rPr>
              <w:t>La duda no se resuelve con el olfato</w:t>
            </w:r>
          </w:p>
        </w:tc>
      </w:tr>
      <w:tr>
        <w:tc>
          <w:tcPr>
            <w:tcW w:type="dxa" w:w="3249"/>
          </w:tcPr>
          <w:p>
            <w:r/>
            <w:r>
              <w:rPr>
                <w:b w:val="0"/>
                <w:i w:val="0"/>
              </w:rPr>
              <w:t>La decisión de cada producto</w:t>
            </w:r>
          </w:p>
        </w:tc>
        <w:tc>
          <w:tcPr>
            <w:tcW w:type="dxa" w:w="3249"/>
          </w:tcPr>
          <w:p>
            <w:r/>
            <w:r>
              <w:rPr>
                <w:b w:val="0"/>
                <w:i w:val="0"/>
              </w:rPr>
              <w:t>Se escribe: hora, temperatura medida, producto, decisión y quién la tomó</w:t>
            </w:r>
          </w:p>
        </w:tc>
        <w:tc>
          <w:tcPr>
            <w:tcW w:type="dxa" w:w="3249"/>
          </w:tcPr>
          <w:p>
            <w:r/>
            <w:r>
              <w:rPr>
                <w:b w:val="0"/>
                <w:i w:val="0"/>
              </w:rPr>
              <w:t>Es lo único que permite justificarla meses después</w:t>
            </w:r>
          </w:p>
        </w:tc>
      </w:tr>
    </w:tbl>
    <w:p/>
    <w:p>
      <w:pPr>
        <w:jc w:val="center"/>
      </w:pPr>
      <w:r>
        <w:rPr>
          <w:i/>
          <w:color w:val="444444"/>
        </w:rPr>
        <w:t>Verificado el 06-09-2026 · Art. 30 del RD 1086/2020 en la redacción del RD 1021/2022 · https://www.boe.es/buscar/act.php?id=BOE-A-2020-15872 - esta tabla es criterio de cocina construido sobre las reglas de temperatura de la norma, no una tabla oficial de decisión: la valoración concreta de un producto en un incidente depende de su naturaleza, del tiempo y de la temperatura alcanzada.</w:t>
      </w:r>
    </w:p>
    <w:p>
      <w:r>
        <w:br w:type="page"/>
      </w:r>
    </w:p>
    <w:p>
      <w:pPr>
        <w:pStyle w:val="Heading1"/>
      </w:pPr>
      <w:r>
        <w:t>9. Un Cocinero se Corta con la Cortadora de Fiambre</w:t>
      </w:r>
    </w:p>
    <w:p>
      <w:pPr>
        <w:pStyle w:val="Heading2"/>
      </w:pPr>
      <w:r>
        <w:t>La situación</w:t>
      </w:r>
    </w:p>
    <w:p>
      <w:r>
        <w:rPr>
          <w:b w:val="0"/>
          <w:i w:val="0"/>
        </w:rPr>
        <w:t>Son las nueve y veinte de la noche, en pleno pase, cuando el cocinero de la partida fría de La Encina se corta con la cortadora de fiambre mientras loncheaba jamón para una mesa que espera. El corte es profundo y hay que trasladarlo a urgencias. La cocina, mientras tanto, sigue funcionando: quedan comandas por servir y la brigada, seis personas esa noche, tiene que decidir en caliente qué hace con la máquina, con el resto del servicio y con lo que se cuenta después.</w:t>
      </w:r>
    </w:p>
    <w:p>
      <w:r>
        <w:rPr>
          <w:b w:val="0"/>
          <w:i w:val="0"/>
        </w:rPr>
        <w:t>Es el tipo de suceso que la auditoría interna intenta anticipar. El área de prevención de riesgos laborales reúne diez puntos de control con un peso de 26 sobre el total ponderado de 123, y en la última visita de La Encina sacó una nota de 3,85 sobre una escala máxima de 5 -por encima del umbral de aviso crítico, fijado en 2-, con un cumplimiento del 76,9 %. No es un suspenso, pero tampoco la nota de una cocina que ya lo tiene todo cerrado: es el margen en el que un corte como este deja de ser mala suerte y empieza a ser una pregunta sobre qué faltaba por comprobar.</w:t>
      </w:r>
    </w:p>
    <w:p>
      <w:pPr>
        <w:pStyle w:val="Heading2"/>
      </w:pPr>
      <w:r>
        <w:t>Qué no hacer</w:t>
      </w:r>
    </w:p>
    <w:p>
      <w:pPr>
        <w:pStyle w:val="ListBullet"/>
      </w:pPr>
      <w:r>
        <w:rPr>
          <w:b/>
          <w:i w:val="0"/>
        </w:rPr>
        <w:t>Seguir usando la máquina "con cuidado" el resto del servicio.</w:t>
      </w:r>
      <w:r>
        <w:rPr>
          <w:b w:val="0"/>
          <w:i w:val="0"/>
        </w:rPr>
        <w:t xml:space="preserve"> "Con cuidado" no es una medida de protección, es la ausencia de una, y volver a cortar esa misma noche con ella asumiendo que basta con ir más despacio repite el riesgo.</w:t>
      </w:r>
    </w:p>
    <w:p>
      <w:pPr>
        <w:pStyle w:val="ListBullet"/>
      </w:pPr>
      <w:r>
        <w:rPr>
          <w:b/>
          <w:i w:val="0"/>
        </w:rPr>
        <w:t>Retirar el resguardo para limpiar y no volver a ponerlo.</w:t>
      </w:r>
      <w:r>
        <w:rPr>
          <w:b w:val="0"/>
          <w:i w:val="0"/>
        </w:rPr>
        <w:t xml:space="preserve"> Es la causa más habitual de que una cortadora acabe sin la protección con la que salió de fábrica: se quita para limpiar el disco a fondo y, con las prisas del cambio de turno, nadie la repone.</w:t>
      </w:r>
    </w:p>
    <w:p>
      <w:pPr>
        <w:pStyle w:val="ListBullet"/>
      </w:pPr>
      <w:r>
        <w:rPr>
          <w:b/>
          <w:i w:val="0"/>
        </w:rPr>
        <w:t>Buscar culpable antes de saber si la máquina estaba protegida.</w:t>
      </w:r>
      <w:r>
        <w:rPr>
          <w:b w:val="0"/>
          <w:i w:val="0"/>
        </w:rPr>
        <w:t xml:space="preserve"> Preguntar primero quién ha sido, en vez de cómo estaba la máquina, invierte el orden que decide la responsabilidad y puede hundir a alguien sin ninguna culpa.</w:t>
      </w:r>
    </w:p>
    <w:p>
      <w:pPr>
        <w:pStyle w:val="ListBullet"/>
      </w:pPr>
      <w:r>
        <w:rPr>
          <w:b/>
          <w:i w:val="0"/>
        </w:rPr>
        <w:t>No dejar constancia porque "no ha sido nada".</w:t>
      </w:r>
      <w:r>
        <w:rPr>
          <w:b w:val="0"/>
          <w:i w:val="0"/>
        </w:rPr>
        <w:t xml:space="preserve"> Un corte que se cura sin ingreso hospitalario tiende a olvidarse en la memoria del servicio siguiente, y es justo lo que deja a la cocina sin el único registro que demuestra, meses después, qué se comprobó y qué no.</w:t>
      </w:r>
    </w:p>
    <w:p>
      <w:pPr>
        <w:pStyle w:val="Heading2"/>
      </w:pPr>
      <w:r>
        <w:t>Protocolo paso a paso</w:t>
      </w:r>
    </w:p>
    <w:p>
      <w:pPr>
        <w:pStyle w:val="ListBullet"/>
      </w:pPr>
      <w:r>
        <w:rPr>
          <w:b w:val="0"/>
          <w:i w:val="0"/>
        </w:rPr>
        <w:t>Atender la herida y trasladar a la persona a urgencias; nada de lo que sigue es más urgente que esto.</w:t>
      </w:r>
    </w:p>
    <w:p>
      <w:pPr>
        <w:pStyle w:val="ListBullet"/>
      </w:pPr>
      <w:r>
        <w:rPr>
          <w:b w:val="0"/>
          <w:i w:val="0"/>
        </w:rPr>
        <w:t>Parar la máquina y no volver a usarla hasta comprobar su estado, ni para terminar el pase ni al día siguiente.</w:t>
      </w:r>
    </w:p>
    <w:p>
      <w:pPr>
        <w:pStyle w:val="ListBullet"/>
      </w:pPr>
      <w:r>
        <w:rPr>
          <w:b w:val="0"/>
          <w:i w:val="0"/>
        </w:rPr>
        <w:t>Comprobar si el resguardo estaba puesto y en uso en el momento del corte.</w:t>
      </w:r>
    </w:p>
    <w:p>
      <w:pPr>
        <w:pStyle w:val="ListBullet"/>
      </w:pPr>
      <w:r>
        <w:rPr>
          <w:b w:val="0"/>
          <w:i w:val="0"/>
        </w:rPr>
        <w:t>Comprobar si esa persona tenía la formación específica del puesto de la cortadora y el equipo de protección entregado.</w:t>
      </w:r>
    </w:p>
    <w:p>
      <w:pPr>
        <w:pStyle w:val="ListBullet"/>
      </w:pPr>
      <w:r>
        <w:rPr>
          <w:b w:val="0"/>
          <w:i w:val="0"/>
        </w:rPr>
        <w:t>Anotar, esa misma noche, la hora, la tarea, la máquina, el estado del resguardo y quién estaba presente: es la diferencia entre un recuerdo y un hecho documentado.</w:t>
      </w:r>
    </w:p>
    <w:p>
      <w:pPr>
        <w:pStyle w:val="ListBullet"/>
      </w:pPr>
      <w:r>
        <w:rPr>
          <w:b w:val="0"/>
          <w:i w:val="0"/>
        </w:rPr>
        <w:t>Comunicarlo por la vía que corresponda dentro de la empresa, con la dirección y con el servicio de prevención, sin esperar a que alguien pregunte.</w:t>
      </w:r>
    </w:p>
    <w:p>
      <w:pPr>
        <w:pStyle w:val="Heading2"/>
      </w:pPr>
      <w:r>
        <w:t>La norma que aplica</w:t>
      </w:r>
    </w:p>
    <w:p>
      <w:r>
        <w:rPr>
          <w:b w:val="0"/>
          <w:i w:val="0"/>
        </w:rPr>
        <w:t>Lo que decide la responsabilidad de este caso no es lo que se hace esa noche, sino lo que tenía que estar hecho antes. Los elementos móviles con riesgo de contacto mecánico -el disco de una cortadora de fiambre entra en esa categoría, junto a picadoras y batidoras industriales- tienen que llevar resguardos o dispositivos que impidan el acceso a la zona peligrosa, según el RD 1215/1997, Anexo I, punto 1.8 (comprobado el 6 de septiembre de 2026). El mismo reglamento, en su art. 4, obliga a que los equipos sometidos a desgaste se sometan a comprobaciones periódicas, hechas por personal competente y documentadas, y conservadas durante toda su vida útil: es el papel que responde, meses después, a si el resguardo llevaba tiempo suelto.</w:t>
      </w:r>
    </w:p>
    <w:p>
      <w:r>
        <w:rPr>
          <w:b w:val="0"/>
          <w:i w:val="0"/>
        </w:rPr>
        <w:t>A eso se suma la Ley 31/1995, de Prevención de Riesgos Laborales: su art. 19 obliga a una formación teórica y práctica adecuada al puesto, dentro de la jornada de trabajo y sin coste para la persona trabajadora; su art. 17.2 obliga a proporcionar equipo de protección individual cuando el riesgo no se pueda evitar o limitar por protección colectiva o por la organización del trabajo.</w:t>
      </w:r>
    </w:p>
    <w:p>
      <w:r>
        <w:rPr>
          <w:b w:val="0"/>
          <w:i w:val="0"/>
        </w:rPr>
        <w:t>Aquí conviene una precisión que evita una afirmación falsa. El RD 773/1997, en su art. 3, letra c, y en su Anexo III, regula los equipos de protección individual, y ese Anexo III es una lista no exhaustiva de actividades que pueden requerir equipo -entre ellas, la utilización regular de cuchillos de mano-, no un mandato directo: quien convierte esa posibilidad en obligación es la evaluación de riesgos de cada cocina, no el listado en sí mismo. Lo que sí es incondicional, sin depender de ninguna evaluación, es que el equipo de protección se entrega gratis y se repone cuando hace falta.</w:t>
      </w:r>
    </w:p>
    <w:p>
      <w:pPr>
        <w:pStyle w:val="Heading2"/>
      </w:pPr>
      <w:r>
        <w:t>La herramienta y el guion</w:t>
      </w:r>
    </w:p>
    <w:p>
      <w:r>
        <w:rPr>
          <w:b w:val="0"/>
          <w:i w:val="0"/>
        </w:rPr>
        <w:t>Los diez puntos de control del área de prevención de riesgos son, en la práctica, la lista de lo que había que tener comprobado antes de esta noche: el cuadro siguiente los recoge uno por uno, con la misma nota y el mismo porcentaje de cumplimiento que ya tiene La Encina. Junto a la auditoría, la otra pieza que sostiene todo lo anterior es la nota escrita del incidente: hora, tarea, máquina, estado del resguardo y testigos, redactada esa misma noche y no reconstruida de memoria después.</w:t>
      </w:r>
    </w:p>
    <w:p>
      <w:r>
        <w:rPr>
          <w:b w:val="0"/>
          <w:i w:val="0"/>
        </w:rPr>
        <w:t>Quedan dos frases, y las dos se dicen tal cual. Al reanudar el servicio, a la brigada: «Esta máquina no vuelve a usarse hasta que comprobemos el resguardo; mientras tanto, se corta a mano». Y a la persona, cuando vuelve a la cocina: «Antes de que toques de nuevo esa máquina, revisamos juntos qué pasó y qué ha cambiado».</w:t>
      </w:r>
    </w:p>
    <w:p>
      <w:r>
        <w:rPr>
          <w:b/>
          <w:i w:val="0"/>
        </w:rPr>
        <w:t>Los puntos de prevención que tenían que estar comprobados antes (auditoria-interna-cocina.xlsx, hoja «Auditoría»)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Nº</w:t>
            </w:r>
          </w:p>
        </w:tc>
        <w:tc>
          <w:tcPr>
            <w:tcW w:type="dxa" w:w="2436"/>
          </w:tcPr>
          <w:p>
            <w:r/>
            <w:r>
              <w:rPr>
                <w:b/>
                <w:i w:val="0"/>
              </w:rPr>
              <w:t>Punto de control</w:t>
            </w:r>
          </w:p>
        </w:tc>
        <w:tc>
          <w:tcPr>
            <w:tcW w:type="dxa" w:w="2436"/>
          </w:tcPr>
          <w:p>
            <w:r/>
            <w:r>
              <w:rPr>
                <w:b/>
                <w:i w:val="0"/>
              </w:rPr>
              <w:t>Peso (1 a 3)</w:t>
            </w:r>
          </w:p>
        </w:tc>
        <w:tc>
          <w:tcPr>
            <w:tcW w:type="dxa" w:w="2436"/>
          </w:tcPr>
          <w:p>
            <w:r/>
            <w:r>
              <w:rPr>
                <w:b/>
                <w:i w:val="0"/>
              </w:rPr>
              <w:t>Norma aplicable</w:t>
            </w:r>
          </w:p>
        </w:tc>
      </w:tr>
      <w:tr>
        <w:tc>
          <w:tcPr>
            <w:tcW w:type="dxa" w:w="2436"/>
          </w:tcPr>
          <w:p>
            <w:r/>
            <w:r>
              <w:rPr>
                <w:b w:val="0"/>
                <w:i w:val="0"/>
              </w:rPr>
              <w:t>31</w:t>
            </w:r>
          </w:p>
        </w:tc>
        <w:tc>
          <w:tcPr>
            <w:tcW w:type="dxa" w:w="2436"/>
          </w:tcPr>
          <w:p>
            <w:r/>
            <w:r>
              <w:rPr>
                <w:b w:val="0"/>
                <w:i w:val="0"/>
              </w:rPr>
              <w:t>La temperatura del local está dentro del rango que fija la evaluación de riesgos para la categoría de trabajo de la cocina</w:t>
            </w:r>
          </w:p>
        </w:tc>
        <w:tc>
          <w:tcPr>
            <w:tcW w:type="dxa" w:w="2436"/>
          </w:tcPr>
          <w:p>
            <w:r/>
            <w:r>
              <w:rPr>
                <w:b w:val="0"/>
                <w:i w:val="0"/>
              </w:rPr>
              <w:t>3</w:t>
            </w:r>
          </w:p>
        </w:tc>
        <w:tc>
          <w:tcPr>
            <w:tcW w:type="dxa" w:w="2436"/>
          </w:tcPr>
          <w:p>
            <w:r/>
            <w:r>
              <w:rPr>
                <w:b w:val="0"/>
                <w:i w:val="0"/>
              </w:rPr>
              <w:t>RD 486/1997, Anexo III, punto 3</w:t>
            </w:r>
          </w:p>
        </w:tc>
      </w:tr>
      <w:tr>
        <w:tc>
          <w:tcPr>
            <w:tcW w:type="dxa" w:w="2436"/>
          </w:tcPr>
          <w:p>
            <w:r/>
            <w:r>
              <w:rPr>
                <w:b w:val="0"/>
                <w:i w:val="0"/>
              </w:rPr>
              <w:t>32</w:t>
            </w:r>
          </w:p>
        </w:tc>
        <w:tc>
          <w:tcPr>
            <w:tcW w:type="dxa" w:w="2436"/>
          </w:tcPr>
          <w:p>
            <w:r/>
            <w:r>
              <w:rPr>
                <w:b w:val="0"/>
                <w:i w:val="0"/>
              </w:rPr>
              <w:t>Los suelos son fijos, estables y no resbaladizos, sin irregularidades ni pendientes peligrosas</w:t>
            </w:r>
          </w:p>
        </w:tc>
        <w:tc>
          <w:tcPr>
            <w:tcW w:type="dxa" w:w="2436"/>
          </w:tcPr>
          <w:p>
            <w:r/>
            <w:r>
              <w:rPr>
                <w:b w:val="0"/>
                <w:i w:val="0"/>
              </w:rPr>
              <w:t>3</w:t>
            </w:r>
          </w:p>
        </w:tc>
        <w:tc>
          <w:tcPr>
            <w:tcW w:type="dxa" w:w="2436"/>
          </w:tcPr>
          <w:p>
            <w:r/>
            <w:r>
              <w:rPr>
                <w:b w:val="0"/>
                <w:i w:val="0"/>
              </w:rPr>
              <w:t>RD 486/1997, Anexo I, punto 3, apartado 1.º</w:t>
            </w:r>
          </w:p>
        </w:tc>
      </w:tr>
      <w:tr>
        <w:tc>
          <w:tcPr>
            <w:tcW w:type="dxa" w:w="2436"/>
          </w:tcPr>
          <w:p>
            <w:r/>
            <w:r>
              <w:rPr>
                <w:b w:val="0"/>
                <w:i w:val="0"/>
              </w:rPr>
              <w:t>33</w:t>
            </w:r>
          </w:p>
        </w:tc>
        <w:tc>
          <w:tcPr>
            <w:tcW w:type="dxa" w:w="2436"/>
          </w:tcPr>
          <w:p>
            <w:r/>
            <w:r>
              <w:rPr>
                <w:b w:val="0"/>
                <w:i w:val="0"/>
              </w:rPr>
              <w:t>Hay guante de protección mecánica y calzado antideslizante para todo el que los necesita, entregados gratuitamente y repuestos</w:t>
            </w:r>
          </w:p>
        </w:tc>
        <w:tc>
          <w:tcPr>
            <w:tcW w:type="dxa" w:w="2436"/>
          </w:tcPr>
          <w:p>
            <w:r/>
            <w:r>
              <w:rPr>
                <w:b w:val="0"/>
                <w:i w:val="0"/>
              </w:rPr>
              <w:t>3</w:t>
            </w:r>
          </w:p>
        </w:tc>
        <w:tc>
          <w:tcPr>
            <w:tcW w:type="dxa" w:w="2436"/>
          </w:tcPr>
          <w:p>
            <w:r/>
            <w:r>
              <w:rPr>
                <w:b w:val="0"/>
                <w:i w:val="0"/>
              </w:rPr>
              <w:t>RD 773/1997, art. 3.c) y Anexo III</w:t>
            </w:r>
          </w:p>
        </w:tc>
      </w:tr>
      <w:tr>
        <w:tc>
          <w:tcPr>
            <w:tcW w:type="dxa" w:w="2436"/>
          </w:tcPr>
          <w:p>
            <w:r/>
            <w:r>
              <w:rPr>
                <w:b w:val="0"/>
                <w:i w:val="0"/>
              </w:rPr>
              <w:t>34</w:t>
            </w:r>
          </w:p>
        </w:tc>
        <w:tc>
          <w:tcPr>
            <w:tcW w:type="dxa" w:w="2436"/>
          </w:tcPr>
          <w:p>
            <w:r/>
            <w:r>
              <w:rPr>
                <w:b w:val="0"/>
                <w:i w:val="0"/>
              </w:rPr>
              <w:t>Cortadora, picadora y batidora tienen sus resguardos puestos y en uso</w:t>
            </w:r>
          </w:p>
        </w:tc>
        <w:tc>
          <w:tcPr>
            <w:tcW w:type="dxa" w:w="2436"/>
          </w:tcPr>
          <w:p>
            <w:r/>
            <w:r>
              <w:rPr>
                <w:b w:val="0"/>
                <w:i w:val="0"/>
              </w:rPr>
              <w:t>3</w:t>
            </w:r>
          </w:p>
        </w:tc>
        <w:tc>
          <w:tcPr>
            <w:tcW w:type="dxa" w:w="2436"/>
          </w:tcPr>
          <w:p>
            <w:r/>
            <w:r>
              <w:rPr>
                <w:b w:val="0"/>
                <w:i w:val="0"/>
              </w:rPr>
              <w:t>RD 1215/1997, Anexo I, punto 1.8</w:t>
            </w:r>
          </w:p>
        </w:tc>
      </w:tr>
      <w:tr>
        <w:tc>
          <w:tcPr>
            <w:tcW w:type="dxa" w:w="2436"/>
          </w:tcPr>
          <w:p>
            <w:r/>
            <w:r>
              <w:rPr>
                <w:b w:val="0"/>
                <w:i w:val="0"/>
              </w:rPr>
              <w:t>35</w:t>
            </w:r>
          </w:p>
        </w:tc>
        <w:tc>
          <w:tcPr>
            <w:tcW w:type="dxa" w:w="2436"/>
          </w:tcPr>
          <w:p>
            <w:r/>
            <w:r>
              <w:rPr>
                <w:b w:val="0"/>
                <w:i w:val="0"/>
              </w:rPr>
              <w:t>Las comprobaciones periódicas de los equipos están documentadas y conservadas</w:t>
            </w:r>
          </w:p>
        </w:tc>
        <w:tc>
          <w:tcPr>
            <w:tcW w:type="dxa" w:w="2436"/>
          </w:tcPr>
          <w:p>
            <w:r/>
            <w:r>
              <w:rPr>
                <w:b w:val="0"/>
                <w:i w:val="0"/>
              </w:rPr>
              <w:t>3</w:t>
            </w:r>
          </w:p>
        </w:tc>
        <w:tc>
          <w:tcPr>
            <w:tcW w:type="dxa" w:w="2436"/>
          </w:tcPr>
          <w:p>
            <w:r/>
            <w:r>
              <w:rPr>
                <w:b w:val="0"/>
                <w:i w:val="0"/>
              </w:rPr>
              <w:t>RD 1215/1997, art. 4</w:t>
            </w:r>
          </w:p>
        </w:tc>
      </w:tr>
      <w:tr>
        <w:tc>
          <w:tcPr>
            <w:tcW w:type="dxa" w:w="2436"/>
          </w:tcPr>
          <w:p>
            <w:r/>
            <w:r>
              <w:rPr>
                <w:b w:val="0"/>
                <w:i w:val="0"/>
              </w:rPr>
              <w:t>36</w:t>
            </w:r>
          </w:p>
        </w:tc>
        <w:tc>
          <w:tcPr>
            <w:tcW w:type="dxa" w:w="2436"/>
          </w:tcPr>
          <w:p>
            <w:r/>
            <w:r>
              <w:rPr>
                <w:b w:val="0"/>
                <w:i w:val="0"/>
              </w:rPr>
              <w:t>Las freidoras se vacían y se filtran en frío, con el procedimiento escrito</w:t>
            </w:r>
          </w:p>
        </w:tc>
        <w:tc>
          <w:tcPr>
            <w:tcW w:type="dxa" w:w="2436"/>
          </w:tcPr>
          <w:p>
            <w:r/>
            <w:r>
              <w:rPr>
                <w:b w:val="0"/>
                <w:i w:val="0"/>
              </w:rPr>
              <w:t>2</w:t>
            </w:r>
          </w:p>
        </w:tc>
        <w:tc>
          <w:tcPr>
            <w:tcW w:type="dxa" w:w="2436"/>
          </w:tcPr>
          <w:p>
            <w:r/>
          </w:p>
        </w:tc>
      </w:tr>
      <w:tr>
        <w:tc>
          <w:tcPr>
            <w:tcW w:type="dxa" w:w="2436"/>
          </w:tcPr>
          <w:p>
            <w:r/>
            <w:r>
              <w:rPr>
                <w:b w:val="0"/>
                <w:i w:val="0"/>
              </w:rPr>
              <w:t>37</w:t>
            </w:r>
          </w:p>
        </w:tc>
        <w:tc>
          <w:tcPr>
            <w:tcW w:type="dxa" w:w="2436"/>
          </w:tcPr>
          <w:p>
            <w:r/>
            <w:r>
              <w:rPr>
                <w:b w:val="0"/>
                <w:i w:val="0"/>
              </w:rPr>
              <w:t>El botiquín está completo y hay quien sepa usarlo en cada turno</w:t>
            </w:r>
          </w:p>
        </w:tc>
        <w:tc>
          <w:tcPr>
            <w:tcW w:type="dxa" w:w="2436"/>
          </w:tcPr>
          <w:p>
            <w:r/>
            <w:r>
              <w:rPr>
                <w:b w:val="0"/>
                <w:i w:val="0"/>
              </w:rPr>
              <w:t>2</w:t>
            </w:r>
          </w:p>
        </w:tc>
        <w:tc>
          <w:tcPr>
            <w:tcW w:type="dxa" w:w="2436"/>
          </w:tcPr>
          <w:p>
            <w:r/>
          </w:p>
        </w:tc>
      </w:tr>
      <w:tr>
        <w:tc>
          <w:tcPr>
            <w:tcW w:type="dxa" w:w="2436"/>
          </w:tcPr>
          <w:p>
            <w:r/>
            <w:r>
              <w:rPr>
                <w:b w:val="0"/>
                <w:i w:val="0"/>
              </w:rPr>
              <w:t>38</w:t>
            </w:r>
          </w:p>
        </w:tc>
        <w:tc>
          <w:tcPr>
            <w:tcW w:type="dxa" w:w="2436"/>
          </w:tcPr>
          <w:p>
            <w:r/>
            <w:r>
              <w:rPr>
                <w:b w:val="0"/>
                <w:i w:val="0"/>
              </w:rPr>
              <w:t>Las cargas pesadas se mueven con ayuda o con carro; nadie levanta solo lo que no debe</w:t>
            </w:r>
          </w:p>
        </w:tc>
        <w:tc>
          <w:tcPr>
            <w:tcW w:type="dxa" w:w="2436"/>
          </w:tcPr>
          <w:p>
            <w:r/>
            <w:r>
              <w:rPr>
                <w:b w:val="0"/>
                <w:i w:val="0"/>
              </w:rPr>
              <w:t>3</w:t>
            </w:r>
          </w:p>
        </w:tc>
        <w:tc>
          <w:tcPr>
            <w:tcW w:type="dxa" w:w="2436"/>
          </w:tcPr>
          <w:p>
            <w:r/>
            <w:r>
              <w:rPr>
                <w:b w:val="0"/>
                <w:i w:val="0"/>
              </w:rPr>
              <w:t>RD 487/1997, Anexo, puntos 1 a 5 (la norma no fija ninguna cifra en kilos)</w:t>
            </w:r>
          </w:p>
        </w:tc>
      </w:tr>
      <w:tr>
        <w:tc>
          <w:tcPr>
            <w:tcW w:type="dxa" w:w="2436"/>
          </w:tcPr>
          <w:p>
            <w:r/>
            <w:r>
              <w:rPr>
                <w:b w:val="0"/>
                <w:i w:val="0"/>
              </w:rPr>
              <w:t>39</w:t>
            </w:r>
          </w:p>
        </w:tc>
        <w:tc>
          <w:tcPr>
            <w:tcW w:type="dxa" w:w="2436"/>
          </w:tcPr>
          <w:p>
            <w:r/>
            <w:r>
              <w:rPr>
                <w:b w:val="0"/>
                <w:i w:val="0"/>
              </w:rPr>
              <w:t>Los pasillos de cocina están libres y las zonas mojadas señalizadas</w:t>
            </w:r>
          </w:p>
        </w:tc>
        <w:tc>
          <w:tcPr>
            <w:tcW w:type="dxa" w:w="2436"/>
          </w:tcPr>
          <w:p>
            <w:r/>
            <w:r>
              <w:rPr>
                <w:b w:val="0"/>
                <w:i w:val="0"/>
              </w:rPr>
              <w:t>2</w:t>
            </w:r>
          </w:p>
        </w:tc>
        <w:tc>
          <w:tcPr>
            <w:tcW w:type="dxa" w:w="2436"/>
          </w:tcPr>
          <w:p>
            <w:r/>
          </w:p>
        </w:tc>
      </w:tr>
      <w:tr>
        <w:tc>
          <w:tcPr>
            <w:tcW w:type="dxa" w:w="2436"/>
          </w:tcPr>
          <w:p>
            <w:r/>
            <w:r>
              <w:rPr>
                <w:b w:val="0"/>
                <w:i w:val="0"/>
              </w:rPr>
              <w:t>40</w:t>
            </w:r>
          </w:p>
        </w:tc>
        <w:tc>
          <w:tcPr>
            <w:tcW w:type="dxa" w:w="2436"/>
          </w:tcPr>
          <w:p>
            <w:r/>
            <w:r>
              <w:rPr>
                <w:b w:val="0"/>
                <w:i w:val="0"/>
              </w:rPr>
              <w:t>La formación de PRL del puesto está hecha y acreditada para toda la brigada</w:t>
            </w:r>
          </w:p>
        </w:tc>
        <w:tc>
          <w:tcPr>
            <w:tcW w:type="dxa" w:w="2436"/>
          </w:tcPr>
          <w:p>
            <w:r/>
            <w:r>
              <w:rPr>
                <w:b w:val="0"/>
                <w:i w:val="0"/>
              </w:rPr>
              <w:t>2</w:t>
            </w:r>
          </w:p>
        </w:tc>
        <w:tc>
          <w:tcPr>
            <w:tcW w:type="dxa" w:w="2436"/>
          </w:tcPr>
          <w:p>
            <w:r/>
            <w:r>
              <w:rPr>
                <w:b w:val="0"/>
                <w:i w:val="0"/>
              </w:rPr>
              <w:t>Ley 31/1995, art. 19 (el coste nunca recae en el trabajador)</w:t>
            </w:r>
          </w:p>
        </w:tc>
      </w:tr>
    </w:tbl>
    <w:p/>
    <w:p>
      <w:pPr>
        <w:jc w:val="center"/>
      </w:pPr>
      <w:r>
        <w:rPr>
          <w:i/>
          <w:color w:val="444444"/>
        </w:rPr>
        <w:t>Verificado el 06-09-2026 · RD 486/1997 (Anexo I, punto 3, y Anexo III, puntos 3 y 4), RD 773/1997 (arts. 3.c y 4 y Anexo III), RD 1215/1997 (art. 4 y Anexo I, punto 1.8), RD 487/1997 (Anexo y disposición final primera) y Ley 31/1995 (arts. 17.2 y 19.2) · https://www.boe.es/buscar/act.php?id=BOE-A-1997-8669 - esta lista no es un dictamen de prevención: es lo que un chef puede comprobar andando por su cocina. El plan de prevención, la evaluación de riesgos y la investigación del accidente son del servicio de prevención y de la dirección.</w:t>
      </w:r>
    </w:p>
    <w:p>
      <w:r>
        <w:br w:type="page"/>
      </w:r>
    </w:p>
    <w:p>
      <w:pPr>
        <w:pStyle w:val="Heading1"/>
      </w:pPr>
      <w:r>
        <w:t>10. El Plato que Sale por la Puerta: Delivery y Take-away desde la Cocina</w:t>
      </w:r>
    </w:p>
    <w:p>
      <w:pPr>
        <w:pStyle w:val="Heading2"/>
      </w:pPr>
      <w:r>
        <w:t>La situación</w:t>
      </w:r>
    </w:p>
    <w:p>
      <w:r>
        <w:rPr>
          <w:b w:val="0"/>
          <w:i w:val="0"/>
        </w:rPr>
        <w:t>Son las diez de la mañana y la propuesta llega desde dirección, no desde la cocina: activar el canal de reparto con la carta (menú) completa, sin tocar una sola ficha ni un solo horario de partida. La lógica comercial es sencilla -más plato despachado, más facturación-, pero a esa reunión hay que llevar el muestreo del pase (despacho), que enseña de dónde parte cada familia de plato. La temperatura mínima de mantenimiento en caliente que exige el pase es de 63 °C, y el rango de emplatado del muestreo va de 6,0 °C, en la partida fría, a 79,0 °C, en la partida caliente. De las 4 muestras que se mantienen en caliente, 1 ya aparecía por debajo del mínimo dentro del propio pase. Ese dato, y no la carta entera, decide qué se puede enviar: un plato que llega justo a la mesa de sala no mejora metido en una caja durante el trayecto.</w:t>
      </w:r>
    </w:p>
    <w:p>
      <w:pPr>
        <w:pStyle w:val="Heading2"/>
      </w:pPr>
      <w:r>
        <w:t>Qué no hacer</w:t>
      </w:r>
    </w:p>
    <w:p>
      <w:r>
        <w:rPr>
          <w:b w:val="0"/>
          <w:i w:val="0"/>
        </w:rPr>
        <w:t>Mandar la carta entera al canal de reparto es el primer error, y el más caro: cada plato sin probar fuera de la cocina se convierte en una apuesta con el nombre del restaurante puesto. El segundo es envasar en caliente y cerrar sin dejar salir el vapor: la condensación empapa el punto de cocción y ablanda cualquier textura crujiente. El tercero es medir el tiempo de trayecto desde que el repartidor recoge el pedido en el mostrador, en vez de desde que el plato sale del pase: ese margen perdido antes de arrancar es el que separa un plato caliente de uno tibio, y nadie lo cuenta. Y el cuarto es dar por hecho que la obligación de informar de los alérgenos se queda dentro del local: no es así, y da igual que el plato se sirva en mesa o en una bolsa cerrada.</w:t>
      </w:r>
    </w:p>
    <w:p>
      <w:pPr>
        <w:pStyle w:val="Heading2"/>
      </w:pPr>
      <w:r>
        <w:t>Protocolo paso a paso</w:t>
      </w:r>
    </w:p>
    <w:p>
      <w:pPr>
        <w:pStyle w:val="ListBullet"/>
      </w:pPr>
      <w:r>
        <w:rPr>
          <w:b w:val="0"/>
          <w:i w:val="0"/>
        </w:rPr>
        <w:t>Decidir qué platos viajan probándolos con el trayecto real, no dentro de la cocina: se empaqueta el plato tal cual sale del pase, se le somete al mismo tiempo y al mismo movimiento que va a tener camino de la mesa del cliente, y sólo entonces se juzga si sigue siendo el plato que se vende en sala.</w:t>
      </w:r>
    </w:p>
    <w:p>
      <w:pPr>
        <w:pStyle w:val="ListBullet"/>
      </w:pPr>
      <w:r>
        <w:rPr>
          <w:b w:val="0"/>
          <w:i w:val="0"/>
        </w:rPr>
        <w:t>Escribir en la ficha técnica (receta estándar) de cada plato aprobado el envase que le corresponde y el tiempo máximo que aguanta fuera de cocina, con el mismo rigor con el que ya se escribe el punto de cocción: la ficha técnica de proceso del pack trae el hueco pensado para eso, junto al minutaje de pase -la ficha de ejemplo del propio pack recoge 9 minutos de pase.</w:t>
      </w:r>
    </w:p>
    <w:p>
      <w:pPr>
        <w:pStyle w:val="ListBullet"/>
      </w:pPr>
      <w:r>
        <w:rPr>
          <w:b w:val="0"/>
          <w:i w:val="0"/>
        </w:rPr>
        <w:t>Mantener en caliente todo lo que se sirve caliente hasta el mismo instante en que sale por la puerta, sin distinguir si va a una mesa de sala o a una bolsa de reparto: si la temperatura de mantenimiento cae antes de salir, el plato no sale.</w:t>
      </w:r>
    </w:p>
    <w:p>
      <w:pPr>
        <w:pStyle w:val="ListBullet"/>
      </w:pPr>
      <w:r>
        <w:rPr>
          <w:b w:val="0"/>
          <w:i w:val="0"/>
        </w:rPr>
        <w:t>Etiquetar cada envase con el nombre del plato y el aviso de alérgenos, con la misma claridad con la que ya se rotula en la partida: el cliente que no tiene camarero delante necesita esa información escrita, no un cartel colgado en la pared del local.</w:t>
      </w:r>
    </w:p>
    <w:p>
      <w:pPr>
        <w:pStyle w:val="ListBullet"/>
      </w:pPr>
      <w:r>
        <w:rPr>
          <w:b w:val="0"/>
          <w:i w:val="0"/>
        </w:rPr>
        <w:t>Separar físicamente la zona donde se monta el pedido de reparto del pase de sala: si comparten la misma mesa de trabajo, los dos pedidos compiten por el mismo hueco y por las mismas manos, y los dos acaban saliendo tarde.</w:t>
      </w:r>
    </w:p>
    <w:p>
      <w:pPr>
        <w:pStyle w:val="Heading2"/>
      </w:pPr>
      <w:r>
        <w:t>La norma que aplica</w:t>
      </w:r>
    </w:p>
    <w:p>
      <w:r>
        <w:rPr>
          <w:b w:val="0"/>
          <w:i w:val="0"/>
        </w:rPr>
        <w:t>Lo que se sirve caliente se mantiene a la temperatura de mantenimiento en caliente que fija el art. 30.2 del RD 1086/2020, en la redacción del RD 1021/2022 -igual o por encima de 63 °C-, y el canal de reparto no cambia esa obligación: el plato sigue siendo el mismo alimento preparado, sólo cambia quién se lo lleva a la boca (comprobado el 6 de septiembre de 2026). La declaración de alérgenos tampoco se queda en el local: el Reglamento (UE) 1169/2011, en su anexo II y en su art. 44.1, junto con el art. 6.5 del RD 126/2015, obligan a declarar los 14 alérgenos también en los platos sin envasar, y un cartel de «consulte al personal» no basta sin respaldo escrito o electrónico accesible (comprobado el 6 de septiembre de 2026). Y hay una tercera pieza que dirección suele pasar por alto: la Ley 7/2022 permite cobrar aparte el envase de plástico de un solo uso, pero no la comida; lo demás que la ley obliga a ofrecer en sala -el agua no envasada gratuita y la aceptación del recipiente que trae el cliente- está en el Manual del Manager, cap. 19.</w:t>
      </w:r>
    </w:p>
    <w:p>
      <w:pPr>
        <w:pStyle w:val="Heading2"/>
      </w:pPr>
      <w:r>
        <w:t>La herramienta y el guion</w:t>
      </w:r>
    </w:p>
    <w:p>
      <w:r>
        <w:rPr>
          <w:b w:val="0"/>
          <w:i w:val="0"/>
        </w:rPr>
        <w:t>La pieza que sostiene todo el criterio anterior es la ficha técnica de proceso: ahí queda escrito, plato a plato, el envase que le corresponde y el tiempo máximo que aguanta fuera de cocina, junto al resto de parámetros que ya se manejan en el pase. El índice de fichas del mismo pack recoge los 14 platos de la carta del ejemplo, y es la lista donde se marca cuál está aprobado para viajar y cuál se queda fuera. Con esas dos piezas montadas, la conversación con dirección deja de ser una negociación y pasa a ser una explicación, y conviene tenerla preparada tal cual: «esta mitad de la carta sale por la puerta porque aguanta el trayecto sin dejar de ser lo que el cliente paga; la otra mitad se queda dentro porque, fuera de aquí, ya no lo es». No hace falta decir que no se puede: hace falta decir qué llega entero.</w:t>
      </w:r>
    </w:p>
    <w:p>
      <w:r>
        <w:rPr>
          <w:b/>
          <w:i w:val="0"/>
        </w:rPr>
        <w:t>Qué sale por la puerta y qué se queda dentro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Familia de plato</w:t>
            </w:r>
          </w:p>
        </w:tc>
        <w:tc>
          <w:tcPr>
            <w:tcW w:type="dxa" w:w="3249"/>
          </w:tcPr>
          <w:p>
            <w:r/>
            <w:r>
              <w:rPr>
                <w:b/>
                <w:i w:val="0"/>
              </w:rPr>
              <w:t>¿Viaja?</w:t>
            </w:r>
          </w:p>
        </w:tc>
        <w:tc>
          <w:tcPr>
            <w:tcW w:type="dxa" w:w="3249"/>
          </w:tcPr>
          <w:p>
            <w:r/>
            <w:r>
              <w:rPr>
                <w:b/>
                <w:i w:val="0"/>
              </w:rPr>
              <w:t>Con qué condición</w:t>
            </w:r>
          </w:p>
        </w:tc>
      </w:tr>
      <w:tr>
        <w:tc>
          <w:tcPr>
            <w:tcW w:type="dxa" w:w="3249"/>
          </w:tcPr>
          <w:p>
            <w:r/>
            <w:r>
              <w:rPr>
                <w:b w:val="0"/>
                <w:i w:val="0"/>
              </w:rPr>
              <w:t>Guisos, arroces melosos y legumbres</w:t>
            </w:r>
          </w:p>
        </w:tc>
        <w:tc>
          <w:tcPr>
            <w:tcW w:type="dxa" w:w="3249"/>
          </w:tcPr>
          <w:p>
            <w:r/>
            <w:r>
              <w:rPr>
                <w:b w:val="0"/>
                <w:i w:val="0"/>
              </w:rPr>
              <w:t>Sí</w:t>
            </w:r>
          </w:p>
        </w:tc>
        <w:tc>
          <w:tcPr>
            <w:tcW w:type="dxa" w:w="3249"/>
          </w:tcPr>
          <w:p>
            <w:r/>
            <w:r>
              <w:rPr>
                <w:b w:val="0"/>
                <w:i w:val="0"/>
              </w:rPr>
              <w:t>Envase estanco, salen a la temperatura de mantenimiento en caliente y con tiempo máximo escrito</w:t>
            </w:r>
          </w:p>
        </w:tc>
      </w:tr>
      <w:tr>
        <w:tc>
          <w:tcPr>
            <w:tcW w:type="dxa" w:w="3249"/>
          </w:tcPr>
          <w:p>
            <w:r/>
            <w:r>
              <w:rPr>
                <w:b w:val="0"/>
                <w:i w:val="0"/>
              </w:rPr>
              <w:t>Carnes y pescados a la plancha o al horno</w:t>
            </w:r>
          </w:p>
        </w:tc>
        <w:tc>
          <w:tcPr>
            <w:tcW w:type="dxa" w:w="3249"/>
          </w:tcPr>
          <w:p>
            <w:r/>
            <w:r>
              <w:rPr>
                <w:b w:val="0"/>
                <w:i w:val="0"/>
              </w:rPr>
              <w:t>Sí, con reservas</w:t>
            </w:r>
          </w:p>
        </w:tc>
        <w:tc>
          <w:tcPr>
            <w:tcW w:type="dxa" w:w="3249"/>
          </w:tcPr>
          <w:p>
            <w:r/>
            <w:r>
              <w:rPr>
                <w:b w:val="0"/>
                <w:i w:val="0"/>
              </w:rPr>
              <w:t>Sin salsa emulsionada encima y con la guarnición separada</w:t>
            </w:r>
          </w:p>
        </w:tc>
      </w:tr>
      <w:tr>
        <w:tc>
          <w:tcPr>
            <w:tcW w:type="dxa" w:w="3249"/>
          </w:tcPr>
          <w:p>
            <w:r/>
            <w:r>
              <w:rPr>
                <w:b w:val="0"/>
                <w:i w:val="0"/>
              </w:rPr>
              <w:t>Fritos y rebozados</w:t>
            </w:r>
          </w:p>
        </w:tc>
        <w:tc>
          <w:tcPr>
            <w:tcW w:type="dxa" w:w="3249"/>
          </w:tcPr>
          <w:p>
            <w:r/>
            <w:r>
              <w:rPr>
                <w:b w:val="0"/>
                <w:i w:val="0"/>
              </w:rPr>
              <w:t>No, o con el elemento crujiente aparte</w:t>
            </w:r>
          </w:p>
        </w:tc>
        <w:tc>
          <w:tcPr>
            <w:tcW w:type="dxa" w:w="3249"/>
          </w:tcPr>
          <w:p>
            <w:r/>
            <w:r>
              <w:rPr>
                <w:b w:val="0"/>
                <w:i w:val="0"/>
              </w:rPr>
              <w:t>El vapor del propio plato los ablanda antes de llegar</w:t>
            </w:r>
          </w:p>
        </w:tc>
      </w:tr>
      <w:tr>
        <w:tc>
          <w:tcPr>
            <w:tcW w:type="dxa" w:w="3249"/>
          </w:tcPr>
          <w:p>
            <w:r/>
            <w:r>
              <w:rPr>
                <w:b w:val="0"/>
                <w:i w:val="0"/>
              </w:rPr>
              <w:t>Salsas emulsionadas en caliente</w:t>
            </w:r>
          </w:p>
        </w:tc>
        <w:tc>
          <w:tcPr>
            <w:tcW w:type="dxa" w:w="3249"/>
          </w:tcPr>
          <w:p>
            <w:r/>
            <w:r>
              <w:rPr>
                <w:b w:val="0"/>
                <w:i w:val="0"/>
              </w:rPr>
              <w:t>No</w:t>
            </w:r>
          </w:p>
        </w:tc>
        <w:tc>
          <w:tcPr>
            <w:tcW w:type="dxa" w:w="3249"/>
          </w:tcPr>
          <w:p>
            <w:r/>
            <w:r>
              <w:rPr>
                <w:b w:val="0"/>
                <w:i w:val="0"/>
              </w:rPr>
              <w:t>Se cortan con el movimiento y el descenso de temperatura</w:t>
            </w:r>
          </w:p>
        </w:tc>
      </w:tr>
      <w:tr>
        <w:tc>
          <w:tcPr>
            <w:tcW w:type="dxa" w:w="3249"/>
          </w:tcPr>
          <w:p>
            <w:r/>
            <w:r>
              <w:rPr>
                <w:b w:val="0"/>
                <w:i w:val="0"/>
              </w:rPr>
              <w:t>Ensaladas y platos fríos</w:t>
            </w:r>
          </w:p>
        </w:tc>
        <w:tc>
          <w:tcPr>
            <w:tcW w:type="dxa" w:w="3249"/>
          </w:tcPr>
          <w:p>
            <w:r/>
            <w:r>
              <w:rPr>
                <w:b w:val="0"/>
                <w:i w:val="0"/>
              </w:rPr>
              <w:t>Sí</w:t>
            </w:r>
          </w:p>
        </w:tc>
        <w:tc>
          <w:tcPr>
            <w:tcW w:type="dxa" w:w="3249"/>
          </w:tcPr>
          <w:p>
            <w:r/>
            <w:r>
              <w:rPr>
                <w:b w:val="0"/>
                <w:i w:val="0"/>
              </w:rPr>
              <w:t>Con el aliño aparte y a temperatura de refrigeración</w:t>
            </w:r>
          </w:p>
        </w:tc>
      </w:tr>
      <w:tr>
        <w:tc>
          <w:tcPr>
            <w:tcW w:type="dxa" w:w="3249"/>
          </w:tcPr>
          <w:p>
            <w:r/>
            <w:r>
              <w:rPr>
                <w:b w:val="0"/>
                <w:i w:val="0"/>
              </w:rPr>
              <w:t>Crudos, marinados y semicrudos</w:t>
            </w:r>
          </w:p>
        </w:tc>
        <w:tc>
          <w:tcPr>
            <w:tcW w:type="dxa" w:w="3249"/>
          </w:tcPr>
          <w:p>
            <w:r/>
            <w:r>
              <w:rPr>
                <w:b w:val="0"/>
                <w:i w:val="0"/>
              </w:rPr>
              <w:t>Sólo con la cadena de frío del trayecto resuelta y documentada</w:t>
            </w:r>
          </w:p>
        </w:tc>
        <w:tc>
          <w:tcPr>
            <w:tcW w:type="dxa" w:w="3249"/>
          </w:tcPr>
          <w:p>
            <w:r/>
            <w:r>
              <w:rPr>
                <w:b w:val="0"/>
                <w:i w:val="0"/>
              </w:rPr>
              <w:t>Es el mismo producto que obliga a congelación preventiva en cocina</w:t>
            </w:r>
          </w:p>
        </w:tc>
      </w:tr>
      <w:tr>
        <w:tc>
          <w:tcPr>
            <w:tcW w:type="dxa" w:w="3249"/>
          </w:tcPr>
          <w:p>
            <w:r/>
            <w:r>
              <w:rPr>
                <w:b w:val="0"/>
                <w:i w:val="0"/>
              </w:rPr>
              <w:t>Postres de plato con montaje</w:t>
            </w:r>
          </w:p>
        </w:tc>
        <w:tc>
          <w:tcPr>
            <w:tcW w:type="dxa" w:w="3249"/>
          </w:tcPr>
          <w:p>
            <w:r/>
            <w:r>
              <w:rPr>
                <w:b w:val="0"/>
                <w:i w:val="0"/>
              </w:rPr>
              <w:t>No como están en carta</w:t>
            </w:r>
          </w:p>
        </w:tc>
        <w:tc>
          <w:tcPr>
            <w:tcW w:type="dxa" w:w="3249"/>
          </w:tcPr>
          <w:p>
            <w:r/>
            <w:r>
              <w:rPr>
                <w:b w:val="0"/>
                <w:i w:val="0"/>
              </w:rPr>
              <w:t>Se rediseña el montaje para el envase o no se envía</w:t>
            </w:r>
          </w:p>
        </w:tc>
      </w:tr>
      <w:tr>
        <w:tc>
          <w:tcPr>
            <w:tcW w:type="dxa" w:w="3249"/>
          </w:tcPr>
          <w:p>
            <w:r/>
            <w:r>
              <w:rPr>
                <w:b w:val="0"/>
                <w:i w:val="0"/>
              </w:rPr>
              <w:t>Cualquier plato aprobado para viajar</w:t>
            </w:r>
          </w:p>
        </w:tc>
        <w:tc>
          <w:tcPr>
            <w:tcW w:type="dxa" w:w="3249"/>
          </w:tcPr>
          <w:p>
            <w:r/>
            <w:r>
              <w:rPr>
                <w:b w:val="0"/>
                <w:i w:val="0"/>
              </w:rPr>
              <w:t>Sí</w:t>
            </w:r>
          </w:p>
        </w:tc>
        <w:tc>
          <w:tcPr>
            <w:tcW w:type="dxa" w:w="3249"/>
          </w:tcPr>
          <w:p>
            <w:r/>
            <w:r>
              <w:rPr>
                <w:b w:val="0"/>
                <w:i w:val="0"/>
              </w:rPr>
              <w:t>Con envase y tiempo máximo escritos en su ficha y con etiqueta de alérgenos</w:t>
            </w:r>
          </w:p>
        </w:tc>
      </w:tr>
    </w:tbl>
    <w:p/>
    <w:p>
      <w:pPr>
        <w:jc w:val="center"/>
      </w:pPr>
      <w:r>
        <w:rPr>
          <w:i/>
          <w:color w:val="444444"/>
        </w:rPr>
        <w:t>Verificado el 06-09-2026 · Art. 30 del RD 1086/2020 en la redacción del RD 1021/2022 · https://www.boe.es/buscar/act.php?id=BOE-A-2020-15872 - el reparto no cambia ninguna obligación: cambia el tiempo que pasa entre que el plato se termina y se come, y por eso la decisión de qué viaja es de cocina y no de marketing.</w:t>
      </w:r>
    </w:p>
    <w:p>
      <w:r>
        <w:br w:type="page"/>
      </w:r>
    </w:p>
    <w:p>
      <w:pPr>
        <w:pStyle w:val="Heading1"/>
      </w:pPr>
      <w:r>
        <w:t>11. El Propietario Quiere Quitar de la Carta un Plato que a Ti te da Margen</w:t>
      </w:r>
    </w:p>
    <w:p>
      <w:pPr>
        <w:pStyle w:val="Heading2"/>
      </w:pPr>
      <w:r>
        <w:t>La situación</w:t>
      </w:r>
    </w:p>
    <w:p>
      <w:r>
        <w:rPr>
          <w:b w:val="0"/>
          <w:i w:val="0"/>
        </w:rPr>
        <w:t>El propietario te para en su despacho, recién cerrado el pase (despacho) de la comida, y te dice que el solomillo de cerdo ibérico con puré de boniato sale de la carta (menú) la semana que viene: «no lo pide nadie». No es así: es de los platos que mejor sostienen tu partida de Pase y caliente. Vendéis 340 raciones al mes, a 5,67 € de coste por ración -copiado del escandallo (costeo) de su ficha-, y ese volumen mueve 1.927,80 € de materia prima al mes. Detrás de sus 45 minutos de elaboración previa hay un trabajo que no se ve en la mesa: si ese fondo o esa guarnición alimentan también a otro plato de la partida, quitarlo toca también el coste de ese otro plato.</w:t>
      </w:r>
    </w:p>
    <w:p>
      <w:pPr>
        <w:pStyle w:val="Heading2"/>
      </w:pPr>
      <w:r>
        <w:t>Qué no hacer</w:t>
      </w:r>
    </w:p>
    <w:p>
      <w:r>
        <w:rPr>
          <w:b w:val="0"/>
          <w:i w:val="0"/>
        </w:rPr>
        <w:t>Decir que no sin más argumento que «es de los que más se venden» no basta: hace falta criterio con datos, no un choque de opiniones. Defenderlo porque te gusta cocinarlo, o porque lo diseñaste tú, convierte la decisión en algo personal y pierdes la conversación. Tampoco sirve aceptar y sacarlo ese mismo día sin mirar qué elaboraciones comparte con otros platos de la partida: lo que ahorras en un lado lo pagas en el otro. Y lo peor es convertirlo en un pulso delante de la brigada: esto se cierra entre tú y el propietario, nunca en mitad del pase.</w:t>
      </w:r>
    </w:p>
    <w:p>
      <w:pPr>
        <w:pStyle w:val="Heading2"/>
      </w:pPr>
      <w:r>
        <w:t>Protocolo paso a paso</w:t>
      </w:r>
    </w:p>
    <w:p>
      <w:r>
        <w:rPr>
          <w:b w:val="0"/>
          <w:i w:val="0"/>
        </w:rPr>
        <w:t>Antes de defender nada, mira la matriz de responsabilidades del establecimiento y confirma de quién es esta decisión: si la fila está clara, vas directo a los datos.</w:t>
      </w:r>
    </w:p>
    <w:p>
      <w:pPr>
        <w:pStyle w:val="ListBullet"/>
      </w:pPr>
      <w:r>
        <w:rPr>
          <w:b w:val="0"/>
          <w:i w:val="0"/>
        </w:rPr>
        <w:t>Reúne lo que ya tienes en la ficha técnica (receta estándar): las 340 raciones vendidas al mes, los 5,67 € de coste por ración, los 1.927,80 € de materia prima al mes y la carga que da a Pase y caliente.</w:t>
      </w:r>
    </w:p>
    <w:p>
      <w:pPr>
        <w:pStyle w:val="ListBullet"/>
      </w:pPr>
      <w:r>
        <w:rPr>
          <w:b w:val="0"/>
          <w:i w:val="0"/>
        </w:rPr>
        <w:t>Revisa el índice de fichas técnicas: si una elaboración previa de este plato alimenta también a otro, quitarlo no ahorra ese trabajo, lo reparte peor y sube la merma (desperdicio, cuando es comida servible que se tira) de la elaboración que se queda corta o se pasa de producción.</w:t>
      </w:r>
    </w:p>
    <w:p>
      <w:pPr>
        <w:pStyle w:val="ListBullet"/>
      </w:pPr>
      <w:r>
        <w:rPr>
          <w:b w:val="0"/>
          <w:i w:val="0"/>
        </w:rPr>
        <w:t>Propón una alternativa medible en vez de un no seco -mantenerlo un tiempo acotado junto con una acción de sala o de carta- con fecha de revisión fijada de antemano.</w:t>
      </w:r>
    </w:p>
    <w:p>
      <w:pPr>
        <w:pStyle w:val="ListBullet"/>
      </w:pPr>
      <w:r>
        <w:rPr>
          <w:b w:val="0"/>
          <w:i w:val="0"/>
        </w:rPr>
        <w:t>Si la decisión final es retirarlo, acéptala: es de dirección. Lo que no cedes es dejar escrito qué se va a medir en la próxima revisión y con qué dato se juzgará si funcionó.</w:t>
      </w:r>
    </w:p>
    <w:p>
      <w:r>
        <w:rPr>
          <w:b w:val="0"/>
          <w:i w:val="0"/>
        </w:rPr>
        <w:t>Esta secuencia respeta una frontera: qué se queda en la carta es de dirección con el informe del chef delante; la ficha técnica, la producción y la carga de cada partida son terreno del chef. Casi todas estas conversaciones se tuercen por discutir en la casilla equivocada: el propietario opinando de ficha técnica como si fuera suya, o el chef opinando del mix de carta como si le tocara decidirlo.</w:t>
      </w:r>
    </w:p>
    <w:p>
      <w:pPr>
        <w:pStyle w:val="Heading2"/>
      </w:pPr>
      <w:r>
        <w:t>La norma que aplica</w:t>
      </w:r>
    </w:p>
    <w:p>
      <w:r>
        <w:rPr>
          <w:b w:val="0"/>
          <w:i w:val="0"/>
        </w:rPr>
        <w:t>Aquí no hay obligación legal que decida por vosotros: mantener o retirar un plato es una decisión de gestión, no un mandato normativo, y conviene decirlo así en la propia conversación. Lo único que sí obliga, si el solomillo cambia de receta o desaparece de verdad, es que la información al cliente y la ficha técnica cambien en el mismo momento. Ni el convenio sectorial resuelve quién manda aquí. El ALEH VI tipifica seis áreas funcionales y encuadra sus ocupaciones en tres grupos profesionales -«Arts. 11.2, 15 y 16 del ALEH VI (BOE-A-2023-6344), con la modificación de BOE-A-2026-18630» (2026), comprobado el 6 de septiembre de 2026-, y eso consta en tu contrato y en tu recibo de salario. Y no lo resuelve el convenio: el ALEH VI ordena categorías laborales, no quién decide qué se queda en la carta. Esa frontera te la da tu matriz de responsabilidades, no el BOE.</w:t>
      </w:r>
    </w:p>
    <w:p>
      <w:pPr>
        <w:pStyle w:val="Heading2"/>
      </w:pPr>
      <w:r>
        <w:t>La herramienta y el guion</w:t>
      </w:r>
    </w:p>
    <w:p>
      <w:r>
        <w:rPr>
          <w:b w:val="0"/>
          <w:i w:val="0"/>
        </w:rPr>
        <w:t>Tienes tres herramientas del pack para este caso. La matriz de responsabilidades, en la hoja de matriz RACI del libro de brigada, puestos y evaluación, te dice de quién es la decisión: comprueba sola que la fila del precio de venta de este plato tenga un único responsable, que es lo mínimo; que el responsable sea el que tu casa quiere es la conversación que hay que tener una vez y firmar. La ficha técnica y su índice, en la hoja de ficha de ejemplo del libro de ficha técnica de proceso, te enseñan qué elaboraciones comparte el solomillo antes de decidir a ciegas. Y si toca proponer un sustituto, el registro de pruebas de plato, en la hoja de registro de pruebas de plato del libro de desarrollo de carta, ya tiene 8 pruebas anotadas: mira ahí antes de improvisar una alternativa nueva.</w:t>
      </w:r>
    </w:p>
    <w:p>
      <w:r>
        <w:rPr>
          <w:b w:val="0"/>
          <w:i w:val="0"/>
        </w:rPr>
        <w:t>Para abrir la conversación, algo tan directo como: «Antes de sacarlo, déjame enseñarte lo que mueve este plato: raciones, coste y con qué otro plato comparte elaboración» funciona mejor que defenderlo a pecho descubierto. Si el propietario insiste en que el problema es el precio o el hueco que ocupa frente a otros platos, esa conversación ya no es esta: se resuelve con la matriz de carta de la Guía Food Cost. Y si lo que toca, en cambio, es subir el precio de la carta entera, esa conversación está resuelta en el bonus del Manual del Manager.</w:t>
      </w:r>
    </w:p>
    <w:p>
      <w:r>
        <w:rPr>
          <w:b/>
          <w:i w:val="0"/>
        </w:rPr>
        <w:t>Las decisiones de carta que cruzan, y quién responde de cada una (brigada-puestos-y-evaluacion.xlsx, hoja «Matriz RACI»)</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Decisión</w:t>
            </w:r>
          </w:p>
        </w:tc>
        <w:tc>
          <w:tcPr>
            <w:tcW w:type="dxa" w:w="1392"/>
          </w:tcPr>
          <w:p>
            <w:r/>
            <w:r>
              <w:rPr>
                <w:b/>
                <w:i w:val="0"/>
              </w:rPr>
              <w:t>Chef ejecutivo</w:t>
            </w:r>
          </w:p>
        </w:tc>
        <w:tc>
          <w:tcPr>
            <w:tcW w:type="dxa" w:w="1392"/>
          </w:tcPr>
          <w:p>
            <w:r/>
            <w:r>
              <w:rPr>
                <w:b/>
                <w:i w:val="0"/>
              </w:rPr>
              <w:t>Segundo de cocina</w:t>
            </w:r>
          </w:p>
        </w:tc>
        <w:tc>
          <w:tcPr>
            <w:tcW w:type="dxa" w:w="1392"/>
          </w:tcPr>
          <w:p>
            <w:r/>
            <w:r>
              <w:rPr>
                <w:b/>
                <w:i w:val="0"/>
              </w:rPr>
              <w:t>Jefe de partida</w:t>
            </w:r>
          </w:p>
        </w:tc>
        <w:tc>
          <w:tcPr>
            <w:tcW w:type="dxa" w:w="1392"/>
          </w:tcPr>
          <w:p>
            <w:r/>
            <w:r>
              <w:rPr>
                <w:b/>
                <w:i w:val="0"/>
              </w:rPr>
              <w:t>Jefe de sala</w:t>
            </w:r>
          </w:p>
        </w:tc>
        <w:tc>
          <w:tcPr>
            <w:tcW w:type="dxa" w:w="1392"/>
          </w:tcPr>
          <w:p>
            <w:r/>
            <w:r>
              <w:rPr>
                <w:b/>
                <w:i w:val="0"/>
              </w:rPr>
              <w:t>Gerencia</w:t>
            </w:r>
          </w:p>
        </w:tc>
        <w:tc>
          <w:tcPr>
            <w:tcW w:type="dxa" w:w="1392"/>
          </w:tcPr>
          <w:p>
            <w:r/>
            <w:r>
              <w:rPr>
                <w:b/>
                <w:i w:val="0"/>
              </w:rPr>
              <w:t>Propiedad</w:t>
            </w:r>
          </w:p>
        </w:tc>
      </w:tr>
      <w:tr>
        <w:tc>
          <w:tcPr>
            <w:tcW w:type="dxa" w:w="1392"/>
          </w:tcPr>
          <w:p>
            <w:r/>
            <w:r>
              <w:rPr>
                <w:b w:val="0"/>
                <w:i w:val="0"/>
              </w:rPr>
              <w:t>Autorizar un 86: retirar un plato de la carta en mitad del servicio</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I</w:t>
            </w:r>
          </w:p>
        </w:tc>
        <w:tc>
          <w:tcPr>
            <w:tcW w:type="dxa" w:w="1392"/>
          </w:tcPr>
          <w:p>
            <w:r/>
          </w:p>
        </w:tc>
      </w:tr>
      <w:tr>
        <w:tc>
          <w:tcPr>
            <w:tcW w:type="dxa" w:w="1392"/>
          </w:tcPr>
          <w:p>
            <w:r/>
            <w:r>
              <w:rPr>
                <w:b w:val="0"/>
                <w:i w:val="0"/>
              </w:rPr>
              <w:t>Aprobar una ficha técnica nueva antes de subir el plato a la carta</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I</w:t>
            </w:r>
          </w:p>
        </w:tc>
        <w:tc>
          <w:tcPr>
            <w:tcW w:type="dxa" w:w="1392"/>
          </w:tcPr>
          <w:p>
            <w:r/>
          </w:p>
        </w:tc>
      </w:tr>
      <w:tr>
        <w:tc>
          <w:tcPr>
            <w:tcW w:type="dxa" w:w="1392"/>
          </w:tcPr>
          <w:p>
            <w:r/>
            <w:r>
              <w:rPr>
                <w:b w:val="0"/>
                <w:i w:val="0"/>
              </w:rPr>
              <w:t>Fijar el PVP de un plato nuevo</w:t>
            </w:r>
          </w:p>
        </w:tc>
        <w:tc>
          <w:tcPr>
            <w:tcW w:type="dxa" w:w="1392"/>
          </w:tcPr>
          <w:p>
            <w:r/>
            <w:r>
              <w:rPr>
                <w:b w:val="0"/>
                <w:i w:val="0"/>
              </w:rPr>
              <w:t>C</w:t>
            </w:r>
          </w:p>
        </w:tc>
        <w:tc>
          <w:tcPr>
            <w:tcW w:type="dxa" w:w="1392"/>
          </w:tcPr>
          <w:p>
            <w:r/>
          </w:p>
        </w:tc>
        <w:tc>
          <w:tcPr>
            <w:tcW w:type="dxa" w:w="1392"/>
          </w:tcPr>
          <w:p>
            <w:r/>
          </w:p>
        </w:tc>
        <w:tc>
          <w:tcPr>
            <w:tcW w:type="dxa" w:w="1392"/>
          </w:tcPr>
          <w:p>
            <w:r/>
            <w:r>
              <w:rPr>
                <w:b w:val="0"/>
                <w:i w:val="0"/>
              </w:rPr>
              <w:t>I</w:t>
            </w:r>
          </w:p>
        </w:tc>
        <w:tc>
          <w:tcPr>
            <w:tcW w:type="dxa" w:w="1392"/>
          </w:tcPr>
          <w:p>
            <w:r/>
            <w:r>
              <w:rPr>
                <w:b w:val="0"/>
                <w:i w:val="0"/>
              </w:rPr>
              <w:t>R</w:t>
            </w:r>
          </w:p>
        </w:tc>
        <w:tc>
          <w:tcPr>
            <w:tcW w:type="dxa" w:w="1392"/>
          </w:tcPr>
          <w:p>
            <w:r/>
            <w:r>
              <w:rPr>
                <w:b w:val="0"/>
                <w:i w:val="0"/>
              </w:rPr>
              <w:t>A</w:t>
            </w:r>
          </w:p>
        </w:tc>
      </w:tr>
      <w:tr>
        <w:tc>
          <w:tcPr>
            <w:tcW w:type="dxa" w:w="1392"/>
          </w:tcPr>
          <w:p>
            <w:r/>
            <w:r>
              <w:rPr>
                <w:b w:val="0"/>
                <w:i w:val="0"/>
              </w:rPr>
              <w:t>Aceptar un encargo de grupo de más de 40 comensales</w:t>
            </w:r>
          </w:p>
        </w:tc>
        <w:tc>
          <w:tcPr>
            <w:tcW w:type="dxa" w:w="1392"/>
          </w:tcPr>
          <w:p>
            <w:r/>
            <w:r>
              <w:rPr>
                <w:b w:val="0"/>
                <w:i w:val="0"/>
              </w:rPr>
              <w:t>C</w:t>
            </w:r>
          </w:p>
        </w:tc>
        <w:tc>
          <w:tcPr>
            <w:tcW w:type="dxa" w:w="1392"/>
          </w:tcPr>
          <w:p>
            <w:r/>
            <w:r>
              <w:rPr>
                <w:b w:val="0"/>
                <w:i w:val="0"/>
              </w:rPr>
              <w:t>I</w:t>
            </w:r>
          </w:p>
        </w:tc>
        <w:tc>
          <w:tcPr>
            <w:tcW w:type="dxa" w:w="1392"/>
          </w:tcPr>
          <w:p>
            <w:r/>
          </w:p>
        </w:tc>
        <w:tc>
          <w:tcPr>
            <w:tcW w:type="dxa" w:w="1392"/>
          </w:tcPr>
          <w:p>
            <w:r/>
            <w:r>
              <w:rPr>
                <w:b w:val="0"/>
                <w:i w:val="0"/>
              </w:rPr>
              <w:t>R</w:t>
            </w:r>
          </w:p>
        </w:tc>
        <w:tc>
          <w:tcPr>
            <w:tcW w:type="dxa" w:w="1392"/>
          </w:tcPr>
          <w:p>
            <w:r/>
            <w:r>
              <w:rPr>
                <w:b w:val="0"/>
                <w:i w:val="0"/>
              </w:rPr>
              <w:t>A</w:t>
            </w:r>
          </w:p>
        </w:tc>
        <w:tc>
          <w:tcPr>
            <w:tcW w:type="dxa" w:w="1392"/>
          </w:tcPr>
          <w:p>
            <w:r/>
            <w:r>
              <w:rPr>
                <w:b w:val="0"/>
                <w:i w:val="0"/>
              </w:rPr>
              <w:t>I</w:t>
            </w:r>
          </w:p>
        </w:tc>
      </w:tr>
      <w:tr>
        <w:tc>
          <w:tcPr>
            <w:tcW w:type="dxa" w:w="1392"/>
          </w:tcPr>
          <w:p>
            <w:r/>
            <w:r>
              <w:rPr>
                <w:b w:val="0"/>
                <w:i w:val="0"/>
              </w:rPr>
              <w:t>Gestionar una incidencia de alérgeno detectada en el pase</w:t>
            </w:r>
          </w:p>
        </w:tc>
        <w:tc>
          <w:tcPr>
            <w:tcW w:type="dxa" w:w="1392"/>
          </w:tcPr>
          <w:p>
            <w:r/>
            <w:r>
              <w:rPr>
                <w:b w:val="0"/>
                <w:i w:val="0"/>
              </w:rPr>
              <w:t>A</w:t>
            </w:r>
          </w:p>
        </w:tc>
        <w:tc>
          <w:tcPr>
            <w:tcW w:type="dxa" w:w="1392"/>
          </w:tcPr>
          <w:p>
            <w:r/>
            <w:r>
              <w:rPr>
                <w:b w:val="0"/>
                <w:i w:val="0"/>
              </w:rPr>
              <w:t>R</w:t>
            </w:r>
          </w:p>
        </w:tc>
        <w:tc>
          <w:tcPr>
            <w:tcW w:type="dxa" w:w="1392"/>
          </w:tcPr>
          <w:p>
            <w:r/>
            <w:r>
              <w:rPr>
                <w:b w:val="0"/>
                <w:i w:val="0"/>
              </w:rPr>
              <w:t>R</w:t>
            </w:r>
          </w:p>
        </w:tc>
        <w:tc>
          <w:tcPr>
            <w:tcW w:type="dxa" w:w="1392"/>
          </w:tcPr>
          <w:p>
            <w:r/>
            <w:r>
              <w:rPr>
                <w:b w:val="0"/>
                <w:i w:val="0"/>
              </w:rPr>
              <w:t>R</w:t>
            </w:r>
          </w:p>
        </w:tc>
        <w:tc>
          <w:tcPr>
            <w:tcW w:type="dxa" w:w="1392"/>
          </w:tcPr>
          <w:p>
            <w:r/>
            <w:r>
              <w:rPr>
                <w:b w:val="0"/>
                <w:i w:val="0"/>
              </w:rPr>
              <w:t>I</w:t>
            </w:r>
          </w:p>
        </w:tc>
        <w:tc>
          <w:tcPr>
            <w:tcW w:type="dxa" w:w="1392"/>
          </w:tcPr>
          <w:p>
            <w:r/>
          </w:p>
        </w:tc>
      </w:tr>
      <w:tr>
        <w:tc>
          <w:tcPr>
            <w:tcW w:type="dxa" w:w="1392"/>
          </w:tcPr>
          <w:p>
            <w:r/>
            <w:r>
              <w:rPr>
                <w:b w:val="0"/>
                <w:i w:val="0"/>
              </w:rPr>
              <w:t>Comprar fuera de escandallo un producto de temporada sin precio cerrado</w:t>
            </w:r>
          </w:p>
        </w:tc>
        <w:tc>
          <w:tcPr>
            <w:tcW w:type="dxa" w:w="1392"/>
          </w:tcPr>
          <w:p>
            <w:r/>
            <w:r>
              <w:rPr>
                <w:b w:val="0"/>
                <w:i w:val="0"/>
              </w:rPr>
              <w:t>R</w:t>
            </w:r>
          </w:p>
        </w:tc>
        <w:tc>
          <w:tcPr>
            <w:tcW w:type="dxa" w:w="1392"/>
          </w:tcPr>
          <w:p>
            <w:r/>
            <w:r>
              <w:rPr>
                <w:b w:val="0"/>
                <w:i w:val="0"/>
              </w:rPr>
              <w:t>I</w:t>
            </w:r>
          </w:p>
        </w:tc>
        <w:tc>
          <w:tcPr>
            <w:tcW w:type="dxa" w:w="1392"/>
          </w:tcPr>
          <w:p>
            <w:r/>
            <w:r>
              <w:rPr>
                <w:b w:val="0"/>
                <w:i w:val="0"/>
              </w:rPr>
              <w:t>C</w:t>
            </w:r>
          </w:p>
        </w:tc>
        <w:tc>
          <w:tcPr>
            <w:tcW w:type="dxa" w:w="1392"/>
          </w:tcPr>
          <w:p>
            <w:r/>
          </w:p>
        </w:tc>
        <w:tc>
          <w:tcPr>
            <w:tcW w:type="dxa" w:w="1392"/>
          </w:tcPr>
          <w:p>
            <w:r/>
            <w:r>
              <w:rPr>
                <w:b w:val="0"/>
                <w:i w:val="0"/>
              </w:rPr>
              <w:t>A</w:t>
            </w:r>
          </w:p>
        </w:tc>
        <w:tc>
          <w:tcPr>
            <w:tcW w:type="dxa" w:w="1392"/>
          </w:tcPr>
          <w:p>
            <w:r/>
            <w:r>
              <w:rPr>
                <w:b w:val="0"/>
                <w:i w:val="0"/>
              </w:rPr>
              <w:t>I</w:t>
            </w:r>
          </w:p>
        </w:tc>
      </w:tr>
      <w:tr>
        <w:tc>
          <w:tcPr>
            <w:tcW w:type="dxa" w:w="1392"/>
          </w:tcPr>
          <w:p>
            <w:r/>
            <w:r>
              <w:rPr>
                <w:b w:val="0"/>
                <w:i w:val="0"/>
              </w:rPr>
              <w:t>Cambiar de proveedor en una familia de producto</w:t>
            </w:r>
          </w:p>
        </w:tc>
        <w:tc>
          <w:tcPr>
            <w:tcW w:type="dxa" w:w="1392"/>
          </w:tcPr>
          <w:p>
            <w:r/>
            <w:r>
              <w:rPr>
                <w:b w:val="0"/>
                <w:i w:val="0"/>
              </w:rPr>
              <w:t>R</w:t>
            </w:r>
          </w:p>
        </w:tc>
        <w:tc>
          <w:tcPr>
            <w:tcW w:type="dxa" w:w="1392"/>
          </w:tcPr>
          <w:p>
            <w:r/>
            <w:r>
              <w:rPr>
                <w:b w:val="0"/>
                <w:i w:val="0"/>
              </w:rPr>
              <w:t>C</w:t>
            </w:r>
          </w:p>
        </w:tc>
        <w:tc>
          <w:tcPr>
            <w:tcW w:type="dxa" w:w="1392"/>
          </w:tcPr>
          <w:p>
            <w:r/>
            <w:r>
              <w:rPr>
                <w:b w:val="0"/>
                <w:i w:val="0"/>
              </w:rPr>
              <w:t>C</w:t>
            </w:r>
          </w:p>
        </w:tc>
        <w:tc>
          <w:tcPr>
            <w:tcW w:type="dxa" w:w="1392"/>
          </w:tcPr>
          <w:p>
            <w:r/>
          </w:p>
        </w:tc>
        <w:tc>
          <w:tcPr>
            <w:tcW w:type="dxa" w:w="1392"/>
          </w:tcPr>
          <w:p>
            <w:r/>
            <w:r>
              <w:rPr>
                <w:b w:val="0"/>
                <w:i w:val="0"/>
              </w:rPr>
              <w:t>A</w:t>
            </w:r>
          </w:p>
        </w:tc>
        <w:tc>
          <w:tcPr>
            <w:tcW w:type="dxa" w:w="1392"/>
          </w:tcPr>
          <w:p>
            <w:r/>
            <w:r>
              <w:rPr>
                <w:b w:val="0"/>
                <w:i w:val="0"/>
              </w:rPr>
              <w:t>I</w:t>
            </w:r>
          </w:p>
        </w:tc>
      </w:tr>
      <w:tr>
        <w:tc>
          <w:tcPr>
            <w:tcW w:type="dxa" w:w="1392"/>
          </w:tcPr>
          <w:p>
            <w:r/>
            <w:r>
              <w:rPr>
                <w:b w:val="0"/>
                <w:i w:val="0"/>
              </w:rPr>
              <w:t>Retirar de la carta un plato con margen bajo pero muy vendido</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C</w:t>
            </w:r>
          </w:p>
        </w:tc>
        <w:tc>
          <w:tcPr>
            <w:tcW w:type="dxa" w:w="1392"/>
          </w:tcPr>
          <w:p>
            <w:r/>
            <w:r>
              <w:rPr>
                <w:b w:val="0"/>
                <w:i w:val="0"/>
              </w:rPr>
              <w:t>A</w:t>
            </w:r>
          </w:p>
        </w:tc>
        <w:tc>
          <w:tcPr>
            <w:tcW w:type="dxa" w:w="1392"/>
          </w:tcPr>
          <w:p>
            <w:r/>
            <w:r>
              <w:rPr>
                <w:b w:val="0"/>
                <w:i w:val="0"/>
              </w:rPr>
              <w:t>I</w:t>
            </w:r>
          </w:p>
        </w:tc>
      </w:tr>
      <w:tr>
        <w:tc>
          <w:tcPr>
            <w:tcW w:type="dxa" w:w="1392"/>
          </w:tcPr>
          <w:p>
            <w:r/>
            <w:r>
              <w:rPr>
                <w:b w:val="0"/>
                <w:i w:val="0"/>
              </w:rPr>
              <w:t>Parar el pase por una avería de frío</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I</w:t>
            </w:r>
          </w:p>
        </w:tc>
        <w:tc>
          <w:tcPr>
            <w:tcW w:type="dxa" w:w="1392"/>
          </w:tcPr>
          <w:p>
            <w:r/>
          </w:p>
        </w:tc>
      </w:tr>
      <w:tr>
        <w:tc>
          <w:tcPr>
            <w:tcW w:type="dxa" w:w="1392"/>
          </w:tcPr>
          <w:p>
            <w:r/>
            <w:r>
              <w:rPr>
                <w:b w:val="0"/>
                <w:i w:val="0"/>
              </w:rPr>
              <w:t>Autorizar horas extraordinarias en cocina un fin de semana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p>
        </w:tc>
        <w:tc>
          <w:tcPr>
            <w:tcW w:type="dxa" w:w="1392"/>
          </w:tcPr>
          <w:p>
            <w:r/>
            <w:r>
              <w:rPr>
                <w:b w:val="0"/>
                <w:i w:val="0"/>
              </w:rPr>
              <w:t>A</w:t>
            </w:r>
          </w:p>
        </w:tc>
        <w:tc>
          <w:tcPr>
            <w:tcW w:type="dxa" w:w="1392"/>
          </w:tcPr>
          <w:p>
            <w:r/>
            <w:r>
              <w:rPr>
                <w:b w:val="0"/>
                <w:i w:val="0"/>
              </w:rPr>
              <w:t>I</w:t>
            </w:r>
          </w:p>
        </w:tc>
      </w:tr>
      <w:tr>
        <w:tc>
          <w:tcPr>
            <w:tcW w:type="dxa" w:w="1392"/>
          </w:tcPr>
          <w:p>
            <w:r/>
            <w:r>
              <w:rPr>
                <w:b w:val="0"/>
                <w:i w:val="0"/>
              </w:rPr>
              <w:t>Contratar a un cocinero o cocinera</w:t>
            </w:r>
          </w:p>
        </w:tc>
        <w:tc>
          <w:tcPr>
            <w:tcW w:type="dxa" w:w="1392"/>
          </w:tcPr>
          <w:p>
            <w:r/>
            <w:r>
              <w:rPr>
                <w:b w:val="0"/>
                <w:i w:val="0"/>
              </w:rPr>
              <w:t>R</w:t>
            </w:r>
          </w:p>
        </w:tc>
        <w:tc>
          <w:tcPr>
            <w:tcW w:type="dxa" w:w="1392"/>
          </w:tcPr>
          <w:p>
            <w:r/>
            <w:r>
              <w:rPr>
                <w:b w:val="0"/>
                <w:i w:val="0"/>
              </w:rPr>
              <w:t>C</w:t>
            </w:r>
          </w:p>
        </w:tc>
        <w:tc>
          <w:tcPr>
            <w:tcW w:type="dxa" w:w="1392"/>
          </w:tcPr>
          <w:p>
            <w:r/>
            <w:r>
              <w:rPr>
                <w:b w:val="0"/>
                <w:i w:val="0"/>
              </w:rPr>
              <w:t>C</w:t>
            </w:r>
          </w:p>
        </w:tc>
        <w:tc>
          <w:tcPr>
            <w:tcW w:type="dxa" w:w="1392"/>
          </w:tcPr>
          <w:p>
            <w:r/>
          </w:p>
        </w:tc>
        <w:tc>
          <w:tcPr>
            <w:tcW w:type="dxa" w:w="1392"/>
          </w:tcPr>
          <w:p>
            <w:r/>
            <w:r>
              <w:rPr>
                <w:b w:val="0"/>
                <w:i w:val="0"/>
              </w:rPr>
              <w:t>A</w:t>
            </w:r>
          </w:p>
        </w:tc>
        <w:tc>
          <w:tcPr>
            <w:tcW w:type="dxa" w:w="1392"/>
          </w:tcPr>
          <w:p>
            <w:r/>
            <w:r>
              <w:rPr>
                <w:b w:val="0"/>
                <w:i w:val="0"/>
              </w:rPr>
              <w:t>I</w:t>
            </w:r>
          </w:p>
        </w:tc>
      </w:tr>
      <w:tr>
        <w:tc>
          <w:tcPr>
            <w:tcW w:type="dxa" w:w="1392"/>
          </w:tcPr>
          <w:p>
            <w:r/>
            <w:r>
              <w:rPr>
                <w:b w:val="0"/>
                <w:i w:val="0"/>
              </w:rPr>
              <w:t>Aprobar el menú de un banquete y su producción</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C</w:t>
            </w:r>
          </w:p>
        </w:tc>
        <w:tc>
          <w:tcPr>
            <w:tcW w:type="dxa" w:w="1392"/>
          </w:tcPr>
          <w:p>
            <w:r/>
            <w:r>
              <w:rPr>
                <w:b w:val="0"/>
                <w:i w:val="0"/>
              </w:rPr>
              <w:t>C</w:t>
            </w:r>
          </w:p>
        </w:tc>
        <w:tc>
          <w:tcPr>
            <w:tcW w:type="dxa" w:w="1392"/>
          </w:tcPr>
          <w:p>
            <w:r/>
            <w:r>
              <w:rPr>
                <w:b w:val="0"/>
                <w:i w:val="0"/>
              </w:rPr>
              <w:t>I</w:t>
            </w:r>
          </w:p>
        </w:tc>
      </w:tr>
      <w:tr>
        <w:tc>
          <w:tcPr>
            <w:tcW w:type="dxa" w:w="1392"/>
          </w:tcPr>
          <w:p>
            <w:r/>
            <w:r>
              <w:rPr>
                <w:b w:val="0"/>
                <w:i w:val="0"/>
              </w:rPr>
              <w:t>Responder a una reseña que critica un plato</w:t>
            </w:r>
          </w:p>
        </w:tc>
        <w:tc>
          <w:tcPr>
            <w:tcW w:type="dxa" w:w="1392"/>
          </w:tcPr>
          <w:p>
            <w:r/>
            <w:r>
              <w:rPr>
                <w:b w:val="0"/>
                <w:i w:val="0"/>
              </w:rPr>
              <w:t>C</w:t>
            </w:r>
          </w:p>
        </w:tc>
        <w:tc>
          <w:tcPr>
            <w:tcW w:type="dxa" w:w="1392"/>
          </w:tcPr>
          <w:p>
            <w:r/>
          </w:p>
        </w:tc>
        <w:tc>
          <w:tcPr>
            <w:tcW w:type="dxa" w:w="1392"/>
          </w:tcPr>
          <w:p>
            <w:r/>
          </w:p>
        </w:tc>
        <w:tc>
          <w:tcPr>
            <w:tcW w:type="dxa" w:w="1392"/>
          </w:tcPr>
          <w:p>
            <w:r/>
            <w:r>
              <w:rPr>
                <w:b w:val="0"/>
                <w:i w:val="0"/>
              </w:rPr>
              <w:t>R</w:t>
            </w:r>
          </w:p>
        </w:tc>
        <w:tc>
          <w:tcPr>
            <w:tcW w:type="dxa" w:w="1392"/>
          </w:tcPr>
          <w:p>
            <w:r/>
            <w:r>
              <w:rPr>
                <w:b w:val="0"/>
                <w:i w:val="0"/>
              </w:rPr>
              <w:t>A</w:t>
            </w:r>
          </w:p>
        </w:tc>
        <w:tc>
          <w:tcPr>
            <w:tcW w:type="dxa" w:w="1392"/>
          </w:tcPr>
          <w:p>
            <w:r/>
            <w:r>
              <w:rPr>
                <w:b w:val="0"/>
                <w:i w:val="0"/>
              </w:rPr>
              <w:t>I</w:t>
            </w:r>
          </w:p>
        </w:tc>
      </w:tr>
      <w:tr>
        <w:tc>
          <w:tcPr>
            <w:tcW w:type="dxa" w:w="1392"/>
          </w:tcPr>
          <w:p>
            <w:r/>
            <w:r>
              <w:rPr>
                <w:b w:val="0"/>
                <w:i w:val="0"/>
              </w:rPr>
              <w:t>Decidir el destino del excedente de un servicio (donación o doggy bag)</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C</w:t>
            </w:r>
          </w:p>
        </w:tc>
        <w:tc>
          <w:tcPr>
            <w:tcW w:type="dxa" w:w="1392"/>
          </w:tcPr>
          <w:p>
            <w:r/>
            <w:r>
              <w:rPr>
                <w:b w:val="0"/>
                <w:i w:val="0"/>
              </w:rPr>
              <w:t>I</w:t>
            </w:r>
          </w:p>
        </w:tc>
      </w:tr>
      <w:tr>
        <w:tc>
          <w:tcPr>
            <w:tcW w:type="dxa" w:w="1392"/>
          </w:tcPr>
          <w:p>
            <w:r/>
            <w:r>
              <w:rPr>
                <w:b w:val="0"/>
                <w:i w:val="0"/>
              </w:rPr>
              <w:t>Modificar el gramaje de un plato que ya está en carta</w:t>
            </w:r>
          </w:p>
        </w:tc>
        <w:tc>
          <w:tcPr>
            <w:tcW w:type="dxa" w:w="1392"/>
          </w:tcPr>
          <w:p>
            <w:r/>
            <w:r>
              <w:rPr>
                <w:b w:val="0"/>
                <w:i w:val="0"/>
              </w:rPr>
              <w:t>A</w:t>
            </w:r>
          </w:p>
        </w:tc>
        <w:tc>
          <w:tcPr>
            <w:tcW w:type="dxa" w:w="1392"/>
          </w:tcPr>
          <w:p>
            <w:r/>
            <w:r>
              <w:rPr>
                <w:b w:val="0"/>
                <w:i w:val="0"/>
              </w:rPr>
              <w:t>R</w:t>
            </w:r>
          </w:p>
        </w:tc>
        <w:tc>
          <w:tcPr>
            <w:tcW w:type="dxa" w:w="1392"/>
          </w:tcPr>
          <w:p>
            <w:r/>
            <w:r>
              <w:rPr>
                <w:b w:val="0"/>
                <w:i w:val="0"/>
              </w:rPr>
              <w:t>C</w:t>
            </w:r>
          </w:p>
        </w:tc>
        <w:tc>
          <w:tcPr>
            <w:tcW w:type="dxa" w:w="1392"/>
          </w:tcPr>
          <w:p>
            <w:r/>
            <w:r>
              <w:rPr>
                <w:b w:val="0"/>
                <w:i w:val="0"/>
              </w:rPr>
              <w:t>I</w:t>
            </w:r>
          </w:p>
        </w:tc>
        <w:tc>
          <w:tcPr>
            <w:tcW w:type="dxa" w:w="1392"/>
          </w:tcPr>
          <w:p>
            <w:r/>
            <w:r>
              <w:rPr>
                <w:b w:val="0"/>
                <w:i w:val="0"/>
              </w:rPr>
              <w:t>C</w:t>
            </w:r>
          </w:p>
        </w:tc>
        <w:tc>
          <w:tcPr>
            <w:tcW w:type="dxa" w:w="1392"/>
          </w:tcPr>
          <w:p>
            <w:r/>
          </w:p>
        </w:tc>
      </w:tr>
    </w:tbl>
    <w:p/>
    <w:p>
      <w:pPr>
        <w:jc w:val="center"/>
      </w:pPr>
      <w:r>
        <w:rPr>
          <w:i/>
          <w:color w:val="444444"/>
        </w:rPr>
        <w:t>Antes de discutir el fondo, se mira la fila: la mitad de estas conversaciones se resuelven cuando las dos partes ven de quién es la decisión y a quién había que consultar antes.</w:t>
      </w:r>
    </w:p>
    <w:p>
      <w:r>
        <w:br w:type="page"/>
      </w:r>
    </w:p>
    <w:p>
      <w:pPr>
        <w:pStyle w:val="Heading1"/>
      </w:pPr>
      <w:r>
        <w:t>12. Un Cocinero Asciende a Jefe de Cocina: los Primeros Treinta Días</w:t>
      </w:r>
    </w:p>
    <w:p>
      <w:pPr>
        <w:pStyle w:val="Heading2"/>
      </w:pPr>
      <w:r>
        <w:t>La situación</w:t>
      </w:r>
    </w:p>
    <w:p>
      <w:r>
        <w:rPr>
          <w:b w:val="0"/>
          <w:i w:val="0"/>
        </w:rPr>
        <w:t>Son las once y cuarto de una mañana entre servicios en La Encina: Diego M. (P04), cocinero de la partida de pase y caliente y el de más recorrido de la brigada, asciende a jefe de cocina tras la salida de Iván R., en la misma brigada con la que ha compartido turno. La ficha de puestos se actualiza esa tarde: la brigada la forman seis personas, las seis ya encuadradas en su puesto del convenio; una sola ocupa la casilla de jefe o jefa de cocina, y la partida de pase y caliente se queda con una persona menos hasta que se cubra la baja. De las ocho personas evaluadas en la rúbrica de competencias, la media ponderada es de 3,53, y esa cifra es lo primero que hereda quien sube. Antes de cerrar la cocina esa noche, la nueva jefatura ya sabe cuántas manos tiene y cuánto pesa, en la rúbrica, la brigada a su cargo.</w:t>
      </w:r>
    </w:p>
    <w:p>
      <w:pPr>
        <w:pStyle w:val="Heading2"/>
      </w:pPr>
      <w:r>
        <w:t>Qué no hacer</w:t>
      </w:r>
    </w:p>
    <w:p>
      <w:pPr>
        <w:pStyle w:val="ListBullet"/>
      </w:pPr>
      <w:r>
        <w:rPr>
          <w:b w:val="0"/>
          <w:i w:val="0"/>
        </w:rPr>
        <w:t>Cambiar la carta (menú) en la primera semana. Todavía no se ha visto el pase (despacho) completo desde el otro lado de la línea, y hacerlo sin comprobar antes tiempos, compras y mermas es apostar la cocina a una intuición sin datos.</w:t>
      </w:r>
    </w:p>
    <w:p>
      <w:pPr>
        <w:pStyle w:val="ListBullet"/>
      </w:pPr>
      <w:r>
        <w:rPr>
          <w:b w:val="0"/>
          <w:i w:val="0"/>
        </w:rPr>
        <w:t>Imponer un sistema nuevo -comanda distinta, reparto de partidas, método de mise en place- antes de vivir un servicio entero con la responsabilidad encima. Cambiar antes de mirar es cambiar a ciegas.</w:t>
      </w:r>
    </w:p>
    <w:p>
      <w:pPr>
        <w:pStyle w:val="ListBullet"/>
      </w:pPr>
      <w:r>
        <w:rPr>
          <w:b w:val="0"/>
          <w:i w:val="0"/>
        </w:rPr>
        <w:t>Intentar seguir siendo el compañero de todos: el trato cercano no desaparece, pero la posición sí ha cambiado, y disimularlo sólo aplaza una conversación que hay que tener cuanto antes.</w:t>
      </w:r>
    </w:p>
    <w:p>
      <w:pPr>
        <w:pStyle w:val="ListBullet"/>
      </w:pPr>
      <w:r>
        <w:rPr>
          <w:b w:val="0"/>
          <w:i w:val="0"/>
        </w:rPr>
        <w:t>Hablar mal de cómo se hacían las cosas antes. Cualquier crítica al jefe o jefa anterior, dicha o insinuada, se lee como un aviso de lo que se dirá de cada uno en cuanto se dé la vuelta.</w:t>
      </w:r>
    </w:p>
    <w:p>
      <w:pPr>
        <w:pStyle w:val="Heading2"/>
      </w:pPr>
      <w:r>
        <w:t>Protocolo paso a paso</w:t>
      </w:r>
    </w:p>
    <w:p>
      <w:r>
        <w:rPr>
          <w:b w:val="0"/>
          <w:i w:val="0"/>
        </w:rPr>
        <w:t>Los primeros treinta días se sostienen en cuatro semanas, cada una con una sola tarea que cerrar antes de abrir la siguiente.</w:t>
      </w:r>
    </w:p>
    <w:p>
      <w:pPr>
        <w:pStyle w:val="ListBullet"/>
      </w:pPr>
      <w:r>
        <w:rPr>
          <w:b w:val="0"/>
          <w:i w:val="0"/>
        </w:rPr>
        <w:t>Semana uno: no se cambia nada salvo lo que sea peligroso, y se observa un servicio entero desde el pase sin tocar una sola comanda.</w:t>
      </w:r>
    </w:p>
    <w:p>
      <w:pPr>
        <w:pStyle w:val="ListBullet"/>
      </w:pPr>
      <w:r>
        <w:rPr>
          <w:b w:val="0"/>
          <w:i w:val="0"/>
        </w:rPr>
        <w:t>Semana dos: conversación individual con cada persona, con las mismas dos preguntas: «¿Qué es lo único de este pase que no se puede tocar bajo ningún concepto?» y «¿Qué llevas tiempo señalando y nadie ha corregido?». Las respuestas se anotan, no se comentan en caliente.</w:t>
      </w:r>
    </w:p>
    <w:p>
      <w:pPr>
        <w:pStyle w:val="ListBullet"/>
      </w:pPr>
      <w:r>
        <w:rPr>
          <w:b w:val="0"/>
          <w:i w:val="0"/>
        </w:rPr>
        <w:t>Semana tres: la primera decisión visible, pequeña, útil y anunciada antes de aplicarla.</w:t>
      </w:r>
    </w:p>
    <w:p>
      <w:pPr>
        <w:pStyle w:val="ListBullet"/>
      </w:pPr>
      <w:r>
        <w:rPr>
          <w:b w:val="0"/>
          <w:i w:val="0"/>
        </w:rPr>
        <w:t>Semana cuatro: se pone en marcha una sola medición, la que más falta haga, y se anuncia la fecha en que se va a mirar el resultado.</w:t>
      </w:r>
    </w:p>
    <w:p>
      <w:r>
        <w:rPr>
          <w:b w:val="0"/>
          <w:i w:val="0"/>
        </w:rPr>
        <w:t>La parte más incómoda no está en el calendario: es la autoridad sobre quien ayer era compañero de turno. No se gana con distancia, sino con criterio previsible. Lo que cambia no es el trato, sino que ahora hay una persona que responde del resultado del pase, y eso se dice en voz alta una sola vez, en la primera semana, con la brigada reunida, y no se vuelve a mencionar: se demuestra en cada decisión.</w:t>
      </w:r>
    </w:p>
    <w:p>
      <w:pPr>
        <w:pStyle w:val="Heading2"/>
      </w:pPr>
      <w:r>
        <w:t>La norma que aplica</w:t>
      </w:r>
    </w:p>
    <w:p>
      <w:r>
        <w:rPr>
          <w:b w:val="0"/>
          <w:i w:val="0"/>
        </w:rPr>
        <w:t>Si el ascenso implica encuadrarse en otro puesto del convenio, cambia la clasificación profesional y, con ella, la retribución: es un cambio que tiene que quedar reflejado por escrito. El acuerdo estatal vigente -el ALEH VI, no el ALEH V, comprobado el 6 de septiembre de 2026- tipifica seis áreas funcionales y tres grupos profesionales, y su art. 11.2 exige que el grupo profesional y la ocupación consten en el contrato escrito y en el recibo de salario. Sus arts. 15 y 16 advierten que la relación de puestos por área es meramente enunciativa, y por eso el paso de cocinero a jefe de cocina se formaliza dentro de esa estructura.</w:t>
      </w:r>
    </w:p>
    <w:p>
      <w:r>
        <w:rPr>
          <w:b w:val="0"/>
          <w:i w:val="0"/>
        </w:rPr>
        <w:t>Encargar funciones de categoría superior -dejar a alguien haciendo de jefe o jefa sin formalizar antes el ascenso- tiene también sus reglas de plazo, fijadas por el convenio provincial de cada cocina. No es un matiz administrativo: separa un ascenso bien hecho de un problema laboral que aparece, ya crecido, sin margen para arreglarlo con una firma. Fuente: arts. 11.2, 15 y 16 del ALEH VI (BOE-A-2023-6344), con la modificación de BOE-A-2026-18630.</w:t>
      </w:r>
    </w:p>
    <w:p>
      <w:pPr>
        <w:pStyle w:val="Heading2"/>
      </w:pPr>
      <w:r>
        <w:t>La herramienta y el guion</w:t>
      </w:r>
    </w:p>
    <w:p>
      <w:r>
        <w:rPr>
          <w:b w:val="0"/>
          <w:i w:val="0"/>
        </w:rPr>
        <w:t>Cuatro piezas sostienen estos treinta días. Las fichas de puesto dicen qué funciones asume la nueva jefatura y cuáles quedan en la brigada. La matriz de responsabilidades marca qué decide cada puesto y qué se consulta antes de decidir. El plan de desarrollo individual recoge lo que a cada persona le falta para el siguiente escalón. Y las tres cifras del primer día -merma (desperdicio, cuando es comida servible que se tira) global de la cocina en el año del caso, del 3,7 %; cumplimiento de ficha técnica (receta estándar) en el pase, del 86,7 %; y horas de cocina por cubierto, en 0,25- se anotan para compararlas a los noventa.</w:t>
      </w:r>
    </w:p>
    <w:p>
      <w:r>
        <w:rPr>
          <w:b w:val="0"/>
          <w:i w:val="0"/>
        </w:rPr>
        <w:t>Para la reunión con toda la brigada, el guion es corto y se dice una sola vez. Apertura, literal: «A partir de hoy respondo yo del resultado de este pase, y esta semana no cambia nada salvo lo que sea peligroso.» Cierre, también literal: «La primera decisión la vais a ver venir, no a descubrirla un día cualquiera; hasta entonces, seguimos como hasta ahora.» Lo que sostiene la autoridad, desde ese momento, es lo que se haga después, no lo que se haya dicho esa mañana.</w:t>
      </w:r>
    </w:p>
    <w:p>
      <w:r>
        <w:rPr>
          <w:b/>
          <w:i w:val="0"/>
        </w:rPr>
        <w:t>Los tres niveles de delegación, que es lo primero que cambia al ascender (brigada-puestos-y-evaluacion.xlsx, hoja «Fichas de Puesto»)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Nivel</w:t>
            </w:r>
          </w:p>
        </w:tc>
        <w:tc>
          <w:tcPr>
            <w:tcW w:type="dxa" w:w="3249"/>
          </w:tcPr>
          <w:p>
            <w:r/>
            <w:r>
              <w:rPr>
                <w:b/>
                <w:i w:val="0"/>
              </w:rPr>
              <w:t>Puestos</w:t>
            </w:r>
          </w:p>
        </w:tc>
        <w:tc>
          <w:tcPr>
            <w:tcW w:type="dxa" w:w="3249"/>
          </w:tcPr>
          <w:p>
            <w:r/>
            <w:r>
              <w:rPr>
                <w:b/>
                <w:i w:val="0"/>
              </w:rPr>
              <w:t>Cómo se manda en ese nivel</w:t>
            </w:r>
          </w:p>
        </w:tc>
      </w:tr>
      <w:tr>
        <w:tc>
          <w:tcPr>
            <w:tcW w:type="dxa" w:w="3249"/>
          </w:tcPr>
          <w:p>
            <w:r/>
            <w:r>
              <w:rPr>
                <w:b w:val="0"/>
                <w:i w:val="0"/>
              </w:rPr>
              <w:t>Cualificado, autónomo y responsable</w:t>
            </w:r>
          </w:p>
        </w:tc>
        <w:tc>
          <w:tcPr>
            <w:tcW w:type="dxa" w:w="3249"/>
          </w:tcPr>
          <w:p>
            <w:r/>
            <w:r>
              <w:rPr>
                <w:b w:val="0"/>
                <w:i w:val="0"/>
              </w:rPr>
              <w:t>Jefe/a de cocina, segundo/a, jefe/a de catering, jefe/a de partida, cocinero/a, repostero/a y encargado/a de economato</w:t>
            </w:r>
          </w:p>
        </w:tc>
        <w:tc>
          <w:tcPr>
            <w:tcW w:type="dxa" w:w="3249"/>
          </w:tcPr>
          <w:p>
            <w:r/>
            <w:r>
              <w:rPr>
                <w:b w:val="0"/>
                <w:i w:val="0"/>
              </w:rPr>
              <w:t>Se le encarga el RESULTADO. No se supervisa el cómo</w:t>
            </w:r>
          </w:p>
        </w:tc>
      </w:tr>
      <w:tr>
        <w:tc>
          <w:tcPr>
            <w:tcW w:type="dxa" w:w="3249"/>
          </w:tcPr>
          <w:p>
            <w:r/>
            <w:r>
              <w:rPr>
                <w:b w:val="0"/>
                <w:i w:val="0"/>
              </w:rPr>
              <w:t>Con alguna autonomía, bajo supervisión</w:t>
            </w:r>
          </w:p>
        </w:tc>
        <w:tc>
          <w:tcPr>
            <w:tcW w:type="dxa" w:w="3249"/>
          </w:tcPr>
          <w:p>
            <w:r/>
            <w:r>
              <w:rPr>
                <w:b w:val="0"/>
                <w:i w:val="0"/>
              </w:rPr>
              <w:t>Ayudante/a de cocina y ayudante/a de economato</w:t>
            </w:r>
          </w:p>
        </w:tc>
        <w:tc>
          <w:tcPr>
            <w:tcW w:type="dxa" w:w="3249"/>
          </w:tcPr>
          <w:p>
            <w:r/>
            <w:r>
              <w:rPr>
                <w:b w:val="0"/>
                <w:i w:val="0"/>
              </w:rPr>
              <w:t>Se le encarga la TAREA con el estándar escrito delante, y se comprueba</w:t>
            </w:r>
          </w:p>
        </w:tc>
      </w:tr>
      <w:tr>
        <w:tc>
          <w:tcPr>
            <w:tcW w:type="dxa" w:w="3249"/>
          </w:tcPr>
          <w:p>
            <w:r/>
            <w:r>
              <w:rPr>
                <w:b w:val="0"/>
                <w:i w:val="0"/>
              </w:rPr>
              <w:t>Sin cualificación, bajo supervisión</w:t>
            </w:r>
          </w:p>
        </w:tc>
        <w:tc>
          <w:tcPr>
            <w:tcW w:type="dxa" w:w="3249"/>
          </w:tcPr>
          <w:p>
            <w:r/>
            <w:r>
              <w:rPr>
                <w:b w:val="0"/>
                <w:i w:val="0"/>
              </w:rPr>
              <w:t>Auxiliar de cocina y economato</w:t>
            </w:r>
          </w:p>
        </w:tc>
        <w:tc>
          <w:tcPr>
            <w:tcW w:type="dxa" w:w="3249"/>
          </w:tcPr>
          <w:p>
            <w:r/>
            <w:r>
              <w:rPr>
                <w:b w:val="0"/>
                <w:i w:val="0"/>
              </w:rPr>
              <w:t>Se le enseña la tarea, se hace con el la primera vez y se comprueba siempre</w:t>
            </w:r>
          </w:p>
        </w:tc>
      </w:tr>
    </w:tbl>
    <w:p/>
    <w:p>
      <w:pPr>
        <w:jc w:val="center"/>
      </w:pPr>
      <w:r>
        <w:rPr>
          <w:i/>
          <w:color w:val="444444"/>
        </w:rPr>
        <w:t>Verificado el 06-09-2026 · ALEH VI (BOE-A-2023-6344), arts. 15, 16, 17 y 19, modificado por la Resolución de 25-08-2026 (BOE-A-2026-18630) · https://www.boe.es/buscar/act.php?id=BOE-A-2023-6344 - quien asciende deja de ejecutar y empieza a encargar resultados: la tabla dice a quién se le puede encargar qué.</w:t>
      </w:r>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aichef.pro/manual-chef-ejecutivo · info@aichef.pro</w:t>
      </w:r>
    </w:p>
    <w:p>
      <w:pPr>
        <w:jc w:val="center"/>
      </w:pPr>
      <w:r>
        <w:rPr>
          <w:i/>
          <w:color w:val="444444"/>
        </w:rPr>
        <w:t>Este manual es un documento de trabajo profesional, no un dictamen laboral, sanitario, jurídico ni de prevención de riesgos. El marco normativo que se explica es el ESPAÑOL, y su estado se verificó contra las fuentes oficiales -Boletín Oficial del Estado, EUR-Lex, el Boletín Oficial de la Comunidad de Madrid y el Diari Oficial de la Generalitat de Catalunya- el 6 de septiembre de 2026: cada afirmación legal lleva su norma y su artículo para que puedas comprobarla y para que sepas dónde mirar cuando cambie. Las temperaturas, los umbrales, los plazos, los gramajes y las periodicidades viven en celdas editables de las hojas de cálculo precisamente porque cambian, y porque fuera de España cambian del todo: si cambia el dato, se cambia la celda y todo el libro se recalcula. Las producciones, mermas, tiempos, notas y importes son valores de ejemplo de una cocina modelada que acompaña a este pack y sirven para que los sustituyas por los tuyos: ninguno es una previsión de tus resultados ni un estándar del sector. La calificación de un caso concreto -si una obligación te alcanza, si un excedente es donable, si un equipo necesita un resguardo, qué tabla salarial te aplica- depende de los hechos de ese caso, de tu evaluación de riesgos y del convenio provincial que te corresponda. Antes de cambiar un procedimiento de seguridad alimentaria, de prevención de riesgos o de clasificación profesional, contrasta con tu servicio de prevención, con tu asesoría laboral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Situaciones Resueltas en Cocina</dc:title>
  <dc:subject>Bonus del pack Manual del Chef Ejecutivo · Versión 1.0 · septiembre 2026</dc:subject>
  <dc:creator>AI Chef Pro</dc:creator>
  <cp:keywords/>
  <dc:description>AI Chef Pro · aichef.pro</dc:description>
  <cp:lastModifiedBy>AI Chef Pro</cp:lastModifiedBy>
  <cp:revision>1</cp:revision>
  <dcterms:created xsi:type="dcterms:W3CDTF">2026-09-06T21:49:54Z</dcterms:created>
  <dcterms:modified xsi:type="dcterms:W3CDTF">2026-09-06T21:49:54Z</dcterms:modified>
  <cp:category>Manual profesional</cp:category>
</cp:coreProperties>
</file>