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Decisiones de Apertura Resueltas</w:t>
      </w:r>
    </w:p>
    <w:p>
      <w:r>
        <w:rPr>
          <w:b/>
          <w:i w:val="0"/>
        </w:rPr>
        <w:t>Bonus del pack «Cómo Montar una Chocolatería Boutique &amp; Atelier» · con los datos de las nueve herramientas Excel</w:t>
      </w:r>
    </w:p>
    <w:p>
      <w:pPr>
        <w:jc w:val="center"/>
      </w:pPr>
      <w:r>
        <w:rPr>
          <w:i/>
          <w:color w:val="444444"/>
        </w:rPr>
        <w:t>John Guerrero · AI Chef Pro · aichef.pro</w:t>
      </w:r>
    </w:p>
    <w:p>
      <w:r>
        <w:rPr>
          <w:b w:val="0"/>
          <w:i w:val="0"/>
        </w:rPr>
        <w:t>Doce decisiones que hay que tomar antes de abrir una chocolatería y que casi nunca se resuelven con un número: comprar la atemperadora continua o empezar con la de sobremesa, abrir con quince referencias o con veintiocho, vender la caja o la unidad, aceptar el primer pedido corporativo sin histórico, parar el obrador en agosto, empezar en casa dentro de la legalidad. Cada una con su contexto, sus opciones, el criterio con el que se decide, la celda del pack que la resuelve y la norma que aplica cuando la hay. No hay ninguna cifra inventada: cada número sale de una celda que puedes abrir y comprobar.</w:t>
      </w:r>
    </w:p>
    <w:p>
      <w:r>
        <w:rPr>
          <w:b/>
          <w:i w:val="0"/>
        </w:rPr>
        <w:t>Versión 1.0 · septiembre de 2026 · aichef.pro/guia-chocolateria-obrador</w:t>
      </w:r>
    </w:p>
    <w:p>
      <w:r>
        <w:br w:type="page"/>
      </w:r>
    </w:p>
    <w:p>
      <w:pPr>
        <w:pStyle w:val="Heading1"/>
      </w:pPr>
      <w:r>
        <w:t>Índice</w:t>
      </w:r>
    </w:p>
    <w:p>
      <w:pPr>
        <w:pStyle w:val="ListNumber"/>
      </w:pPr>
      <w:r>
        <w:rPr>
          <w:b/>
          <w:i w:val="0"/>
        </w:rPr>
        <w:t>Bombonería o Bean-to-bar</w:t>
      </w:r>
      <w:r>
        <w:rPr>
          <w:b w:val="0"/>
          <w:i w:val="0"/>
        </w:rPr>
        <w:t xml:space="preserve"> - comprar cobertura o partir del grano, y qué papel te da cada camino en la cadena del cacao.</w:t>
      </w:r>
    </w:p>
    <w:p>
      <w:pPr>
        <w:pStyle w:val="ListNumber"/>
      </w:pPr>
      <w:r>
        <w:rPr>
          <w:b/>
          <w:i w:val="0"/>
        </w:rPr>
        <w:t>Comprar la Continua o Empezar con la de Sobremesa</w:t>
      </w:r>
      <w:r>
        <w:rPr>
          <w:b w:val="0"/>
          <w:i w:val="0"/>
        </w:rPr>
        <w:t xml:space="preserve"> - la decisión de máquina de templado, resuelta por kilos a la semana y por cuello de botella, no por catálogo.</w:t>
      </w:r>
    </w:p>
    <w:p>
      <w:pPr>
        <w:pStyle w:val="ListNumber"/>
      </w:pPr>
      <w:r>
        <w:rPr>
          <w:b/>
          <w:i w:val="0"/>
        </w:rPr>
        <w:t>Abrir con Quince Referencias o con Veintiocho</w:t>
      </w:r>
      <w:r>
        <w:rPr>
          <w:b w:val="0"/>
          <w:i w:val="0"/>
        </w:rPr>
        <w:t xml:space="preserve"> - cuántas referencias aguanta de verdad un obrador que acaba de abrir, y qué cuesta cada una de más.</w:t>
      </w:r>
    </w:p>
    <w:p>
      <w:pPr>
        <w:pStyle w:val="ListNumber"/>
      </w:pPr>
      <w:r>
        <w:rPr>
          <w:b/>
          <w:i w:val="0"/>
        </w:rPr>
        <w:t>Vender la Caja o la Unidad</w:t>
      </w:r>
      <w:r>
        <w:rPr>
          <w:b w:val="0"/>
          <w:i w:val="0"/>
        </w:rPr>
        <w:t xml:space="preserve"> - la caja es la unidad de venta real de una bombonería, y casi nadie la escandalla como una referencia propia.</w:t>
      </w:r>
    </w:p>
    <w:p>
      <w:pPr>
        <w:pStyle w:val="ListNumber"/>
      </w:pPr>
      <w:r>
        <w:rPr>
          <w:b/>
          <w:i w:val="0"/>
        </w:rPr>
        <w:t>Cobertura de Marca o Cobertura de Origen</w:t>
      </w:r>
      <w:r>
        <w:rPr>
          <w:b w:val="0"/>
          <w:i w:val="0"/>
        </w:rPr>
        <w:t xml:space="preserve"> - la decisión de posicionamiento más cara del negocio, resuelta con el coste por pieza y con la referencia que primero se rompe.</w:t>
      </w:r>
    </w:p>
    <w:p>
      <w:pPr>
        <w:pStyle w:val="ListNumber"/>
      </w:pPr>
      <w:r>
        <w:rPr>
          <w:b/>
          <w:i w:val="0"/>
        </w:rPr>
        <w:t>Vitrina Refrigerada o Vitrina Climatizada</w:t>
      </w:r>
      <w:r>
        <w:rPr>
          <w:b w:val="0"/>
          <w:i w:val="0"/>
        </w:rPr>
        <w:t xml:space="preserve"> - qué mueble aguanta el chocolate, qué referencias pueden ir en él y cuáles tienen que ir a nevera.</w:t>
      </w:r>
    </w:p>
    <w:p>
      <w:pPr>
        <w:pStyle w:val="ListNumber"/>
      </w:pPr>
      <w:r>
        <w:rPr>
          <w:b/>
          <w:i w:val="0"/>
        </w:rPr>
        <w:t>Aceptar el Primer Pedido Corporativo sin Histórico</w:t>
      </w:r>
      <w:r>
        <w:rPr>
          <w:b w:val="0"/>
          <w:i w:val="0"/>
        </w:rPr>
        <w:t xml:space="preserve"> - el pedido que llena diciembre, y el que puede cambiarte de régimen sanitario sin que te des cuenta.</w:t>
      </w:r>
    </w:p>
    <w:p>
      <w:pPr>
        <w:pStyle w:val="ListNumber"/>
      </w:pPr>
      <w:r>
        <w:rPr>
          <w:b/>
          <w:i w:val="0"/>
        </w:rPr>
        <w:t>Envío a Domicilio en Verano: Cuándo Dices que No</w:t>
      </w:r>
      <w:r>
        <w:rPr>
          <w:b w:val="0"/>
          <w:i w:val="0"/>
        </w:rPr>
        <w:t xml:space="preserve"> - el canal que parece gratis y responde de la temperatura en el camión.</w:t>
      </w:r>
    </w:p>
    <w:p>
      <w:pPr>
        <w:pStyle w:val="ListNumber"/>
      </w:pPr>
      <w:r>
        <w:rPr>
          <w:b/>
          <w:i w:val="0"/>
        </w:rPr>
        <w:t>Parar el Obrador en Agosto o No Pararlo</w:t>
      </w:r>
      <w:r>
        <w:rPr>
          <w:b w:val="0"/>
          <w:i w:val="0"/>
        </w:rPr>
        <w:t xml:space="preserve"> - un mes de doce, con los fijos corriendo y la tienda abierta.</w:t>
      </w:r>
    </w:p>
    <w:p>
      <w:pPr>
        <w:pStyle w:val="ListNumber"/>
      </w:pPr>
      <w:r>
        <w:rPr>
          <w:b/>
          <w:i w:val="0"/>
        </w:rPr>
        <w:t>El Taller: Línea de Negocio o Marketing</w:t>
      </w:r>
      <w:r>
        <w:rPr>
          <w:b w:val="0"/>
          <w:i w:val="0"/>
        </w:rPr>
        <w:t xml:space="preserve"> - la única línea que funciona en agosto y no depende del precio del cacao, medida por hora de sala.</w:t>
      </w:r>
    </w:p>
    <w:p>
      <w:pPr>
        <w:pStyle w:val="ListNumber"/>
      </w:pPr>
      <w:r>
        <w:rPr>
          <w:b/>
          <w:i w:val="0"/>
        </w:rPr>
        <w:t>Empezar en Casa Dentro de la Legalidad</w:t>
      </w:r>
      <w:r>
        <w:rPr>
          <w:b w:val="0"/>
          <w:i w:val="0"/>
        </w:rPr>
        <w:t xml:space="preserve"> - qué puedes vender desde una vivienda, qué no, y de qué depende que la puerta esté abierta.</w:t>
      </w:r>
    </w:p>
    <w:p>
      <w:pPr>
        <w:pStyle w:val="ListNumber"/>
      </w:pPr>
      <w:r>
        <w:rPr>
          <w:b/>
          <w:i w:val="0"/>
        </w:rPr>
        <w:t>Qué Haces con el Chocolate que no se Vende</w:t>
      </w:r>
      <w:r>
        <w:rPr>
          <w:b w:val="0"/>
          <w:i w:val="0"/>
        </w:rPr>
        <w:t xml:space="preserve"> - refundir, donar o tirar, y qué te obliga la ley del desperdicio si eres microempresa.</w:t>
      </w:r>
    </w:p>
    <w:p>
      <w:r>
        <w:br w:type="page"/>
      </w:r>
    </w:p>
    <w:p>
      <w:pPr>
        <w:pStyle w:val="Heading1"/>
      </w:pPr>
      <w:r>
        <w:t>1. Bombonería o Bean-to-bar</w:t>
      </w:r>
    </w:p>
    <w:p>
      <w:pPr>
        <w:pStyle w:val="Heading2"/>
      </w:pPr>
      <w:r>
        <w:t>El contexto de la decisión</w:t>
      </w:r>
    </w:p>
    <w:p>
      <w:r>
        <w:rPr>
          <w:b w:val="0"/>
          <w:i w:val="0"/>
        </w:rPr>
        <w:t>Es el caso típico de quien ya templa bien: en algún momento aparece la idea de que el paso natural es dejar de comprar cobertura y tostar tu propio grano. Casi nunca lo es, y casi nunca por el motivo que se cree. No es cuestión de talento: bean-to-bar no es un nivel superior del mismo oficio, es otro negocio, con otra inversión, otro papel frente a la administración y otro reparto de tus horas de obrador (taller o laboratorio).</w:t>
      </w:r>
    </w:p>
    <w:p>
      <w:r>
        <w:rPr>
          <w:b w:val="0"/>
          <w:i w:val="0"/>
        </w:rPr>
        <w:t>Lo primero que hay que saber es que el tren de bean-to-bar no tiene precio público verificable. Hay que pedir presupuesto pieza a pieza antes de saber si el proyecto cabe en tu caja. En el caso que recorre este pack, los equipos del tren que hacen falta se quedan en cero y el veredicto de la calculadora de inversión es directo: «no es tu variante, no hay nada que presupuestar». El mismo cero y el mismo veredicto aparecen en el libro de equipamiento, y las preguntas al fabricante siguen en cero, porque nadie las ha contestado todavía por escrito.</w:t>
      </w:r>
    </w:p>
    <w:p>
      <w:r>
        <w:rPr>
          <w:b w:val="0"/>
          <w:i w:val="0"/>
        </w:rPr>
        <w:t>Y hay un segundo filtro, más terrenal que el legal: el tren ocupa los mismos metros y las mismas horas que tu obrador de bombonería necesita para producir, y compite con ellos justo en campaña.</w:t>
      </w:r>
    </w:p>
    <w:p>
      <w:pPr>
        <w:pStyle w:val="Heading2"/>
      </w:pPr>
      <w:r>
        <w:t>Las opciones sobre la mesa</w:t>
      </w:r>
    </w:p>
    <w:p>
      <w:r>
        <w:rPr>
          <w:b w:val="0"/>
          <w:i w:val="0"/>
        </w:rPr>
        <w:t>Sobre la mesa hay tres, no dos. La opción A es la bombonería que compra cobertura profesional ya elaborada y la trabaja: templa, moldea, rellena y vende. La opción B es el bean-to-bar que importa grano verde y hace su propio chocolate desde cero, con tueste, descascarillado, molienda y conchado propios. La opción C, la que casi nadie se plantea al principio, es una bombonería que compra cobertura para el grueso de la producción y monta una línea pequeña de bean-to-bar como producto de firma.</w:t>
      </w:r>
    </w:p>
    <w:p>
      <w:r>
        <w:rPr>
          <w:b w:val="0"/>
          <w:i w:val="0"/>
        </w:rPr>
        <w:t>Lo que cambia entre las tres no es sólo el gusto del producto final: cambia la inversión, el espacio que reservas en el obrador, el papel que ocupas en la cadena del cacao frente a la ley, los papeles que te van a pedir y el catálogo ambiental en el que entras si tuestas tú mismo.</w:t>
      </w:r>
    </w:p>
    <w:p>
      <w:r>
        <w:rPr>
          <w:b w:val="0"/>
          <w:i w:val="0"/>
        </w:rPr>
        <w:t>Del tren de bean-to-bar existe catálogo verificado -tostador, bandeja de enfriado, descascarilladora manual de gama alta, winnower básico, melanger y, si el negocio crece, molinos y conchadoras de mayor escala- pero no existe precio público de ninguna de esas piezas: se vende a presupuesto o en tiendas fuera de la Unión Europea, y hay que pedirlo sí o sí.</w:t>
      </w:r>
    </w:p>
    <w:p>
      <w:r>
        <w:rPr>
          <w:b w:val="0"/>
          <w:i w:val="0"/>
        </w:rPr>
        <w:t>Para el grano hay una vía fiable, y no es un buscador genérico: el listado de la Asociación Chocolate Bean to Bar España, que agrupa a más de cuarenta miembros (Listado de asociados - Asociación Chocolate Bean to Bar España, 2026), frente a los nombres sueltos que sólo aparecen en directorios genéricos de proveedores, de fiabilidad baja. Preferimos una lista corta y verificada a una larga de oídas.</w:t>
      </w:r>
    </w:p>
    <w:p>
      <w:pPr>
        <w:pStyle w:val="Heading2"/>
      </w:pPr>
      <w:r>
        <w:t>El criterio con el que se decide</w:t>
      </w:r>
    </w:p>
    <w:p>
      <w:r>
        <w:rPr>
          <w:b w:val="0"/>
          <w:i w:val="0"/>
        </w:rPr>
        <w:t>La regla que zanja esto no es el romanticismo del producto, es el papel que vas a ocupar en la cadena del cacao. Lo fija el Reglamento (UE) 2023/1115 del Parlamento Europeo y del Consejo, conocido como EUDR (comprobado el 12 de septiembre de 2026). Comprar cobertura ya comercializada en la Unión Europea y amparada por una declaración de diligencia debida te deja en la figura de operador posterior: quien introduce en el mercado un producto ya elaborado con otros productos que ya venían amparados por esa declaración. El operador, en cambio, es quien hace la primera comercialización, y ahí te sitúas si eres tú quien importa el grano: diligencia debida completa antes de introducirlo en el mercado, declaración presentada previamente, asunción de responsabilidad y registro de esas declaraciones durante cinco años, conforme a los artículos 3, 4.1, 4.2, 4.3 y 8 del propio reglamento.</w:t>
      </w:r>
    </w:p>
    <w:p>
      <w:r>
        <w:rPr>
          <w:b w:val="0"/>
          <w:i w:val="0"/>
        </w:rPr>
        <w:t>Tu papel en la cadena -operador o operador posterior- y la fecha que te toca están resueltos en el capítulo 11 de la guía, con la condición que los cambia.</w:t>
      </w:r>
    </w:p>
    <w:p>
      <w:r>
        <w:rPr>
          <w:b w:val="0"/>
          <w:i w:val="0"/>
        </w:rPr>
        <w:t>Tampoco confundas el régimen simplificado con una exención para pequeños negocios: el art. 4 bis sólo libra de ciertas obligaciones a los micro o pequeños operadores primarios, y esa figura exige estar establecido en un país clasificado como de riesgo bajo conforme al art. 29 del propio reglamento. No es una puerta que se abre por tamaño, es una puerta que se abre por origen.</w:t>
      </w:r>
    </w:p>
    <w:p>
      <w:r>
        <w:rPr>
          <w:b w:val="0"/>
          <w:i w:val="0"/>
        </w:rPr>
        <w:t>Sobre esa base se apoya el filtro de capacidad: si importar grano ya te convierte en operador con obligaciones completas, montarlo compitiendo además por los metros y las horas de tu obrador de bombonería es cargarte con dos negocios a la vez.</w:t>
      </w:r>
    </w:p>
    <w:p>
      <w:pPr>
        <w:pStyle w:val="Heading2"/>
      </w:pPr>
      <w:r>
        <w:t>La celda que lo resuelve</w:t>
      </w:r>
    </w:p>
    <w:p>
      <w:r>
        <w:rPr>
          <w:b w:val="0"/>
          <w:i w:val="0"/>
        </w:rPr>
        <w:t>Esto no se decide de memoria, se decide con una hoja delante. La hoja «Variante del Formato» del libro checklist-equipamiento-y-proveedores-cacao.xlsx trae la lista completa de la compra del tren y las cinco preguntas que hay que hacerle al fabricante, con una columna para anotar cuáles te ha contestado por escrito. En el caso modelado esa columna está en cero, ningún equipo va marcado como necesario y el veredicto repite: «no es tu variante, no hay nada que presupuestar».</w:t>
      </w:r>
    </w:p>
    <w:p>
      <w:r>
        <w:rPr>
          <w:b w:val="0"/>
          <w:i w:val="0"/>
        </w:rPr>
        <w:t>La calculadora de inversión, en la hoja «Variante del Formato» de calculadora-capex-chocolateria.xlsx, hace lo mismo desde el otro lado: la columna de esta variante se queda deliberadamente sin cifras de maquinaria. No es un olvido, es honestidad: mientras no tengas presupuestos por escrito, el bloque no se rellena con nada inventado.</w:t>
      </w:r>
    </w:p>
    <w:p>
      <w:r>
        <w:rPr>
          <w:b w:val="0"/>
          <w:i w:val="0"/>
        </w:rPr>
        <w:t>Y hay una tercera celda que conviene mirar antes de decidir sobre el grano: la hoja «EUDR - Tu Papel en la Cadena» del libro checklist-legal-licencias-y-cacao.xlsx, donde el caso modelado declara de dónde viene su cacao: «compro cobertura ya comercializada en la UE». Esa única casilla arrastra todo el razonamiento anterior sobre operador y operador posterior.</w:t>
      </w:r>
    </w:p>
    <w:p>
      <w:pPr>
        <w:pStyle w:val="Heading2"/>
      </w:pPr>
      <w:r>
        <w:t>La norma que aplica cuando la hay</w:t>
      </w:r>
    </w:p>
    <w:p>
      <w:r>
        <w:rPr>
          <w:b w:val="0"/>
          <w:i w:val="0"/>
        </w:rPr>
        <w:t>Si la decisión final es tostar grano tú mismo, entra en juego una norma más, y no es la del cacao: es la ambiental. El Real Decreto 100/2011, de 28 de enero, por el que se actualiza el catálogo de actividades potencialmente contaminadoras de la atmósfera (comprobado el 12 de septiembre de 2026), recoge el código 04 06 05 14, «Tostación o torrefacción del café o similares», dentro del grupo C, el que exige notificación y no autorización previa. Las palabras «cacao» y «chocolate» no aparecen ni una sola vez en todo el real decreto, así que encajar el tueste de grano de cacao en ese epígrafe es interpretación nuestra, no una cita literal de la norma, y así se presenta.</w:t>
      </w:r>
    </w:p>
    <w:p>
      <w:r>
        <w:rPr>
          <w:b w:val="0"/>
          <w:i w:val="0"/>
        </w:rPr>
        <w:t>Y hay un matiz que no conviene pasar por alto: la comunidad autónoma puede subir esa actividad del grupo C al grupo B, el que sí exige autorización, si se usan sustancias peligrosas o si la instalación está a menos de 500 metros de determinados espacios, entre ellos los núcleos de población. Como el primero de esa lista son precisamente los núcleos de población, un obrador de bean-to-bar dentro de cualquier ciudad cumple esa condición siempre, y por eso esto va como pregunta obligada a tu comunidad autónoma antes de firmar nada.</w:t>
      </w:r>
    </w:p>
    <w:p>
      <w:r>
        <w:rPr>
          <w:b w:val="0"/>
          <w:i w:val="0"/>
        </w:rPr>
        <w:t>La recomendación, con la condición que la cambiaría: si hoy compras cobertura y templas bien, quédate en la opción A o, como mucho, prueba la opción C con una línea pequeña y sin prisa. Sólo tiene sentido moverse hacia la opción B el día en que tengas presupuestos reales del tren completo, capacidad de sobra en tu obrador para no robarle horas a la bombonería en campaña, y la respuesta de tu comunidad autónoma sobre el catálogo ambiental ya en la mano. Hasta entonces, la celda sigue en cero, y el cero es la respuesta correcta.</w:t>
      </w:r>
    </w:p>
    <w:p>
      <w:r>
        <w:rPr>
          <w:b/>
          <w:i w:val="0"/>
        </w:rPr>
        <w:t>La lista de la compra del tren de bean-to-bar, sin precios y con sus preguntas (checklist-equipamiento-y-proveedores-cacao.xlsx, hoja «Variante del Formato»)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Nº</w:t>
            </w:r>
          </w:p>
        </w:tc>
        <w:tc>
          <w:tcPr>
            <w:tcW w:type="dxa" w:w="2436"/>
          </w:tcPr>
          <w:p>
            <w:r/>
            <w:r>
              <w:rPr>
                <w:b/>
                <w:i w:val="0"/>
              </w:rPr>
              <w:t>Equipo del tren</w:t>
            </w:r>
          </w:p>
        </w:tc>
        <w:tc>
          <w:tcPr>
            <w:tcW w:type="dxa" w:w="2436"/>
          </w:tcPr>
          <w:p>
            <w:r/>
            <w:r>
              <w:rPr>
                <w:b/>
                <w:i w:val="0"/>
              </w:rPr>
              <w:t>¿Lo necesitas?</w:t>
            </w:r>
          </w:p>
        </w:tc>
        <w:tc>
          <w:tcPr>
            <w:tcW w:type="dxa" w:w="2436"/>
          </w:tcPr>
          <w:p>
            <w:r/>
            <w:r>
              <w:rPr>
                <w:b/>
                <w:i w:val="0"/>
              </w:rPr>
              <w:t>¿Tienes precio por escrito?</w:t>
            </w:r>
          </w:p>
        </w:tc>
      </w:tr>
      <w:tr>
        <w:tc>
          <w:tcPr>
            <w:tcW w:type="dxa" w:w="2436"/>
          </w:tcPr>
          <w:p>
            <w:r/>
            <w:r>
              <w:rPr>
                <w:b w:val="0"/>
                <w:i w:val="0"/>
              </w:rPr>
              <w:t>1</w:t>
            </w:r>
          </w:p>
        </w:tc>
        <w:tc>
          <w:tcPr>
            <w:tcW w:type="dxa" w:w="2436"/>
          </w:tcPr>
          <w:p>
            <w:r/>
            <w:r>
              <w:rPr>
                <w:b w:val="0"/>
                <w:i w:val="0"/>
              </w:rPr>
              <w:t>Tostador de grano</w:t>
            </w:r>
          </w:p>
        </w:tc>
        <w:tc>
          <w:tcPr>
            <w:tcW w:type="dxa" w:w="2436"/>
          </w:tcPr>
          <w:p>
            <w:r/>
            <w:r>
              <w:rPr>
                <w:b w:val="0"/>
                <w:i w:val="0"/>
              </w:rPr>
              <w:t>No</w:t>
            </w:r>
          </w:p>
        </w:tc>
        <w:tc>
          <w:tcPr>
            <w:tcW w:type="dxa" w:w="2436"/>
          </w:tcPr>
          <w:p>
            <w:r/>
            <w:r>
              <w:rPr>
                <w:b w:val="0"/>
                <w:i w:val="0"/>
              </w:rPr>
              <w:t>No</w:t>
            </w:r>
          </w:p>
        </w:tc>
      </w:tr>
      <w:tr>
        <w:tc>
          <w:tcPr>
            <w:tcW w:type="dxa" w:w="2436"/>
          </w:tcPr>
          <w:p>
            <w:r/>
            <w:r>
              <w:rPr>
                <w:b w:val="0"/>
                <w:i w:val="0"/>
              </w:rPr>
              <w:t>2</w:t>
            </w:r>
          </w:p>
        </w:tc>
        <w:tc>
          <w:tcPr>
            <w:tcW w:type="dxa" w:w="2436"/>
          </w:tcPr>
          <w:p>
            <w:r/>
            <w:r>
              <w:rPr>
                <w:b w:val="0"/>
                <w:i w:val="0"/>
              </w:rPr>
              <w:t>Bandeja de enfriado</w:t>
            </w:r>
          </w:p>
        </w:tc>
        <w:tc>
          <w:tcPr>
            <w:tcW w:type="dxa" w:w="2436"/>
          </w:tcPr>
          <w:p>
            <w:r/>
            <w:r>
              <w:rPr>
                <w:b w:val="0"/>
                <w:i w:val="0"/>
              </w:rPr>
              <w:t>No</w:t>
            </w:r>
          </w:p>
        </w:tc>
        <w:tc>
          <w:tcPr>
            <w:tcW w:type="dxa" w:w="2436"/>
          </w:tcPr>
          <w:p>
            <w:r/>
            <w:r>
              <w:rPr>
                <w:b w:val="0"/>
                <w:i w:val="0"/>
              </w:rPr>
              <w:t>No</w:t>
            </w:r>
          </w:p>
        </w:tc>
      </w:tr>
      <w:tr>
        <w:tc>
          <w:tcPr>
            <w:tcW w:type="dxa" w:w="2436"/>
          </w:tcPr>
          <w:p>
            <w:r/>
            <w:r>
              <w:rPr>
                <w:b w:val="0"/>
                <w:i w:val="0"/>
              </w:rPr>
              <w:t>3</w:t>
            </w:r>
          </w:p>
        </w:tc>
        <w:tc>
          <w:tcPr>
            <w:tcW w:type="dxa" w:w="2436"/>
          </w:tcPr>
          <w:p>
            <w:r/>
            <w:r>
              <w:rPr>
                <w:b w:val="0"/>
                <w:i w:val="0"/>
              </w:rPr>
              <w:t>Descascarilladora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4</w:t>
            </w:r>
          </w:p>
        </w:tc>
        <w:tc>
          <w:tcPr>
            <w:tcW w:type="dxa" w:w="2436"/>
          </w:tcPr>
          <w:p>
            <w:r/>
            <w:r>
              <w:rPr>
                <w:b w:val="0"/>
                <w:i w:val="0"/>
              </w:rPr>
              <w:t>Winnower (aventadora)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5</w:t>
            </w:r>
          </w:p>
        </w:tc>
        <w:tc>
          <w:tcPr>
            <w:tcW w:type="dxa" w:w="2436"/>
          </w:tcPr>
          <w:p>
            <w:r/>
            <w:r>
              <w:rPr>
                <w:b w:val="0"/>
                <w:i w:val="0"/>
              </w:rPr>
              <w:t>Melanger o refinadora de piedra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6</w:t>
            </w:r>
          </w:p>
        </w:tc>
        <w:tc>
          <w:tcPr>
            <w:tcW w:type="dxa" w:w="2436"/>
          </w:tcPr>
          <w:p>
            <w:r/>
            <w:r>
              <w:rPr>
                <w:b w:val="0"/>
                <w:i w:val="0"/>
              </w:rPr>
              <w:t>Concha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7</w:t>
            </w:r>
          </w:p>
        </w:tc>
        <w:tc>
          <w:tcPr>
            <w:tcW w:type="dxa" w:w="2436"/>
          </w:tcPr>
          <w:p>
            <w:r/>
            <w:r>
              <w:rPr>
                <w:b w:val="0"/>
                <w:i w:val="0"/>
              </w:rPr>
              <w:t>Prensa de manteca (solo si separas manteca)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8</w:t>
            </w:r>
          </w:p>
        </w:tc>
        <w:tc>
          <w:tcPr>
            <w:tcW w:type="dxa" w:w="2436"/>
          </w:tcPr>
          <w:p>
            <w:r/>
            <w:r>
              <w:rPr>
                <w:b w:val="0"/>
                <w:i w:val="0"/>
              </w:rPr>
              <w:t>Tamizadora</w:t>
            </w:r>
          </w:p>
        </w:tc>
        <w:tc>
          <w:tcPr>
            <w:tcW w:type="dxa" w:w="2436"/>
          </w:tcPr>
          <w:p>
            <w:r/>
            <w:r>
              <w:rPr>
                <w:b w:val="0"/>
                <w:i w:val="0"/>
              </w:rPr>
              <w:t>No</w:t>
            </w:r>
          </w:p>
        </w:tc>
        <w:tc>
          <w:tcPr>
            <w:tcW w:type="dxa" w:w="2436"/>
          </w:tcPr>
          <w:p>
            <w:r/>
            <w:r>
              <w:rPr>
                <w:b w:val="0"/>
                <w:i w:val="0"/>
              </w:rPr>
              <w:t>No</w:t>
            </w:r>
          </w:p>
        </w:tc>
      </w:tr>
      <w:tr>
        <w:tc>
          <w:tcPr>
            <w:tcW w:type="dxa" w:w="2436"/>
          </w:tcPr>
          <w:p>
            <w:r/>
            <w:r>
              <w:rPr>
                <w:b w:val="0"/>
                <w:i w:val="0"/>
              </w:rPr>
              <w:t>9</w:t>
            </w:r>
          </w:p>
        </w:tc>
        <w:tc>
          <w:tcPr>
            <w:tcW w:type="dxa" w:w="2436"/>
          </w:tcPr>
          <w:p>
            <w:r/>
            <w:r>
              <w:rPr>
                <w:b w:val="0"/>
                <w:i w:val="0"/>
              </w:rPr>
              <w:t>Balanza de precisión para la formulación</w:t>
            </w:r>
          </w:p>
        </w:tc>
        <w:tc>
          <w:tcPr>
            <w:tcW w:type="dxa" w:w="2436"/>
          </w:tcPr>
          <w:p>
            <w:r/>
            <w:r>
              <w:rPr>
                <w:b w:val="0"/>
                <w:i w:val="0"/>
              </w:rPr>
              <w:t>No</w:t>
            </w:r>
          </w:p>
        </w:tc>
        <w:tc>
          <w:tcPr>
            <w:tcW w:type="dxa" w:w="2436"/>
          </w:tcPr>
          <w:p>
            <w:r/>
            <w:r>
              <w:rPr>
                <w:b w:val="0"/>
                <w:i w:val="0"/>
              </w:rPr>
              <w:t>No</w:t>
            </w:r>
          </w:p>
        </w:tc>
      </w:tr>
    </w:tbl>
    <w:p/>
    <w:p>
      <w:pPr>
        <w:jc w:val="center"/>
      </w:pPr>
      <w:r>
        <w:rPr>
          <w:i/>
          <w:color w:val="444444"/>
        </w:rPr>
        <w:t>Va sin precios a propósito: no hay precio público verificable para este equipamiento, y publicar una cifra inventada aquí sería peor que no publicar ninguna.</w:t>
      </w:r>
    </w:p>
    <w:p>
      <w:r>
        <w:br w:type="page"/>
      </w:r>
    </w:p>
    <w:p>
      <w:pPr>
        <w:pStyle w:val="Heading1"/>
      </w:pPr>
      <w:r>
        <w:t>2. Comprar la Continua o Empezar con la de Sobremesa</w:t>
      </w:r>
    </w:p>
    <w:p>
      <w:pPr>
        <w:pStyle w:val="Heading2"/>
      </w:pPr>
      <w:r>
        <w:t>El contexto de la decisión</w:t>
      </w:r>
    </w:p>
    <w:p>
      <w:r>
        <w:rPr>
          <w:b w:val="0"/>
          <w:i w:val="0"/>
        </w:rPr>
        <w:t>En cuanto llega la hora de cerrar el presupuesto de equipamiento, la atemperadora es la partida que más salta a la vista: es la máquina más cara de toda la dotación y la que más parece decir si el proyecto va en serio. La tentación de recortar justo ahí es comprensible, porque el chocolate se puede templar a mano sobre mármol o al baño maría. Pero decidir por la partida más visible, sin mirar antes cuántos bombones al día permite cada opción, es exactamente el error que este apartado quiere evitarte. La pregunta que de verdad importa no es «¿puedo pagarla?», sino «¿qué pieza de todo el obrador (taller o laboratorio) limita mi producción, y es la atemperadora la que lo hace?». Casi nadie hace ese cálculo antes de firmar el pedido, y es justo el que puede darle la vuelta a la decisión entera.</w:t>
      </w:r>
    </w:p>
    <w:p>
      <w:pPr>
        <w:pStyle w:val="Heading2"/>
      </w:pPr>
      <w:r>
        <w:t>Las opciones sobre la mesa</w:t>
      </w:r>
    </w:p>
    <w:p>
      <w:r>
        <w:rPr>
          <w:b w:val="0"/>
          <w:i w:val="0"/>
        </w:rPr>
        <w:t>Hay tres caminos razonables para entrar en el templado, y conviene mirarlos con sus números reales antes de descartar ninguno por precio.</w:t>
      </w:r>
    </w:p>
    <w:p>
      <w:r>
        <w:rPr>
          <w:b w:val="0"/>
          <w:i w:val="0"/>
        </w:rPr>
        <w:t>La Opción A es entrar directamente con una atemperadora continua de sobremesa. La referencia de este apartado es la Selmi One, con una capacidad de 12 kg y un caudal de 55 kg/h: 8.500 € según los precios de Utilcentre, S.L. (distribuidor Selmi/Pavoni en España), consultados el 12 de septiembre de 2026, a los que hay que sumar 1.045 € en concepto de embalaje, transporte asegurado y puesta en marcha, importe que el propio distribuidor declara «neto» sin precisar si lleva o no el impuesto incluido. Es además la partida con el plazo de entrega más largo de toda la dotación: diez semanas desde que se cursa el pedido.</w:t>
      </w:r>
    </w:p>
    <w:p>
      <w:r>
        <w:rPr>
          <w:b w:val="0"/>
          <w:i w:val="0"/>
        </w:rPr>
        <w:t>La Opción B es arrancar con una atemperadora de arranque pequeña y crecer después. En esa misma escalera de equipos, la Pavoni MINITEMPER, con una capacidad de 4,5 litros (aproximadamente 3 kg), cuesta 1.960,00 €, con una cubeta adicional a 165,30 € (Utilcentre, S.L., 2026-09-12).</w:t>
      </w:r>
    </w:p>
    <w:p>
      <w:r>
        <w:rPr>
          <w:b w:val="0"/>
          <w:i w:val="0"/>
        </w:rPr>
        <w:t>La Opción C parte de esa misma máquina pequeña y le suma una segunda línea: un temperador de baño maría digital de 22 litros de capacidad, a 2.650,00 € (Utilcentre, S.L., 2026-09-12). Por debajo de las tres, en el peldaño más económico de esa escalera, está el mantenedor de una cubeta digital, desde 570,00 € (Utilcentre, S.L., 2026-09-12): ese «desde» es un suelo comercial, no el precio cerrado de la unidad concreta que acabarías comprando, así que no sirve como cifra fija de presupuesto ni de escandallo (costeo), sino como mínimo a tener en cuenta cuando llegue esa partida.</w:t>
      </w:r>
    </w:p>
    <w:p>
      <w:r>
        <w:rPr>
          <w:b w:val="0"/>
          <w:i w:val="0"/>
        </w:rPr>
        <w:t>Lo que cambia entre las tres no es solo el desembolso: cambian los kilos por carga, cuántas coberturas puedes tener a punto a la vez, y el plazo de entrega, que en la continua vuelve a ser el más largo de todo el pedido.</w:t>
      </w:r>
    </w:p>
    <w:p>
      <w:pPr>
        <w:pStyle w:val="Heading2"/>
      </w:pPr>
      <w:r>
        <w:t>El criterio con el que se decide</w:t>
      </w:r>
    </w:p>
    <w:p>
      <w:r>
        <w:rPr>
          <w:b w:val="0"/>
          <w:i w:val="0"/>
        </w:rPr>
        <w:t>Aquí es donde casi nadie hace los deberes: cuántos bombones al día permite realmente cada opción, y si la atemperadora es de verdad lo que limita la producción o si el límite está en otra parte del obrador. La regla es cruzar la capacidad de cada equipo con la producción que pide tu plan de negocio, en bombones equivalentes de obrador, y mirar quién limita DESPUÉS de ese cruce, nunca antes.</w:t>
      </w:r>
    </w:p>
    <w:p>
      <w:r>
        <w:rPr>
          <w:b w:val="0"/>
          <w:i w:val="0"/>
        </w:rPr>
        <w:t>Hecho ese cruce, la atemperadora continua permite 4.368 bombones al día de obrador, y la de arranque permite 4.914: las dos quedan muy por encima de lo que el obrador entero puede sacar, así que el templado no es lo que decide esta compra. Y aquí aparece el hallazgo que casi siempre da la vuelta a esta decisión: en una bombonería pequeña, el cuello de botella casi nunca es el templado. El conjunto de equipos del obrador, cruzado entero, sólo permite sacar 512 bombones al día, muy por debajo de lo que da cualquiera de las dos atemperadoras por separado. El equipo que limita es el puesto de envasado y montaje de cajas, y ninguna máquina de templar, por grande y por cara que sea, arregla ese cuello de botella: lo arreglan las manos y el puesto de trabajo, no el chocolate.</w:t>
      </w:r>
    </w:p>
    <w:p>
      <w:pPr>
        <w:pStyle w:val="Heading2"/>
      </w:pPr>
      <w:r>
        <w:t>La celda que lo resuelve</w:t>
      </w:r>
    </w:p>
    <w:p>
      <w:r>
        <w:rPr>
          <w:b w:val="0"/>
          <w:i w:val="0"/>
        </w:rPr>
        <w:t>La hoja «Capacidad por Equipo» de capacidad-obrador-y-clima.xlsx convierte cada máquina de la dotación en bombones al día y señala, sin ambigüedad, cuál de todos los equipos limita el conjunto: con los datos de este plan, ese equipo es el puesto de envasado, no la atemperadora. La hoja «Cuello de Botella» del mismo libro entrega el número final del conjunto, los 512 bombones al día que puede sacar el obrador completo.</w:t>
      </w:r>
    </w:p>
    <w:p>
      <w:r>
        <w:rPr>
          <w:b w:val="0"/>
          <w:i w:val="0"/>
        </w:rPr>
        <w:t>La hoja «Equipamiento» de checklist-equipamiento-y-proveedores-cacao.xlsx trae, además, el plazo de entrega de cada línea de la dotación, y ahí la continua vuelve a marcar el ritmo: si al final se decide comprarla, es la primera pieza que hay que pedir, porque sus diez semanas de plazo son las más largas de todo el proyecto y las que de verdad condicionan la fecha de apertura.</w:t>
      </w:r>
    </w:p>
    <w:p>
      <w:r>
        <w:rPr>
          <w:b w:val="0"/>
          <w:i w:val="0"/>
        </w:rPr>
        <w:t>Con estos dos datos cruzados, la recomendación para quien monta su primera bombonería es clara: si el cuello de botella real está en el envasado y no en el templado, la Opción B o la Opción C -la pequeña, sola o con una segunda línea de baño maría- cubre de sobra lo que el resto del obrador es capaz de sacar, y deja el desembolso y las diez semanas de espera de la continua para más adelante. La condición que cambia esta recomendación es que tu propio plan de producción, verificado en esa misma hoja de capacidad, supere lo que da la atemperadora de arranque: sólo entonces la continua deja de ser un lujo y pasa a ser la pieza que toca pedir primero.</w:t>
      </w:r>
    </w:p>
    <w:p>
      <w:pPr>
        <w:pStyle w:val="Heading2"/>
      </w:pPr>
      <w:r>
        <w:t>La norma que aplica cuando la hay</w:t>
      </w:r>
    </w:p>
    <w:p>
      <w:r>
        <w:rPr>
          <w:b w:val="0"/>
          <w:i w:val="0"/>
        </w:rPr>
        <w:t>Aquí no hay norma que decida por ti: es una decisión económica y de capacidad de producción, y se dice sin rodeos que no la hay. Lo único normativo que roza esta compra no es el chocolate, sino la instalación eléctrica del local: la potencia contratada tiene que soportar la máquina que elijas, y eso se comprueba en la ficha de visita al local antes de firmar ningún pedido, nunca después.</w:t>
      </w:r>
    </w:p>
    <w:p>
      <w:r>
        <w:rPr>
          <w:b/>
          <w:i w:val="0"/>
        </w:rPr>
        <w:t>Las dos puertas de entrada al templado, comparadas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comparas</w:t>
            </w:r>
          </w:p>
        </w:tc>
        <w:tc>
          <w:tcPr>
            <w:tcW w:type="dxa" w:w="3249"/>
          </w:tcPr>
          <w:p>
            <w:r/>
            <w:r>
              <w:rPr>
                <w:b/>
                <w:i w:val="0"/>
              </w:rPr>
              <w:t>Atemperadora continua de sobremesa</w:t>
            </w:r>
          </w:p>
        </w:tc>
        <w:tc>
          <w:tcPr>
            <w:tcW w:type="dxa" w:w="3249"/>
          </w:tcPr>
          <w:p>
            <w:r/>
            <w:r>
              <w:rPr>
                <w:b/>
                <w:i w:val="0"/>
              </w:rPr>
              <w:t>Atemperadora de arranque</w:t>
            </w:r>
          </w:p>
        </w:tc>
      </w:tr>
      <w:tr>
        <w:tc>
          <w:tcPr>
            <w:tcW w:type="dxa" w:w="3249"/>
          </w:tcPr>
          <w:p>
            <w:r/>
            <w:r>
              <w:rPr>
                <w:b w:val="0"/>
                <w:i w:val="0"/>
              </w:rPr>
              <w:t>Kilos de cobertura por carga</w:t>
            </w:r>
          </w:p>
        </w:tc>
        <w:tc>
          <w:tcPr>
            <w:tcW w:type="dxa" w:w="3249"/>
          </w:tcPr>
          <w:p>
            <w:r/>
            <w:r>
              <w:rPr>
                <w:b w:val="0"/>
                <w:i w:val="0"/>
              </w:rPr>
              <w:t>Carga grande: permite trabajar una cobertura toda la jornada</w:t>
            </w:r>
          </w:p>
        </w:tc>
        <w:tc>
          <w:tcPr>
            <w:tcW w:type="dxa" w:w="3249"/>
          </w:tcPr>
          <w:p>
            <w:r/>
            <w:r>
              <w:rPr>
                <w:b w:val="0"/>
                <w:i w:val="0"/>
              </w:rPr>
              <w:t>Carga pequeña: hay que recargar varias veces al día</w:t>
            </w:r>
          </w:p>
        </w:tc>
      </w:tr>
      <w:tr>
        <w:tc>
          <w:tcPr>
            <w:tcW w:type="dxa" w:w="3249"/>
          </w:tcPr>
          <w:p>
            <w:r/>
            <w:r>
              <w:rPr>
                <w:b w:val="0"/>
                <w:i w:val="0"/>
              </w:rPr>
              <w:t>Coberturas a punto a la vez</w:t>
            </w:r>
          </w:p>
        </w:tc>
        <w:tc>
          <w:tcPr>
            <w:tcW w:type="dxa" w:w="3249"/>
          </w:tcPr>
          <w:p>
            <w:r/>
            <w:r>
              <w:rPr>
                <w:b w:val="0"/>
                <w:i w:val="0"/>
              </w:rPr>
              <w:t>Una, salvo que sumes temperador o mantenedor</w:t>
            </w:r>
          </w:p>
        </w:tc>
        <w:tc>
          <w:tcPr>
            <w:tcW w:type="dxa" w:w="3249"/>
          </w:tcPr>
          <w:p>
            <w:r/>
            <w:r>
              <w:rPr>
                <w:b w:val="0"/>
                <w:i w:val="0"/>
              </w:rPr>
              <w:t>Una, y con menos margen de maniobra</w:t>
            </w:r>
          </w:p>
        </w:tc>
      </w:tr>
      <w:tr>
        <w:tc>
          <w:tcPr>
            <w:tcW w:type="dxa" w:w="3249"/>
          </w:tcPr>
          <w:p>
            <w:r/>
            <w:r>
              <w:rPr>
                <w:b w:val="0"/>
                <w:i w:val="0"/>
              </w:rPr>
              <w:t>Plazo de entrega</w:t>
            </w:r>
          </w:p>
        </w:tc>
        <w:tc>
          <w:tcPr>
            <w:tcW w:type="dxa" w:w="3249"/>
          </w:tcPr>
          <w:p>
            <w:r/>
            <w:r>
              <w:rPr>
                <w:b w:val="0"/>
                <w:i w:val="0"/>
              </w:rPr>
              <w:t>Es la línea que marca el plazo crítico de toda la dotación</w:t>
            </w:r>
          </w:p>
        </w:tc>
        <w:tc>
          <w:tcPr>
            <w:tcW w:type="dxa" w:w="3249"/>
          </w:tcPr>
          <w:p>
            <w:r/>
            <w:r>
              <w:rPr>
                <w:b w:val="0"/>
                <w:i w:val="0"/>
              </w:rPr>
              <w:t>Corto: se consigue en semanas</w:t>
            </w:r>
          </w:p>
        </w:tc>
      </w:tr>
      <w:tr>
        <w:tc>
          <w:tcPr>
            <w:tcW w:type="dxa" w:w="3249"/>
          </w:tcPr>
          <w:p>
            <w:r/>
            <w:r>
              <w:rPr>
                <w:b w:val="0"/>
                <w:i w:val="0"/>
              </w:rPr>
              <w:t>Qué pasa en campaña</w:t>
            </w:r>
          </w:p>
        </w:tc>
        <w:tc>
          <w:tcPr>
            <w:tcW w:type="dxa" w:w="3249"/>
          </w:tcPr>
          <w:p>
            <w:r/>
            <w:r>
              <w:rPr>
                <w:b w:val="0"/>
                <w:i w:val="0"/>
              </w:rPr>
              <w:t>Aguanta el pico si el resto del obrador acompaña</w:t>
            </w:r>
          </w:p>
        </w:tc>
        <w:tc>
          <w:tcPr>
            <w:tcW w:type="dxa" w:w="3249"/>
          </w:tcPr>
          <w:p>
            <w:r/>
            <w:r>
              <w:rPr>
                <w:b w:val="0"/>
                <w:i w:val="0"/>
              </w:rPr>
              <w:t>Obliga a más recargas y más horas de obrador</w:t>
            </w:r>
          </w:p>
        </w:tc>
      </w:tr>
      <w:tr>
        <w:tc>
          <w:tcPr>
            <w:tcW w:type="dxa" w:w="3249"/>
          </w:tcPr>
          <w:p>
            <w:r/>
            <w:r>
              <w:rPr>
                <w:b w:val="0"/>
                <w:i w:val="0"/>
              </w:rPr>
              <w:t>Cuándo tiene sentido</w:t>
            </w:r>
          </w:p>
        </w:tc>
        <w:tc>
          <w:tcPr>
            <w:tcW w:type="dxa" w:w="3249"/>
          </w:tcPr>
          <w:p>
            <w:r/>
            <w:r>
              <w:rPr>
                <w:b w:val="0"/>
                <w:i w:val="0"/>
              </w:rPr>
              <w:t>Cuando el plan pide producción sostenida y hay financiación</w:t>
            </w:r>
          </w:p>
        </w:tc>
        <w:tc>
          <w:tcPr>
            <w:tcW w:type="dxa" w:w="3249"/>
          </w:tcPr>
          <w:p>
            <w:r/>
            <w:r>
              <w:rPr>
                <w:b w:val="0"/>
                <w:i w:val="0"/>
              </w:rPr>
              <w:t>Cuando el arranque es corto de caja y la producción va a crecer despacio</w:t>
            </w:r>
          </w:p>
        </w:tc>
      </w:tr>
      <w:tr>
        <w:tc>
          <w:tcPr>
            <w:tcW w:type="dxa" w:w="3249"/>
          </w:tcPr>
          <w:p>
            <w:r/>
            <w:r>
              <w:rPr>
                <w:b w:val="0"/>
                <w:i w:val="0"/>
              </w:rPr>
              <w:t>Qué NO arregla ninguna de las dos</w:t>
            </w:r>
          </w:p>
        </w:tc>
        <w:tc>
          <w:tcPr>
            <w:tcW w:type="dxa" w:w="3249"/>
          </w:tcPr>
          <w:p>
            <w:r/>
            <w:r>
              <w:rPr>
                <w:b w:val="0"/>
                <w:i w:val="0"/>
              </w:rPr>
              <w:t>El puesto de moldeado y el de envasado, que es donde suele estar el cuello</w:t>
            </w:r>
          </w:p>
        </w:tc>
        <w:tc>
          <w:tcPr>
            <w:tcW w:type="dxa" w:w="3249"/>
          </w:tcPr>
          <w:p>
            <w:r/>
            <w:r>
              <w:rPr>
                <w:b w:val="0"/>
                <w:i w:val="0"/>
              </w:rPr>
              <w:t>Lo mismo</w:t>
            </w:r>
          </w:p>
        </w:tc>
      </w:tr>
    </w:tbl>
    <w:p/>
    <w:p>
      <w:pPr>
        <w:jc w:val="center"/>
      </w:pPr>
      <w:r>
        <w:rPr>
          <w:i/>
          <w:color w:val="444444"/>
        </w:rPr>
        <w:t>Los precios de las dos y de todas las máquinas de la escalera están en el libro de equipamiento, cada una con su ficha y su base de impuesto declarada.</w:t>
      </w:r>
    </w:p>
    <w:p>
      <w:r>
        <w:br w:type="page"/>
      </w:r>
    </w:p>
    <w:p>
      <w:pPr>
        <w:pStyle w:val="Heading1"/>
      </w:pPr>
      <w:r>
        <w:t>3. Abrir con Quince Referencias o con Veintiocho</w:t>
      </w:r>
    </w:p>
    <w:p>
      <w:pPr>
        <w:pStyle w:val="Heading2"/>
      </w:pPr>
      <w:r>
        <w:t>El contexto de la decisión</w:t>
      </w:r>
    </w:p>
    <w:p>
      <w:r>
        <w:rPr>
          <w:b w:val="0"/>
          <w:i w:val="0"/>
        </w:rPr>
        <w:t>El caso típico con el que llega casi todo el mundo a este capítulo es el mismo: se abre con todo lo que se sabe hacer, porque parece de sentido común que una vitrina (exhibidor) llena vende más que una vitrina corta. Y es al revés. Una vitrina llena de referencias que no rotan no es una vitrina generosa, es una vitrina de merma: cada pieza que se queda ahí más días de los que aguanta es dinero que ya se ha gastado en cacao, en mano de obra y en packaging, y que no vuelve.</w:t>
      </w:r>
    </w:p>
    <w:p>
      <w:r>
        <w:rPr>
          <w:b w:val="0"/>
          <w:i w:val="0"/>
        </w:rPr>
        <w:t>Lo que casi nadie calcula antes de firmar la carta de apertura es que cada referencia nueva no es una línea más en un documento: es un molde que hay que comprar y guardar, un relleno con su propia ficha, una caducidad propia que hay que vigilar aparte de todas las demás, una línea más en la declaración de alérgenos que hay que revisar cada vez que cambia un ingrediente, y una tanda que hay que planificar, templar y moldear aunque venda poco. Quince referencias y veintiocho referencias no son la misma apertura: son dos negocios con dos calendarios de producción distintos desde el primer día.</w:t>
      </w:r>
    </w:p>
    <w:p>
      <w:pPr>
        <w:pStyle w:val="Heading2"/>
      </w:pPr>
      <w:r>
        <w:t>Las opciones sobre la mesa</w:t>
      </w:r>
    </w:p>
    <w:p>
      <w:r>
        <w:rPr>
          <w:b w:val="0"/>
          <w:i w:val="0"/>
        </w:rPr>
        <w:t>Hay tres maneras razonables de resolver esto, y las tres se han probado en aperturas reales. La opción A es abrir con una carta corta y ampliarla después, según lo que vaya pidiendo el mostrador: se arranca con lo imprescindible y se añade referencia a referencia cuando el cliente ya la ha pedido más de una vez. La opción B es la contraria, abrir con la carta completa, la de veintiocho referencias, y podarla a los tres meses según lo que de verdad se haya vendido. La opción C es un híbrido que funciona bien en bombonería: una carta corta fija, la que sostiene la vitrina todo el año, más una referencia rotatoria de temporada que cambia y que sirve de excusa para que el cliente vuelva.</w:t>
      </w:r>
    </w:p>
    <w:p>
      <w:r>
        <w:rPr>
          <w:b w:val="0"/>
          <w:i w:val="0"/>
        </w:rPr>
        <w:t>Lo que cambia entre las tres no es el trabajo de obrador (taller o laboratorio), que es parecido en las tres, sino el dinero que se queda quieto y el riesgo que se asume con él. La opción B es la que más inmoviliza en moldes y en packaging desde el primer día, porque hay que tener listas las veintiocho fichas antes de abrir la puerta. También es la que más merma por caducidad genera en el primer trimestre, porque una parte de esas veintiocho referencias no va a rotar lo bastante rápido para consumirse antes de su fecha. Y es la que peor deja al equipo de mostrador el primer mes: con veintiocho historias que contar, cuesta mucho más que el dependiente sepa explicarle a cada cliente qué es cada bombón, de qué lleva y por qué cuesta lo que cuesta. La opción A es la más barata de arrancar y la más lenta de completar, porque tarda meses en tener el catálogo que la B tiene desde el primer día. La opción C reparte el riesgo: fija el núcleo que ya se sabe que vende y deja la novedad para donde de verdad aporta, que es la temporada.</w:t>
      </w:r>
    </w:p>
    <w:p>
      <w:pPr>
        <w:pStyle w:val="Heading2"/>
      </w:pPr>
      <w:r>
        <w:t>El criterio con el que se decide</w:t>
      </w:r>
    </w:p>
    <w:p>
      <w:r>
        <w:rPr>
          <w:b w:val="0"/>
          <w:i w:val="0"/>
        </w:rPr>
        <w:t>La regla que usa este pack es que la carta se decide por margen y por rotación, no por variedad. Se aplican dos umbrales sobre cada referencia candidata: un margen mínimo por pieza y un peso mínimo dentro del mix de ventas. Toda referencia que no supere alguno de los dos umbrales entra en revisión, y eso vale igual para la referencia número cinco que para la número veintiocho: la vitrina no premia que exista, premia que rote y que deje margen.</w:t>
      </w:r>
    </w:p>
    <w:p>
      <w:r>
        <w:rPr>
          <w:b w:val="0"/>
          <w:i w:val="0"/>
        </w:rPr>
        <w:t>El segundo filtro es de vida útil, y es el que de verdad decide en una apertura pequeña: una referencia con rotación baja y caducidad corta pierde dinero dos veces, primero porque no se vende al ritmo que necesitaría para justificar el molde y el relleno, y segundo porque lo poco que se vende se acaba tirando antes de agotar la tanda. Esas son siempre las primeras candidatas a salir de la carta de apertura, por delante de cualquier criterio de gusto personal o de lo bonita que quede la referencia en la vitrina.</w:t>
      </w:r>
    </w:p>
    <w:p>
      <w:pPr>
        <w:pStyle w:val="Heading2"/>
      </w:pPr>
      <w:r>
        <w:t>La celda que lo resuelve</w:t>
      </w:r>
    </w:p>
    <w:p>
      <w:r>
        <w:rPr>
          <w:b w:val="0"/>
          <w:i w:val="0"/>
        </w:rPr>
        <w:t>La hoja de decisión de surtido del libro de la carta de apertura y escandallo de chocolate da el veredicto referencia a referencia: mantener, revisar precio o retirar, con el margen anual de cada una puesto al lado para que la decisión no dependa de memoria ni de intuición. En el caso que recorre este pack, ese veredicto deja veinticinco referencias en mantener, dos en revisar precio y una en retirar, con un margen de toda la carta de 100.615 € al año y un PVP medio ponderado con IVA de 7,68 €. Esas tres cifras son la fotografía de una carta de veintiocho referencias ya filtrada por margen y por rotación, no de una carta corta: quien empiece por la opción A construye la suya con menos filas, pero con la misma hoja y los mismos dos umbrales.</w:t>
      </w:r>
    </w:p>
    <w:p>
      <w:r>
        <w:rPr>
          <w:b w:val="0"/>
          <w:i w:val="0"/>
        </w:rPr>
        <w:t>La hoja de lote y merma por caducidad del libro de vida útil, rellenos y rotación mira el mismo problema desde el otro lado: dice cuáles de las referencias que llevan fecha de caducidad tienen la tanda demasiado grande para lo que duran. De las doce referencias que llevan fecha de caducidad declarada, dos tienen la tanda sobredimensionada respecto a su rotación real, y son exactamente el tipo de referencia que el primer filtro, el de margen, no siempre detecta a tiempo. Cruzar las dos hojas, la de margen y la de vida útil, es lo que separa una referencia que conviene mantener de otra que sólo parece rentable en el papel del escandallo (costeo) y que en la práctica se tira antes de agotarse: es el otro lado del mismo problema, y por eso el pack las publica juntas.</w:t>
      </w:r>
    </w:p>
    <w:p>
      <w:pPr>
        <w:pStyle w:val="Heading2"/>
      </w:pPr>
      <w:r>
        <w:t>La norma que aplica cuando la hay</w:t>
      </w:r>
    </w:p>
    <w:p>
      <w:r>
        <w:rPr>
          <w:b w:val="0"/>
          <w:i w:val="0"/>
        </w:rPr>
        <w:t>Aquí no hay una norma que limite el número de referencias de una bombonería, y se dice así de claro: se puede abrir con quince o con veintiocho sin que ningún reglamento imponga un tope. Lo que sí crece con cada referencia nueva es la obligación de información al cliente: cada una necesita sus alérgenos correctamente declarados, su denominación legal correcta -bombón, praliné, tableta (barra) o lo que corresponda según lo que lleve dentro- y, si sale envasada, su etiqueta completa. Veintiocho referencias no son sólo veintiocho recetas de obrador: son veintiocho decisiones de denominación que hay que acertar una a una, y que se multiplican cada vez que se añade una referencia de temporada sin revisar toda la fila de nuevo.</w:t>
      </w:r>
    </w:p>
    <w:p>
      <w:r>
        <w:rPr>
          <w:b/>
          <w:i w:val="0"/>
        </w:rPr>
        <w:t>Qué cuesta cada referencia de más, y qué se gana con ella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suma una referencia nueva</w:t>
            </w:r>
          </w:p>
        </w:tc>
        <w:tc>
          <w:tcPr>
            <w:tcW w:type="dxa" w:w="3249"/>
          </w:tcPr>
          <w:p>
            <w:r/>
            <w:r>
              <w:rPr>
                <w:b/>
                <w:i w:val="0"/>
              </w:rPr>
              <w:t>Coste que no se ve</w:t>
            </w:r>
          </w:p>
        </w:tc>
        <w:tc>
          <w:tcPr>
            <w:tcW w:type="dxa" w:w="3249"/>
          </w:tcPr>
          <w:p>
            <w:r/>
            <w:r>
              <w:rPr>
                <w:b/>
                <w:i w:val="0"/>
              </w:rPr>
              <w:t>Cuándo compensa</w:t>
            </w:r>
          </w:p>
        </w:tc>
      </w:tr>
      <w:tr>
        <w:tc>
          <w:tcPr>
            <w:tcW w:type="dxa" w:w="3249"/>
          </w:tcPr>
          <w:p>
            <w:r/>
            <w:r>
              <w:rPr>
                <w:b w:val="0"/>
                <w:i w:val="0"/>
              </w:rPr>
              <w:t>Un molde o un juego de moldes</w:t>
            </w:r>
          </w:p>
        </w:tc>
        <w:tc>
          <w:tcPr>
            <w:tcW w:type="dxa" w:w="3249"/>
          </w:tcPr>
          <w:p>
            <w:r/>
            <w:r>
              <w:rPr>
                <w:b w:val="0"/>
                <w:i w:val="0"/>
              </w:rPr>
              <w:t>Inmovilizado que sólo se usa si esa referencia rota</w:t>
            </w:r>
          </w:p>
        </w:tc>
        <w:tc>
          <w:tcPr>
            <w:tcW w:type="dxa" w:w="3249"/>
          </w:tcPr>
          <w:p>
            <w:r/>
            <w:r>
              <w:rPr>
                <w:b w:val="0"/>
                <w:i w:val="0"/>
              </w:rPr>
              <w:t>Si el molde sirve para varias referencias o para campaña</w:t>
            </w:r>
          </w:p>
        </w:tc>
      </w:tr>
      <w:tr>
        <w:tc>
          <w:tcPr>
            <w:tcW w:type="dxa" w:w="3249"/>
          </w:tcPr>
          <w:p>
            <w:r/>
            <w:r>
              <w:rPr>
                <w:b w:val="0"/>
                <w:i w:val="0"/>
              </w:rPr>
              <w:t>Un relleno propio</w:t>
            </w:r>
          </w:p>
        </w:tc>
        <w:tc>
          <w:tcPr>
            <w:tcW w:type="dxa" w:w="3249"/>
          </w:tcPr>
          <w:p>
            <w:r/>
            <w:r>
              <w:rPr>
                <w:b w:val="0"/>
                <w:i w:val="0"/>
              </w:rPr>
              <w:t>Una tanda mínima, una caducidad propia y merma si no se vende</w:t>
            </w:r>
          </w:p>
        </w:tc>
        <w:tc>
          <w:tcPr>
            <w:tcW w:type="dxa" w:w="3249"/>
          </w:tcPr>
          <w:p>
            <w:r/>
            <w:r>
              <w:rPr>
                <w:b w:val="0"/>
                <w:i w:val="0"/>
              </w:rPr>
              <w:t>Si comparte relleno con otra referencia que ya rota</w:t>
            </w:r>
          </w:p>
        </w:tc>
      </w:tr>
      <w:tr>
        <w:tc>
          <w:tcPr>
            <w:tcW w:type="dxa" w:w="3249"/>
          </w:tcPr>
          <w:p>
            <w:r/>
            <w:r>
              <w:rPr>
                <w:b w:val="0"/>
                <w:i w:val="0"/>
              </w:rPr>
              <w:t>Una línea en la declaración de alérgenos</w:t>
            </w:r>
          </w:p>
        </w:tc>
        <w:tc>
          <w:tcPr>
            <w:tcW w:type="dxa" w:w="3249"/>
          </w:tcPr>
          <w:p>
            <w:r/>
            <w:r>
              <w:rPr>
                <w:b w:val="0"/>
                <w:i w:val="0"/>
              </w:rPr>
              <w:t>Tiempo de gestión y riesgo de error en mostrador</w:t>
            </w:r>
          </w:p>
        </w:tc>
        <w:tc>
          <w:tcPr>
            <w:tcW w:type="dxa" w:w="3249"/>
          </w:tcPr>
          <w:p>
            <w:r/>
            <w:r>
              <w:rPr>
                <w:b w:val="0"/>
                <w:i w:val="0"/>
              </w:rPr>
              <w:t>Si no añade ningún alérgeno nuevo al obrador</w:t>
            </w:r>
          </w:p>
        </w:tc>
      </w:tr>
      <w:tr>
        <w:tc>
          <w:tcPr>
            <w:tcW w:type="dxa" w:w="3249"/>
          </w:tcPr>
          <w:p>
            <w:r/>
            <w:r>
              <w:rPr>
                <w:b w:val="0"/>
                <w:i w:val="0"/>
              </w:rPr>
              <w:t>Una decisión de denominación legal</w:t>
            </w:r>
          </w:p>
        </w:tc>
        <w:tc>
          <w:tcPr>
            <w:tcW w:type="dxa" w:w="3249"/>
          </w:tcPr>
          <w:p>
            <w:r/>
            <w:r>
              <w:rPr>
                <w:b w:val="0"/>
                <w:i w:val="0"/>
              </w:rPr>
              <w:t>Comprobar mínimos y menciones obligatorias de esa familia</w:t>
            </w:r>
          </w:p>
        </w:tc>
        <w:tc>
          <w:tcPr>
            <w:tcW w:type="dxa" w:w="3249"/>
          </w:tcPr>
          <w:p>
            <w:r/>
            <w:r>
              <w:rPr>
                <w:b w:val="0"/>
                <w:i w:val="0"/>
              </w:rPr>
              <w:t>Si cae dentro de una denominación que ya has resuelto</w:t>
            </w:r>
          </w:p>
        </w:tc>
      </w:tr>
      <w:tr>
        <w:tc>
          <w:tcPr>
            <w:tcW w:type="dxa" w:w="3249"/>
          </w:tcPr>
          <w:p>
            <w:r/>
            <w:r>
              <w:rPr>
                <w:b w:val="0"/>
                <w:i w:val="0"/>
              </w:rPr>
              <w:t>Un hueco en la vitrina</w:t>
            </w:r>
          </w:p>
        </w:tc>
        <w:tc>
          <w:tcPr>
            <w:tcW w:type="dxa" w:w="3249"/>
          </w:tcPr>
          <w:p>
            <w:r/>
            <w:r>
              <w:rPr>
                <w:b w:val="0"/>
                <w:i w:val="0"/>
              </w:rPr>
              <w:t>Menos espacio para lo que sí rota</w:t>
            </w:r>
          </w:p>
        </w:tc>
        <w:tc>
          <w:tcPr>
            <w:tcW w:type="dxa" w:w="3249"/>
          </w:tcPr>
          <w:p>
            <w:r/>
            <w:r>
              <w:rPr>
                <w:b w:val="0"/>
                <w:i w:val="0"/>
              </w:rPr>
              <w:t>Si sube el ticket medio o abre una ocasión de compra nueva</w:t>
            </w:r>
          </w:p>
        </w:tc>
      </w:tr>
    </w:tbl>
    <w:p/>
    <w:p>
      <w:pPr>
        <w:jc w:val="center"/>
      </w:pPr>
      <w:r>
        <w:rPr>
          <w:i/>
          <w:color w:val="444444"/>
        </w:rPr>
        <w:t>La carta del caso modelado tiene veintiocho referencias en cinco familias, y es un supuesto declarado: lo que se lleva el lector es el criterio, no el número.</w:t>
      </w:r>
    </w:p>
    <w:p>
      <w:r>
        <w:br w:type="page"/>
      </w:r>
    </w:p>
    <w:p>
      <w:pPr>
        <w:pStyle w:val="Heading1"/>
      </w:pPr>
      <w:r>
        <w:t>4. Vender la Caja o la Unidad</w:t>
      </w:r>
    </w:p>
    <w:p>
      <w:pPr>
        <w:pStyle w:val="Heading2"/>
      </w:pPr>
      <w:r>
        <w:t>El contexto de la decisión</w:t>
      </w:r>
    </w:p>
    <w:p>
      <w:r>
        <w:rPr>
          <w:b w:val="0"/>
          <w:i w:val="0"/>
        </w:rPr>
        <w:t>El error de mostrador más repetido con la caja de bombones es ponerle un precio redondo a cada formato -una cifra cerrada a la de doce, otra a la de veinte, otra a la de treinta y cinco- sin sentarse antes a mirar qué descuento por bombón esconde cada salto de tamaño. La caja no es «el mismo bombón, repetido varias veces»: tiene su propio coste (costo) de montaje y de packaging, y ese coste no crece al mismo ritmo que el número de piezas que contiene. Por eso el precio por bombón dentro de la caja grande puede quedar muy por debajo del que se cobra cuando el bombón se vende suelto, y casi nadie hace esa cuenta antes de fijar el precio de venta al público.</w:t>
      </w:r>
    </w:p>
    <w:p>
      <w:r>
        <w:rPr>
          <w:b w:val="0"/>
          <w:i w:val="0"/>
        </w:rPr>
        <w:t>Se ve con un ejemplo real de mercado, sin necesidad de inventar nada: una bombonería que publica su escalera de precios -caja de 12 unidades a 20,00 € (1,67 €/ud), caja de 20 unidades a 28,00 € (1,40 €/ud) y caja de 35 unidades a 45,00 € (1,29 €/ud)- deja caer el precio por bombón un 23 % entre el formato pequeño y el grande, según los precios que publica «Confitería Gascón» (2026-09-12). Esa página no publica el peso de cada caja, así que no se puede sacar un precio por kilo, y tampoco declara si esos importes llevan el impuesto incluido; se cita tal cual, con esa limitación por delante.</w:t>
      </w:r>
    </w:p>
    <w:p>
      <w:pPr>
        <w:pStyle w:val="Heading2"/>
      </w:pPr>
      <w:r>
        <w:t>Las opciones sobre la mesa</w:t>
      </w:r>
    </w:p>
    <w:p>
      <w:r>
        <w:rPr>
          <w:b w:val="0"/>
          <w:i w:val="0"/>
        </w:rPr>
        <w:t>Hay tres maneras razonables de construir la escalera de precios, y ninguna es automáticamente la correcta:</w:t>
      </w:r>
    </w:p>
    <w:p>
      <w:pPr>
        <w:pStyle w:val="ListBullet"/>
      </w:pPr>
      <w:r>
        <w:rPr>
          <w:b w:val="0"/>
          <w:i w:val="0"/>
        </w:rPr>
        <w:t>Opción A: precio por caja con descuento creciente por tamaño -cuanto más grande la caja, más barato el bombón dentro-. Es el modelo más extendido y el que sigue el ejemplo de mercado citado arriba.</w:t>
      </w:r>
    </w:p>
    <w:p>
      <w:pPr>
        <w:pStyle w:val="ListBullet"/>
      </w:pPr>
      <w:r>
        <w:rPr>
          <w:b w:val="0"/>
          <w:i w:val="0"/>
        </w:rPr>
        <w:t>Opción B: precio por bombón igual en todos los formatos, y la caja como envase que se cobra aparte, con su propio coste de packaging sumado al final.</w:t>
      </w:r>
    </w:p>
    <w:p>
      <w:pPr>
        <w:pStyle w:val="ListBullet"/>
      </w:pPr>
      <w:r>
        <w:rPr>
          <w:b w:val="0"/>
          <w:i w:val="0"/>
        </w:rPr>
        <w:t>Opción C: caja pequeña sin descuento -se vende al mismo precio por bombón que la pieza suelta- y descuento reservado sólo para la caja grande, como gesto comercial hacia quien compra más.</w:t>
      </w:r>
    </w:p>
    <w:p>
      <w:r>
        <w:rPr>
          <w:b w:val="0"/>
          <w:i w:val="0"/>
        </w:rPr>
        <w:t>Lo que cambia entre las tres no es sólo el número final del ticket: cambia el ticket medio, cambia el margen en euros que deja cada operación de mostrador, y cambia la percepción de regalo, que es -seamos honestos- lo que de verdad compra el cliente cuando pide una caja y no tres bombones sueltos metidos en una bolsa. Una caja que no lleva ningún gesto de descuento se nota, y se nota mal, en el momento de pagar.</w:t>
      </w:r>
    </w:p>
    <w:p>
      <w:pPr>
        <w:pStyle w:val="Heading2"/>
      </w:pPr>
      <w:r>
        <w:t>El criterio con el que se decide</w:t>
      </w:r>
    </w:p>
    <w:p>
      <w:r>
        <w:rPr>
          <w:b w:val="0"/>
          <w:i w:val="0"/>
        </w:rPr>
        <w:t>La regla que zanja la elección es siempre la misma, y conviene repetírsela cada vez que se toca un precio de caja: se decide con el margen en EUROS por operación, no con el porcentaje de margen. Una caja puede tener un porcentaje peor que la venta de bombones sueltos y, aun así, dejar más euros en caja en una sola venta, porque mueve más piezas de golpe.</w:t>
      </w:r>
    </w:p>
    <w:p>
      <w:r>
        <w:rPr>
          <w:b w:val="0"/>
          <w:i w:val="0"/>
        </w:rPr>
        <w:t>Y aquí hay que mirar de frente un dato incómodo: comparada con vender esos mismos bombones sueltos, la caja deja menos margen. No es un fallo del modelo ni un error de precio: es un descuento por volumen que el cliente no percibe como descuento -lo vive como un detalle de presentación-, y hay razones comerciales sólidas para concedérselo: sube el ticket, entra en el terreno del regalo, que tiene menos resistencia al precio que la compra de impulso, y produce una venta que en formato suelto probablemente no se habría dado.</w:t>
      </w:r>
    </w:p>
    <w:p>
      <w:r>
        <w:rPr>
          <w:b w:val="0"/>
          <w:i w:val="0"/>
        </w:rPr>
        <w:t>Con las cifras del propio negocio delante: el precio por bombón dentro de la caja de doce, con IVA, es de 1,67 €, y dentro de la caja de treinta y cinco baja a 1,29 €. Eso supone un descuento implícito del 16,8 % en la caja de doce y del 36,4 % en la de treinta y cinco. El coste total de montar la caja de doce es de 7,57 € y su margen es de 10,61 €; la caja de treinta y cinco cuesta 21,54 € de montar y deja un margen de 19,37 €. La caja grande, con peor porcentaje de margen, sigue dejando más euros por operación que la pequeña, que es justo el argumento que sostiene esta decisión.</w:t>
      </w:r>
    </w:p>
    <w:p>
      <w:pPr>
        <w:pStyle w:val="Heading2"/>
      </w:pPr>
      <w:r>
        <w:t>La celda que lo resuelve</w:t>
      </w:r>
    </w:p>
    <w:p>
      <w:r>
        <w:rPr>
          <w:b w:val="0"/>
          <w:i w:val="0"/>
        </w:rPr>
        <w:t>La hoja «Unidad vs Caja» de carta-de-apertura-y-escandallo-chocolate.xlsx pone las dos cifras una al lado de la otra: el margen que deja la caja tal como está montada, y el margen que dejarían esos mismos bombones si se vendieran sueltos, uno a uno. Es la comparación que responde a la pregunta real, que no es «¿gano dinero con la caja?» sino «¿gano más o menos que vendiéndolos sueltos, y me compensa la diferencia?». La misma hoja da el precio por bombón dentro de cada formato, que es la cifra que hay que sacar a la calle y comparar contra lo que cobra la competencia antes de decidir cuánto descuento conceder.</w:t>
      </w:r>
    </w:p>
    <w:p>
      <w:r>
        <w:rPr>
          <w:b w:val="0"/>
          <w:i w:val="0"/>
        </w:rPr>
        <w:t>La recomendación, para quien abre con esta decisión todavía sin resolver, es partir de la opción A -descuento creciente por tamaño-, porque es la que el cliente reconoce sin necesidad de explicación y la que ya funciona en el ejemplo de mercado citado más arriba. La condición que la haría cambiar es sencilla de vigilar en la propia hoja: si el margen en euros de la caja grande cae por debajo del de la pequeña -el margen en euros, no el porcentaje-, ha llegado el momento de recortar el descuento de esa caja o de replantear qué surtido va dentro, no de subir el precio de toda la carta.</w:t>
      </w:r>
    </w:p>
    <w:p>
      <w:pPr>
        <w:pStyle w:val="Heading2"/>
      </w:pPr>
      <w:r>
        <w:t>La norma que aplica cuando la hay</w:t>
      </w:r>
    </w:p>
    <w:p>
      <w:r>
        <w:rPr>
          <w:b w:val="0"/>
          <w:i w:val="0"/>
        </w:rPr>
        <w:t>Aquí sí hay una norma que casi nadie asocia a esta decisión de mostrador, y conviene tenerla presente antes de montar la caja surtida: el apartado 6, letras a y c, del RD 1055/2003 permite que, en los surtidos que mezclan las denominaciones de los apartados 1.6 a 1.10 y 1.13, éstas se sustituyan por las de surtido -chocolates surtidos o chocolates rellenos surtidos-, y que «podrá haber una única lista de ingredientes para el conjunto de productos que compongan el surtido», en vez de tener que declarar cada denominación por separado dentro de la misma caja (comprobado el 12 de septiembre de 2026).</w:t>
      </w:r>
    </w:p>
    <w:p>
      <w:r>
        <w:rPr>
          <w:b w:val="0"/>
          <w:i w:val="0"/>
        </w:rPr>
        <w:t>Y hay una segunda condición, esta vez de vida útil y no de etiquetado, que limita directamente qué se puede meter en una caja de regalo: la caja entera caduca cuando caduca la pieza más corta que lleva dentro. Meter un bombón de vida corta junto a piezas de vida larga no alarga la vida de la pieza corta; acorta la vida útil de toda la caja a la de su eslabón más débil, y eso hay que tenerlo en cuenta antes de decidir el surtido de apertura, no después de haberlo vendido.</w:t>
      </w:r>
    </w:p>
    <w:p>
      <w:r>
        <w:rPr>
          <w:b/>
          <w:i w:val="0"/>
        </w:rPr>
        <w:t>Precio por bombón y margen de cada formato de caja (carta-de-apertura-y-escandallo-chocolate.xlsx, hoja «Unidad vs Caja»)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Caja de 12</w:t>
            </w:r>
          </w:p>
        </w:tc>
        <w:tc>
          <w:tcPr>
            <w:tcW w:type="dxa" w:w="1949"/>
          </w:tcPr>
          <w:p>
            <w:r/>
            <w:r>
              <w:rPr>
                <w:b/>
                <w:i w:val="0"/>
              </w:rPr>
              <w:t>Caja de 20</w:t>
            </w:r>
          </w:p>
        </w:tc>
        <w:tc>
          <w:tcPr>
            <w:tcW w:type="dxa" w:w="1949"/>
          </w:tcPr>
          <w:p>
            <w:r/>
            <w:r>
              <w:rPr>
                <w:b/>
                <w:i w:val="0"/>
              </w:rPr>
              <w:t>Caja de 35</w:t>
            </w:r>
          </w:p>
        </w:tc>
        <w:tc>
          <w:tcPr>
            <w:tcW w:type="dxa" w:w="1949"/>
          </w:tcPr>
          <w:p>
            <w:r/>
            <w:r>
              <w:rPr>
                <w:b/>
                <w:i w:val="0"/>
              </w:rPr>
              <w:t>Estuche corporativo de 24</w:t>
            </w:r>
          </w:p>
        </w:tc>
      </w:tr>
      <w:tr>
        <w:tc>
          <w:tcPr>
            <w:tcW w:type="dxa" w:w="1949"/>
          </w:tcPr>
          <w:p>
            <w:r/>
            <w:r>
              <w:rPr>
                <w:b w:val="0"/>
                <w:i w:val="0"/>
              </w:rPr>
              <w:t>Precio por bombón EN CAJA, con IVA (EUR)</w:t>
            </w:r>
          </w:p>
        </w:tc>
        <w:tc>
          <w:tcPr>
            <w:tcW w:type="dxa" w:w="1949"/>
          </w:tcPr>
          <w:p>
            <w:r/>
            <w:r>
              <w:rPr>
                <w:b w:val="0"/>
                <w:i w:val="0"/>
              </w:rPr>
              <w:t>1,67 €</w:t>
            </w:r>
          </w:p>
        </w:tc>
        <w:tc>
          <w:tcPr>
            <w:tcW w:type="dxa" w:w="1949"/>
          </w:tcPr>
          <w:p>
            <w:r/>
            <w:r>
              <w:rPr>
                <w:b w:val="0"/>
                <w:i w:val="0"/>
              </w:rPr>
              <w:t>1,40 €</w:t>
            </w:r>
          </w:p>
        </w:tc>
        <w:tc>
          <w:tcPr>
            <w:tcW w:type="dxa" w:w="1949"/>
          </w:tcPr>
          <w:p>
            <w:r/>
            <w:r>
              <w:rPr>
                <w:b w:val="0"/>
                <w:i w:val="0"/>
              </w:rPr>
              <w:t>1,29 €</w:t>
            </w:r>
          </w:p>
        </w:tc>
        <w:tc>
          <w:tcPr>
            <w:tcW w:type="dxa" w:w="1949"/>
          </w:tcPr>
          <w:p>
            <w:r/>
            <w:r>
              <w:rPr>
                <w:b w:val="0"/>
                <w:i w:val="0"/>
              </w:rPr>
              <w:t>1,42 €</w:t>
            </w:r>
          </w:p>
        </w:tc>
      </w:tr>
      <w:tr>
        <w:tc>
          <w:tcPr>
            <w:tcW w:type="dxa" w:w="1949"/>
          </w:tcPr>
          <w:p>
            <w:r/>
            <w:r>
              <w:rPr>
                <w:b w:val="0"/>
                <w:i w:val="0"/>
              </w:rPr>
              <w:t>Precio por bombón SUELTO, con IVA (EUR)</w:t>
            </w:r>
          </w:p>
        </w:tc>
        <w:tc>
          <w:tcPr>
            <w:tcW w:type="dxa" w:w="1949"/>
          </w:tcPr>
          <w:p>
            <w:r/>
            <w:r>
              <w:rPr>
                <w:b w:val="0"/>
                <w:i w:val="0"/>
              </w:rPr>
              <w:t>2,00 €</w:t>
            </w:r>
          </w:p>
        </w:tc>
        <w:tc>
          <w:tcPr>
            <w:tcW w:type="dxa" w:w="1949"/>
          </w:tcPr>
          <w:p>
            <w:r/>
            <w:r>
              <w:rPr>
                <w:b w:val="0"/>
                <w:i w:val="0"/>
              </w:rPr>
              <w:t>2,02 €</w:t>
            </w:r>
          </w:p>
        </w:tc>
        <w:tc>
          <w:tcPr>
            <w:tcW w:type="dxa" w:w="1949"/>
          </w:tcPr>
          <w:p>
            <w:r/>
            <w:r>
              <w:rPr>
                <w:b w:val="0"/>
                <w:i w:val="0"/>
              </w:rPr>
              <w:t>2,02 €</w:t>
            </w:r>
          </w:p>
        </w:tc>
        <w:tc>
          <w:tcPr>
            <w:tcW w:type="dxa" w:w="1949"/>
          </w:tcPr>
          <w:p>
            <w:r/>
            <w:r>
              <w:rPr>
                <w:b w:val="0"/>
                <w:i w:val="0"/>
              </w:rPr>
              <w:t>2,02 €</w:t>
            </w:r>
          </w:p>
        </w:tc>
      </w:tr>
      <w:tr>
        <w:tc>
          <w:tcPr>
            <w:tcW w:type="dxa" w:w="1949"/>
          </w:tcPr>
          <w:p>
            <w:r/>
            <w:r>
              <w:rPr>
                <w:b w:val="0"/>
                <w:i w:val="0"/>
              </w:rPr>
              <w:t>Contraste de mercado: EUR por bombón publicado (CHS-29)</w:t>
            </w:r>
          </w:p>
        </w:tc>
        <w:tc>
          <w:tcPr>
            <w:tcW w:type="dxa" w:w="1949"/>
          </w:tcPr>
          <w:p>
            <w:r/>
            <w:r>
              <w:rPr>
                <w:b w:val="0"/>
                <w:i w:val="0"/>
              </w:rPr>
              <w:t>1,67 €</w:t>
            </w:r>
          </w:p>
        </w:tc>
        <w:tc>
          <w:tcPr>
            <w:tcW w:type="dxa" w:w="1949"/>
          </w:tcPr>
          <w:p>
            <w:r/>
            <w:r>
              <w:rPr>
                <w:b w:val="0"/>
                <w:i w:val="0"/>
              </w:rPr>
              <w:t>1,40 €</w:t>
            </w:r>
          </w:p>
        </w:tc>
        <w:tc>
          <w:tcPr>
            <w:tcW w:type="dxa" w:w="1949"/>
          </w:tcPr>
          <w:p>
            <w:r/>
            <w:r>
              <w:rPr>
                <w:b w:val="0"/>
                <w:i w:val="0"/>
              </w:rPr>
              <w:t>1,29 €</w:t>
            </w:r>
          </w:p>
        </w:tc>
        <w:tc>
          <w:tcPr>
            <w:tcW w:type="dxa" w:w="1949"/>
          </w:tcPr>
          <w:p>
            <w:r/>
            <w:r>
              <w:rPr>
                <w:b w:val="0"/>
                <w:i w:val="0"/>
              </w:rPr>
              <w:t>sin dato publicado</w:t>
            </w:r>
          </w:p>
        </w:tc>
      </w:tr>
      <w:tr>
        <w:tc>
          <w:tcPr>
            <w:tcW w:type="dxa" w:w="1949"/>
          </w:tcPr>
          <w:p>
            <w:r/>
            <w:r>
              <w:rPr>
                <w:b w:val="0"/>
                <w:i w:val="0"/>
              </w:rPr>
              <w:t>MARGEN DE LA CAJA (EUR)</w:t>
            </w:r>
          </w:p>
        </w:tc>
        <w:tc>
          <w:tcPr>
            <w:tcW w:type="dxa" w:w="1949"/>
          </w:tcPr>
          <w:p>
            <w:r/>
            <w:r>
              <w:rPr>
                <w:b w:val="0"/>
                <w:i w:val="0"/>
              </w:rPr>
              <w:t>10,61 €</w:t>
            </w:r>
          </w:p>
        </w:tc>
        <w:tc>
          <w:tcPr>
            <w:tcW w:type="dxa" w:w="1949"/>
          </w:tcPr>
          <w:p>
            <w:r/>
            <w:r>
              <w:rPr>
                <w:b w:val="0"/>
                <w:i w:val="0"/>
              </w:rPr>
              <w:t>12,94 €</w:t>
            </w:r>
          </w:p>
        </w:tc>
        <w:tc>
          <w:tcPr>
            <w:tcW w:type="dxa" w:w="1949"/>
          </w:tcPr>
          <w:p>
            <w:r/>
            <w:r>
              <w:rPr>
                <w:b w:val="0"/>
                <w:i w:val="0"/>
              </w:rPr>
              <w:t>19,37 €</w:t>
            </w:r>
          </w:p>
        </w:tc>
        <w:tc>
          <w:tcPr>
            <w:tcW w:type="dxa" w:w="1949"/>
          </w:tcPr>
          <w:p>
            <w:r/>
            <w:r>
              <w:rPr>
                <w:b w:val="0"/>
                <w:i w:val="0"/>
              </w:rPr>
              <w:t>14,76 €</w:t>
            </w:r>
          </w:p>
        </w:tc>
      </w:tr>
      <w:tr>
        <w:tc>
          <w:tcPr>
            <w:tcW w:type="dxa" w:w="1949"/>
          </w:tcPr>
          <w:p>
            <w:r/>
            <w:r>
              <w:rPr>
                <w:b w:val="0"/>
                <w:i w:val="0"/>
              </w:rPr>
              <w:t>Margen vendiendo esos mismos bombones sueltos (EUR)</w:t>
            </w:r>
          </w:p>
        </w:tc>
        <w:tc>
          <w:tcPr>
            <w:tcW w:type="dxa" w:w="1949"/>
          </w:tcPr>
          <w:p>
            <w:r/>
            <w:r>
              <w:rPr>
                <w:b w:val="0"/>
                <w:i w:val="0"/>
              </w:rPr>
              <w:t>15,47 €</w:t>
            </w:r>
          </w:p>
        </w:tc>
        <w:tc>
          <w:tcPr>
            <w:tcW w:type="dxa" w:w="1949"/>
          </w:tcPr>
          <w:p>
            <w:r/>
            <w:r>
              <w:rPr>
                <w:b w:val="0"/>
                <w:i w:val="0"/>
              </w:rPr>
              <w:t>25,97 €</w:t>
            </w:r>
          </w:p>
        </w:tc>
        <w:tc>
          <w:tcPr>
            <w:tcW w:type="dxa" w:w="1949"/>
          </w:tcPr>
          <w:p>
            <w:r/>
            <w:r>
              <w:rPr>
                <w:b w:val="0"/>
                <w:i w:val="0"/>
              </w:rPr>
              <w:t>45,44 €</w:t>
            </w:r>
          </w:p>
        </w:tc>
        <w:tc>
          <w:tcPr>
            <w:tcW w:type="dxa" w:w="1949"/>
          </w:tcPr>
          <w:p>
            <w:r/>
            <w:r>
              <w:rPr>
                <w:b w:val="0"/>
                <w:i w:val="0"/>
              </w:rPr>
              <w:t>31,24 €</w:t>
            </w:r>
          </w:p>
        </w:tc>
      </w:tr>
      <w:tr>
        <w:tc>
          <w:tcPr>
            <w:tcW w:type="dxa" w:w="1949"/>
          </w:tcPr>
          <w:p>
            <w:r/>
            <w:r>
              <w:rPr>
                <w:b w:val="0"/>
                <w:i w:val="0"/>
              </w:rPr>
              <w:t>Diferencia de margen: la caja menos el suelto (EUR)</w:t>
            </w:r>
          </w:p>
        </w:tc>
        <w:tc>
          <w:tcPr>
            <w:tcW w:type="dxa" w:w="1949"/>
          </w:tcPr>
          <w:p>
            <w:r/>
            <w:r>
              <w:rPr>
                <w:b w:val="0"/>
                <w:i w:val="0"/>
              </w:rPr>
              <w:t>-4,86 €</w:t>
            </w:r>
          </w:p>
        </w:tc>
        <w:tc>
          <w:tcPr>
            <w:tcW w:type="dxa" w:w="1949"/>
          </w:tcPr>
          <w:p>
            <w:r/>
            <w:r>
              <w:rPr>
                <w:b w:val="0"/>
                <w:i w:val="0"/>
              </w:rPr>
              <w:t>-13,03 €</w:t>
            </w:r>
          </w:p>
        </w:tc>
        <w:tc>
          <w:tcPr>
            <w:tcW w:type="dxa" w:w="1949"/>
          </w:tcPr>
          <w:p>
            <w:r/>
            <w:r>
              <w:rPr>
                <w:b w:val="0"/>
                <w:i w:val="0"/>
              </w:rPr>
              <w:t>-26,07 €</w:t>
            </w:r>
          </w:p>
        </w:tc>
        <w:tc>
          <w:tcPr>
            <w:tcW w:type="dxa" w:w="1949"/>
          </w:tcPr>
          <w:p>
            <w:r/>
            <w:r>
              <w:rPr>
                <w:b w:val="0"/>
                <w:i w:val="0"/>
              </w:rPr>
              <w:t>-16,47 €</w:t>
            </w:r>
          </w:p>
        </w:tc>
      </w:tr>
      <w:tr>
        <w:tc>
          <w:tcPr>
            <w:tcW w:type="dxa" w:w="1949"/>
          </w:tcPr>
          <w:p>
            <w:r/>
            <w:r>
              <w:rPr>
                <w:b w:val="0"/>
                <w:i w:val="0"/>
              </w:rPr>
              <w:t>Veredicto</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r>
    </w:tbl>
    <w:p/>
    <w:p>
      <w:pPr>
        <w:jc w:val="center"/>
      </w:pPr>
      <w:r>
        <w:rPr>
          <w:i/>
          <w:color w:val="444444"/>
        </w:rPr>
        <w:t>Todas las cifras van en euros: por caja, salvo las dos filas de precio por bombón, que van por pieza. El descuento implícito de cada formato está en el texto, en porcentaje. El veredicto de la última fila no es una advertencia: es la decisión comercial que hay que tomar a la vista del margen en euros.</w:t>
      </w:r>
    </w:p>
    <w:p>
      <w:r>
        <w:br w:type="page"/>
      </w:r>
    </w:p>
    <w:p>
      <w:pPr>
        <w:pStyle w:val="Heading1"/>
      </w:pPr>
      <w:r>
        <w:t>5. Cobertura de Marca o Cobertura de Origen</w:t>
      </w:r>
    </w:p>
    <w:p>
      <w:pPr>
        <w:pStyle w:val="Heading2"/>
      </w:pPr>
      <w:r>
        <w:t>El contexto de la decisión</w:t>
      </w:r>
    </w:p>
    <w:p>
      <w:r>
        <w:rPr>
          <w:b w:val="0"/>
          <w:i w:val="0"/>
        </w:rPr>
        <w:t>El caso se repite en casi todas las aperturas: pruebas una cobertura de origen, notas la diferencia en boca frente a la cobertura de marca que llevabas hasta entonces y decides trabajar con ella para la referencia que más te ha convencido, sin llevar antes el precio al escandallo (costeo). Entre una cobertura profesional de marca y una de origen hay un factor que multiplica el coste (costo) de materia de cada pieza que la lleve, y ese factor no se nota en boca: se nota en el margen del mes siguiente, cuando ya has vendido cien piezas con el precio antiguo y el coste nuevo.</w:t>
      </w:r>
    </w:p>
    <w:p>
      <w:r>
        <w:rPr>
          <w:b w:val="0"/>
          <w:i w:val="0"/>
        </w:rPr>
        <w:t>Lo que casi nadie hace antes de decidir es poner las dos coberturas una al lado de la otra en la misma unidad. Una cobertura profesional de marca tipo Callebaut 811, negro 54,5 %, se compra en bloque de 5 kg a 125,08 € con el impuesto ya incluido en la ficha (Planeta Torta, 2026-09-12) -rebajada desde 136,48 €-, lo que equivale a 25,02 € el kilo. Una cobertura de origen tipo Valrhona en pepitas se compra en formato de 400 g a 14,99 € (Club del Chocolate, 2026-09-12), lo que equivale a 37,48 € el kilo, un precio cuya ficha no declara la base de impuesto y que por eso se maneja como dato abierto. El matiz importa: el precio de la marca lo declara su fuente con el impuesto ya dentro, así que antes de meterlo en el mismo escandallo hay que pasarlo a base imponible -22,75 €-, porque mezclar una base con impuesto y otra sin él en el mismo cociente infla el coste de materia sin que hayas comprado nada más caro.</w:t>
      </w:r>
    </w:p>
    <w:p>
      <w:pPr>
        <w:pStyle w:val="Heading2"/>
      </w:pPr>
      <w:r>
        <w:t>Las opciones sobre la mesa</w:t>
      </w:r>
    </w:p>
    <w:p>
      <w:r>
        <w:rPr>
          <w:b w:val="0"/>
          <w:i w:val="0"/>
        </w:rPr>
        <w:t>Sobre la mesa hay tres formas de resolver esta decisión, no dos:</w:t>
      </w:r>
    </w:p>
    <w:p>
      <w:pPr>
        <w:pStyle w:val="ListBullet"/>
      </w:pPr>
      <w:r>
        <w:rPr>
          <w:b w:val="0"/>
          <w:i w:val="0"/>
        </w:rPr>
        <w:t>Opción A: una sola cobertura de marca para toda la carta, del bombón a la tableta (barra).</w:t>
      </w:r>
    </w:p>
    <w:p>
      <w:pPr>
        <w:pStyle w:val="ListBullet"/>
      </w:pPr>
      <w:r>
        <w:rPr>
          <w:b w:val="0"/>
          <w:i w:val="0"/>
        </w:rPr>
        <w:t>Opción B: cobertura de origen en toda la carta, sin excepción.</w:t>
      </w:r>
    </w:p>
    <w:p>
      <w:pPr>
        <w:pStyle w:val="ListBullet"/>
      </w:pPr>
      <w:r>
        <w:rPr>
          <w:b w:val="0"/>
          <w:i w:val="0"/>
        </w:rPr>
        <w:t>Opción C: la cobertura de marca como base de toda la producción y la de origen reservada a la línea de tabletas y a la referencia de firma de la casa.</w:t>
      </w:r>
    </w:p>
    <w:p>
      <w:r>
        <w:rPr>
          <w:b w:val="0"/>
          <w:i w:val="0"/>
        </w:rPr>
        <w:t>Lo que cambia entre las tres no es sólo el coste de materia por pieza: cambia el precio de venta que tienes que sostener en mostrador, cambia cuánto expone cada carta a una subida del cacao -si toda la producción lleva la cobertura cara, toda la producción se mueve a la vez cuando sube-, y cambia el discurso frente al cliente: no es lo mismo explicar una tableta de origen puntual que justificar que todo el surtido se ha encarecido a la vez.</w:t>
      </w:r>
    </w:p>
    <w:p>
      <w:pPr>
        <w:pStyle w:val="Heading2"/>
      </w:pPr>
      <w:r>
        <w:t>El criterio con el que se decide</w:t>
      </w:r>
    </w:p>
    <w:p>
      <w:r>
        <w:rPr>
          <w:b w:val="0"/>
          <w:i w:val="0"/>
        </w:rPr>
        <w:t>La regla que aplicamos es que la decisión se toma por referencia, no por casa entera. La cobertura cara tiene sentido donde el cliente puede notarla de verdad y donde el precio de venta puede subir para pagarla: una tableta de origen, una pieza de firma. En un bombón relleno, en cambio, la cobertura es una capa fina alrededor de un relleno que ocupa la mayor parte del peso y del sabor, así que buena parte de lo que has pagado de más se queda tapada dentro.</w:t>
      </w:r>
    </w:p>
    <w:p>
      <w:r>
        <w:rPr>
          <w:b w:val="0"/>
          <w:i w:val="0"/>
        </w:rPr>
        <w:t>Y hay un filtro de riesgo que va antes que el de gusto: la referencia que más cobertura lleva por pieza es también la primera que se rompe cuando sube el cacao. Poner ahí la cobertura de origen concentra todo el riesgo de la subida en la misma pieza en vez de repartirlo por la carta. Por eso la recomendación por defecto es la opción C: marca como base de toda la producción, origen sólo donde el cliente lo nota y donde hay margen para subir el precio sin perder venta. Esa recomendación cambia si tu propuesta de negocio es, desde el primer día, una casa cien por cien de origen: entonces la opción B deja de ser un riesgo mal repartido y pasa a ser el posicionamiento de la marca.</w:t>
      </w:r>
    </w:p>
    <w:p>
      <w:pPr>
        <w:pStyle w:val="Heading2"/>
      </w:pPr>
      <w:r>
        <w:t>La celda que lo resuelve</w:t>
      </w:r>
    </w:p>
    <w:p>
      <w:r>
        <w:rPr>
          <w:b w:val="0"/>
          <w:i w:val="0"/>
        </w:rPr>
        <w:t>Esto no se decide a ojo. La hoja «Coste de Cobertura» del libro de sensibilidad al precio del cacao da el coste de cobertura por pieza de cada referencia de tu carta y el food cost de materia que produce con la cobertura que le hayas asignado. Para la tableta de chocolate negro de origen al 70 %, de 100 g, esa hoja da un coste de cobertura por pieza de 3,75 € y un food cost de materia del 48,5 %: son los números que hay que mirar antes de decidir si esa pieza lleva marca u origen, no la sensación de la cata.</w:t>
      </w:r>
    </w:p>
    <w:p>
      <w:r>
        <w:rPr>
          <w:b w:val="0"/>
          <w:i w:val="0"/>
        </w:rPr>
        <w:t>La hoja «Repercusión al PVP» del mismo libro completa la decisión: dice qué referencia se rompe primero si sube el cacao y qué subida aguanta cada una antes de pasarse del food cost máximo que te hayas fijado. La que primero se rompe es precisamente esa misma tableta de chocolate negro de origen al 70 %, de 100 g: es la candidata a vigilar de cerca, no la que puedes olvidar una vez fijado el precio de venta. La tabla siguiente reúne las cuatro coberturas del caso en las dos bases de precio, para comparar de un vistazo antes de asignar una cobertura a cada línea de tu carta.</w:t>
      </w:r>
    </w:p>
    <w:p>
      <w:pPr>
        <w:pStyle w:val="Heading2"/>
      </w:pPr>
      <w:r>
        <w:t>La norma que aplica cuando la hay</w:t>
      </w:r>
    </w:p>
    <w:p>
      <w:r>
        <w:rPr>
          <w:b w:val="0"/>
          <w:i w:val="0"/>
        </w:rPr>
        <w:t>La norma no te obliga a trabajar con una cobertura ni con otra: eso es una decisión comercial tuya. Lo que sí condiciona es lo que puedes escribir en la etiqueta y en el cartel de mostrador una vez elegida. El RD 1055/2003, de 1 de agosto, fija que el chocolate, el chocolate con leche y la cobertura de chocolate sólo pueden completarse con una mención de calidad por encima de unos umbrales reforzados -43 % de materia seca total de cacao y 26 % de manteca en el negro, 30/18/4,5 en el de leche y 16 % de desgrasada en la cobertura- (comprobado el 12 de septiembre de 2026). El mínimo para llamarse chocolate es otro y más bajo: el del apartado 1.6. La norma no da una lista de palabras autorizadas -«fino», «superior» y «extra» no aparecen en su texto-: lo que autoriza son menciones o calificativos referentes a criterios de calidad, y sólo sobre esas tres denominaciones y por encima de esos umbrales reforzados.</w:t>
      </w:r>
    </w:p>
    <w:p>
      <w:r>
        <w:rPr>
          <w:b w:val="0"/>
          <w:i w:val="0"/>
        </w:rPr>
        <w:t>Y hay tres magnitudes que ninguna ficha de proveedor publica por defecto: la materia seca total, la manteca y la parte desgrasada de esa materia seca. Si tu discurso de mostrador se apoya en la calidad de la cobertura para justificar el precio, esas tres cifras se piden al proveedor antes de escribir nada, porque son las que sostienen la mención, no la marca de la bolsa.</w:t>
      </w:r>
    </w:p>
    <w:p>
      <w:r>
        <w:rPr>
          <w:b/>
          <w:i w:val="0"/>
        </w:rPr>
        <w:t>Las cuatro coberturas del caso, en las dos bases de precio (sensibilidad-al-precio-del-cacao.xlsx, hoja «Coste de Cobertura»)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Cobertura</w:t>
            </w:r>
          </w:p>
        </w:tc>
        <w:tc>
          <w:tcPr>
            <w:tcW w:type="dxa" w:w="1949"/>
          </w:tcPr>
          <w:p>
            <w:r/>
            <w:r>
              <w:rPr>
                <w:b/>
                <w:i w:val="0"/>
              </w:rPr>
              <w:t>Formato de compra</w:t>
            </w:r>
          </w:p>
        </w:tc>
        <w:tc>
          <w:tcPr>
            <w:tcW w:type="dxa" w:w="1949"/>
          </w:tcPr>
          <w:p>
            <w:r/>
            <w:r>
              <w:rPr>
                <w:b/>
                <w:i w:val="0"/>
              </w:rPr>
              <w:t>Precio como lo trae la fuente (€/kg)</w:t>
            </w:r>
          </w:p>
        </w:tc>
        <w:tc>
          <w:tcPr>
            <w:tcW w:type="dxa" w:w="1949"/>
          </w:tcPr>
          <w:p>
            <w:r/>
            <w:r>
              <w:rPr>
                <w:b/>
                <w:i w:val="0"/>
              </w:rPr>
              <w:t>Base declarada por la fuente</w:t>
            </w:r>
          </w:p>
        </w:tc>
        <w:tc>
          <w:tcPr>
            <w:tcW w:type="dxa" w:w="1949"/>
          </w:tcPr>
          <w:p>
            <w:r/>
            <w:r>
              <w:rPr>
                <w:b/>
                <w:i w:val="0"/>
              </w:rPr>
              <w:t>Precio en base imponible (€/kg)</w:t>
            </w:r>
          </w:p>
        </w:tc>
      </w:tr>
      <w:tr>
        <w:tc>
          <w:tcPr>
            <w:tcW w:type="dxa" w:w="1949"/>
          </w:tcPr>
          <w:p>
            <w:r/>
            <w:r>
              <w:rPr>
                <w:b w:val="0"/>
                <w:i w:val="0"/>
              </w:rPr>
              <w:t>Cobertura de chocolate negro (marca, 54,5 % de cacao)</w:t>
            </w:r>
          </w:p>
        </w:tc>
        <w:tc>
          <w:tcPr>
            <w:tcW w:type="dxa" w:w="1949"/>
          </w:tcPr>
          <w:p>
            <w:r/>
            <w:r>
              <w:rPr>
                <w:b w:val="0"/>
                <w:i w:val="0"/>
              </w:rPr>
              <w:t>bloque de 5 kg a 125,08 euros</w:t>
            </w:r>
          </w:p>
        </w:tc>
        <w:tc>
          <w:tcPr>
            <w:tcW w:type="dxa" w:w="1949"/>
          </w:tcPr>
          <w:p>
            <w:r/>
            <w:r>
              <w:rPr>
                <w:b w:val="0"/>
                <w:i w:val="0"/>
              </w:rPr>
              <w:t>25,02 €</w:t>
            </w:r>
          </w:p>
        </w:tc>
        <w:tc>
          <w:tcPr>
            <w:tcW w:type="dxa" w:w="1949"/>
          </w:tcPr>
          <w:p>
            <w:r/>
            <w:r>
              <w:rPr>
                <w:b w:val="0"/>
                <w:i w:val="0"/>
              </w:rPr>
              <w:t>con IVA</w:t>
            </w:r>
          </w:p>
        </w:tc>
        <w:tc>
          <w:tcPr>
            <w:tcW w:type="dxa" w:w="1949"/>
          </w:tcPr>
          <w:p>
            <w:r/>
            <w:r>
              <w:rPr>
                <w:b w:val="0"/>
                <w:i w:val="0"/>
              </w:rPr>
              <w:t>22,75 €</w:t>
            </w:r>
          </w:p>
        </w:tc>
      </w:tr>
      <w:tr>
        <w:tc>
          <w:tcPr>
            <w:tcW w:type="dxa" w:w="1949"/>
          </w:tcPr>
          <w:p>
            <w:r/>
            <w:r>
              <w:rPr>
                <w:b w:val="0"/>
                <w:i w:val="0"/>
              </w:rPr>
              <w:t>Cobertura de chocolate de origen (70 % de cacao)</w:t>
            </w:r>
          </w:p>
        </w:tc>
        <w:tc>
          <w:tcPr>
            <w:tcW w:type="dxa" w:w="1949"/>
          </w:tcPr>
          <w:p>
            <w:r/>
            <w:r>
              <w:rPr>
                <w:b w:val="0"/>
                <w:i w:val="0"/>
              </w:rPr>
              <w:t>pepitas de 400 g a 14,99 euros</w:t>
            </w:r>
          </w:p>
        </w:tc>
        <w:tc>
          <w:tcPr>
            <w:tcW w:type="dxa" w:w="1949"/>
          </w:tcPr>
          <w:p>
            <w:r/>
            <w:r>
              <w:rPr>
                <w:b w:val="0"/>
                <w:i w:val="0"/>
              </w:rPr>
              <w:t>37,48 €</w:t>
            </w:r>
          </w:p>
        </w:tc>
        <w:tc>
          <w:tcPr>
            <w:tcW w:type="dxa" w:w="1949"/>
          </w:tcPr>
          <w:p>
            <w:r/>
            <w:r>
              <w:rPr>
                <w:b w:val="0"/>
                <w:i w:val="0"/>
              </w:rPr>
              <w:t>no declarada</w:t>
            </w:r>
          </w:p>
        </w:tc>
        <w:tc>
          <w:tcPr>
            <w:tcW w:type="dxa" w:w="1949"/>
          </w:tcPr>
          <w:p>
            <w:r/>
            <w:r>
              <w:rPr>
                <w:b w:val="0"/>
                <w:i w:val="0"/>
              </w:rPr>
              <w:t>37,48 €</w:t>
            </w:r>
          </w:p>
        </w:tc>
      </w:tr>
      <w:tr>
        <w:tc>
          <w:tcPr>
            <w:tcW w:type="dxa" w:w="1949"/>
          </w:tcPr>
          <w:p>
            <w:r/>
            <w:r>
              <w:rPr>
                <w:b w:val="0"/>
                <w:i w:val="0"/>
              </w:rPr>
              <w:t>Cobertura de chocolate con leche (38 % de cacao)</w:t>
            </w:r>
          </w:p>
        </w:tc>
        <w:tc>
          <w:tcPr>
            <w:tcW w:type="dxa" w:w="1949"/>
          </w:tcPr>
          <w:p>
            <w:r/>
            <w:r>
              <w:rPr>
                <w:b w:val="0"/>
                <w:i w:val="0"/>
              </w:rPr>
              <w:t>saco de 10 kg</w:t>
            </w:r>
          </w:p>
        </w:tc>
        <w:tc>
          <w:tcPr>
            <w:tcW w:type="dxa" w:w="1949"/>
          </w:tcPr>
          <w:p>
            <w:r/>
            <w:r>
              <w:rPr>
                <w:b w:val="0"/>
                <w:i w:val="0"/>
              </w:rPr>
              <w:t>19,50 €</w:t>
            </w:r>
          </w:p>
        </w:tc>
        <w:tc>
          <w:tcPr>
            <w:tcW w:type="dxa" w:w="1949"/>
          </w:tcPr>
          <w:p>
            <w:r/>
            <w:r>
              <w:rPr>
                <w:b w:val="0"/>
                <w:i w:val="0"/>
              </w:rPr>
              <w:t>sin IVA</w:t>
            </w:r>
          </w:p>
        </w:tc>
        <w:tc>
          <w:tcPr>
            <w:tcW w:type="dxa" w:w="1949"/>
          </w:tcPr>
          <w:p>
            <w:r/>
            <w:r>
              <w:rPr>
                <w:b w:val="0"/>
                <w:i w:val="0"/>
              </w:rPr>
              <w:t>19,50 €</w:t>
            </w:r>
          </w:p>
        </w:tc>
      </w:tr>
      <w:tr>
        <w:tc>
          <w:tcPr>
            <w:tcW w:type="dxa" w:w="1949"/>
          </w:tcPr>
          <w:p>
            <w:r/>
            <w:r>
              <w:rPr>
                <w:b w:val="0"/>
                <w:i w:val="0"/>
              </w:rPr>
              <w:t>Cobertura de chocolate blanco (30 % de cacao)</w:t>
            </w:r>
          </w:p>
        </w:tc>
        <w:tc>
          <w:tcPr>
            <w:tcW w:type="dxa" w:w="1949"/>
          </w:tcPr>
          <w:p>
            <w:r/>
            <w:r>
              <w:rPr>
                <w:b w:val="0"/>
                <w:i w:val="0"/>
              </w:rPr>
              <w:t>saco de 10 kg</w:t>
            </w:r>
          </w:p>
        </w:tc>
        <w:tc>
          <w:tcPr>
            <w:tcW w:type="dxa" w:w="1949"/>
          </w:tcPr>
          <w:p>
            <w:r/>
            <w:r>
              <w:rPr>
                <w:b w:val="0"/>
                <w:i w:val="0"/>
              </w:rPr>
              <w:t>21,00 €</w:t>
            </w:r>
          </w:p>
        </w:tc>
        <w:tc>
          <w:tcPr>
            <w:tcW w:type="dxa" w:w="1949"/>
          </w:tcPr>
          <w:p>
            <w:r/>
            <w:r>
              <w:rPr>
                <w:b w:val="0"/>
                <w:i w:val="0"/>
              </w:rPr>
              <w:t>sin IVA</w:t>
            </w:r>
          </w:p>
        </w:tc>
        <w:tc>
          <w:tcPr>
            <w:tcW w:type="dxa" w:w="1949"/>
          </w:tcPr>
          <w:p>
            <w:r/>
            <w:r>
              <w:rPr>
                <w:b w:val="0"/>
                <w:i w:val="0"/>
              </w:rPr>
              <w:t>21,00 €</w:t>
            </w:r>
          </w:p>
        </w:tc>
      </w:tr>
    </w:tbl>
    <w:p/>
    <w:p>
      <w:pPr>
        <w:jc w:val="center"/>
      </w:pPr>
      <w:r>
        <w:rPr>
          <w:i/>
          <w:color w:val="444444"/>
        </w:rPr>
        <w:t>El escandallo usa SIEMPRE la columna de base imponible. La primera fila viene declarada con impuesto incluido por su fuente: usarla tal cual sube el coste de materia casi un diez por ciento.</w:t>
      </w:r>
    </w:p>
    <w:p>
      <w:r>
        <w:br w:type="page"/>
      </w:r>
    </w:p>
    <w:p>
      <w:pPr>
        <w:pStyle w:val="Heading1"/>
      </w:pPr>
      <w:r>
        <w:t>6. Vitrina Refrigerada o Vitrina Climatizada</w:t>
      </w:r>
    </w:p>
    <w:p>
      <w:pPr>
        <w:pStyle w:val="Heading2"/>
      </w:pPr>
      <w:r>
        <w:t>El contexto de la decisión</w:t>
      </w:r>
    </w:p>
    <w:p>
      <w:r>
        <w:rPr>
          <w:b w:val="0"/>
          <w:i w:val="0"/>
        </w:rPr>
        <w:t>Muchos empiezan con la vitrina (exhibidor) que ya tenían o que compraron porque era lo que había en el catálogo del proveedor de siempre: una vitrina de pastelería, pensada para nata y crema. El resultado se nota al segundo día: el bombón suda al sacarlo, se blanquea dentro del propio mueble y pierde el brillo que se supone que tiene que vender. No es un fallo de producción ni de la cobertura, es que el chocolate trabaja en una ventana de temperatura estrecha por arriba y por abajo, y el relleno fresco de una pieza rellena trabaja en otra completamente distinta y bastante más baja. Meter las dos cosas en un solo mueble pensado en origen para un tercer producto, la pastelería, es la causa más repetida de vitrinas que decepcionan desde el primer mes. Esta decisión es sólo sobre la vitrina, no sobre la sala de tienda ni sobre la cámara de conservación: tienen su propia ventana y se resuelven en el capítulo del clima del obrador (taller o laboratorio). Aquí se decide un mueble muy concreto: el que enseña el producto al cliente y el que, mal elegido, se convierte en la fuente principal de merma por calidad.</w:t>
      </w:r>
    </w:p>
    <w:p>
      <w:pPr>
        <w:pStyle w:val="Heading2"/>
      </w:pPr>
      <w:r>
        <w:t>Las opciones sobre la mesa</w:t>
      </w:r>
    </w:p>
    <w:p>
      <w:r>
        <w:rPr>
          <w:b w:val="0"/>
          <w:i w:val="0"/>
        </w:rPr>
        <w:t>Sobre la mesa hay tres. La opción A es una vitrina específica para chocolate, templada y con control de humedad: un mueble para trabajar por encima de cero y con deshumidificación, que no condensa al abrirla. Un ejemplo real es la vitrina Docriluc WB-6-6-R / VVB-6-6-R para chocolates y bombones, de 600×730×1380 mm, con temperatura de trabajo de +14 °C a +17 °C -no los +2 °C a +4 °C de una vitrina de pastelería, que es justo lo que arruina el bombón por condensación, sugar bloom y pérdida de brillo-, con condensación y evaporación ventiladas. Su precio en oferta es de 2.684,99 € (antes 3.487,00 €, base sin impuesto declarada así por el propio fabricante), según «Equipo H» (2026-09-12). La opción B es la contraria: una vitrina de pastelería en frío positivo bajo, la que ya tienes o la que te ofrecen por defecto, que trabaja varios grados por debajo de lo que el chocolate tolera y es la que produce el caso típico del apartado anterior. La opción C es la mixta: vitrina templada para el bombón y una nevera aparte, ésa sí en frío, para lo que lleva relleno fresco. Entre las tres cambia el brillo en el mostrador, la condensación al despachar, la vida útil real de los rellenos y qué referencias puedes tener expuestas.</w:t>
      </w:r>
    </w:p>
    <w:p>
      <w:pPr>
        <w:pStyle w:val="Heading2"/>
      </w:pPr>
      <w:r>
        <w:t>El criterio con el que se decide</w:t>
      </w:r>
    </w:p>
    <w:p>
      <w:r>
        <w:rPr>
          <w:b w:val="0"/>
          <w:i w:val="0"/>
        </w:rPr>
        <w:t>La regla que decide esto no la pone el chocolate, la pone el relleno: una referencia con actividad de agua alta -una ganache fresca, una crema, una fruta- va a nevera aunque esté cubierta de chocolate por fuera, porque lo primero que se estropea no es la cobertura, es lo de dentro. Una tableta (barra), en cambio, aguanta perfectamente en una vitrina templada, porque no lleva nada que perder por el camino. El criterio de compra es el mismo sea cual sea la opción: se compara el rango de trabajo que declara el fabricante con el objetivo operativo que tú mismo te fijas, y se compra el equipo que cubre ese objetivo con margen, no el que lo roza por un grado. Comprar un mueble que trabaja justo en el límite de lo que necesitas es comprar un problema para el primer día de calor de verdad. La recomendación es la opción C para cualquier surtido con relleno fresco, que es el caso habitual de una bombonería con obrador: la vitrina templada se queda con el bombón y la tableta, y la nevera aparte se lleva lo perecedero. La condición que la cambia es que el surtido de apertura no lleve ninguna referencia de relleno fresco; entonces la opción A sola basta y la nevera aparte sobra.</w:t>
      </w:r>
    </w:p>
    <w:p>
      <w:pPr>
        <w:pStyle w:val="Heading2"/>
      </w:pPr>
      <w:r>
        <w:t>La celda que lo resuelve</w:t>
      </w:r>
    </w:p>
    <w:p>
      <w:r>
        <w:rPr>
          <w:b w:val="0"/>
          <w:i w:val="0"/>
        </w:rPr>
        <w:t>La hoja «Temperatura y Vitrina» de vida-util-rellenos-y-rotacion.xlsx fija el objetivo operativo de la vitrina del caso entre 16 °C y 18 °C, con un veredicto de «Dentro de lo que aguanta el chocolate». La alarma, en la hoja «Parámetros» del mismo libro, salta a partir de 20 °C, y la humedad máxima de trabajo de esa vitrina está fijada en 55 %. Sobre esos dos límites, la misma hoja cuenta cuántas referencias del surtido quedan por encima de la alarma -cero, en el caso modelado- y cuántas, por su relleno, van a la nevera en lugar de a la vitrina: seis. Ese reparto es la prueba de que la opción C no es una precaución de más, es lo que exige el propio surtido. El semáforo de esta hoja sólo avisa por encima del punto en el que la manteca de cacao empieza a sufrir; no pone en rojo el objetivo operativo que publica el Kit de Tareas Chocolatería, así que cualquier aviso que veas ahí es una alarma real y no un falso positivo por exceso de celo.</w:t>
      </w:r>
    </w:p>
    <w:p>
      <w:pPr>
        <w:pStyle w:val="Heading2"/>
      </w:pPr>
      <w:r>
        <w:t>La norma que aplica cuando la hay</w:t>
      </w:r>
    </w:p>
    <w:p>
      <w:r>
        <w:rPr>
          <w:b w:val="0"/>
          <w:i w:val="0"/>
        </w:rPr>
        <w:t>Aquí no hay una temperatura legal que citar, y es mejor decirlo así de claro que rellenar el hueco con normativa de adorno. La tabla del art. 4.1 del RD 1021/2022 (comprobado el 12 de septiembre de 2026) tiene once filas de temperaturas de conservación, y ninguna es de chocolate, de bombones ni de productos de cacao; «pastelería» aparece una sola vez, en la fila novena de esa misma tabla. Una búsqueda sobre el texto íntegro de la norma lo confirma de la forma más contundente posible: «chocolate», «cacao», «bombón» y «confitería» no aparecen ni una sola vez en sus veintidós artículos, y «repostería» aparece una única vez, en la letra b del art. 13.8. A los productos que no están en esa tabla les aplica en su lugar el art. 4.2 del RD 1021/2022: la temperatura de conservación la fija el operador que ha producido Y ENVASADO el producto, de acuerdo con lo establecido en su propio sistema de autocontrol. Eso resuelve la tableta que sale envasada con su etiqueta, con la temperatura declarada por quien la fabrica. No resuelve el bombón que despachas suelto ni la caja que montas delante del cliente: ahí no hay etiqueta ajena que citar, y la referencia legal es tu propio sistema de autocontrol, el mismo que ya usas para todo lo demás que sale del obrador.</w:t>
      </w:r>
    </w:p>
    <w:p>
      <w:r>
        <w:rPr>
          <w:b/>
          <w:i w:val="0"/>
        </w:rPr>
        <w:t>Las cinco ventanas del oficio, y cuál le toca a la vitrina (vida-util-rellenos-y-rotacion.xlsx, hoja «Temperatura y Vitrina»)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Zona</w:t>
            </w:r>
          </w:p>
        </w:tc>
        <w:tc>
          <w:tcPr>
            <w:tcW w:type="dxa" w:w="2436"/>
          </w:tcPr>
          <w:p>
            <w:r/>
            <w:r>
              <w:rPr>
                <w:b/>
                <w:i w:val="0"/>
              </w:rPr>
              <w:t>Temperatura objetivo</w:t>
            </w:r>
          </w:p>
        </w:tc>
        <w:tc>
          <w:tcPr>
            <w:tcW w:type="dxa" w:w="2436"/>
          </w:tcPr>
          <w:p>
            <w:r/>
            <w:r>
              <w:rPr>
                <w:b/>
                <w:i w:val="0"/>
              </w:rPr>
              <w:t>Humedad</w:t>
            </w:r>
          </w:p>
        </w:tc>
        <w:tc>
          <w:tcPr>
            <w:tcW w:type="dxa" w:w="2436"/>
          </w:tcPr>
          <w:p>
            <w:r/>
            <w:r>
              <w:rPr>
                <w:b/>
                <w:i w:val="0"/>
              </w:rPr>
              <w:t>De dónde sale</w:t>
            </w:r>
          </w:p>
        </w:tc>
      </w:tr>
      <w:tr>
        <w:tc>
          <w:tcPr>
            <w:tcW w:type="dxa" w:w="2436"/>
          </w:tcPr>
          <w:p>
            <w:r/>
            <w:r>
              <w:rPr>
                <w:b w:val="0"/>
                <w:i w:val="0"/>
              </w:rPr>
              <w:t>Obrador de templado y moldeado</w:t>
            </w:r>
          </w:p>
        </w:tc>
        <w:tc>
          <w:tcPr>
            <w:tcW w:type="dxa" w:w="2436"/>
          </w:tcPr>
          <w:p>
            <w:r/>
            <w:r>
              <w:rPr>
                <w:b w:val="0"/>
                <w:i w:val="0"/>
              </w:rPr>
              <w:t>18 a 20 °C</w:t>
            </w:r>
          </w:p>
        </w:tc>
        <w:tc>
          <w:tcPr>
            <w:tcW w:type="dxa" w:w="2436"/>
          </w:tcPr>
          <w:p>
            <w:r/>
            <w:r>
              <w:rPr>
                <w:b w:val="0"/>
                <w:i w:val="0"/>
              </w:rPr>
              <w:t>50 a 60 %</w:t>
            </w:r>
          </w:p>
        </w:tc>
        <w:tc>
          <w:tcPr>
            <w:tcW w:type="dxa" w:w="2436"/>
          </w:tcPr>
          <w:p>
            <w:r/>
            <w:r>
              <w:rPr>
                <w:b w:val="0"/>
                <w:i w:val="0"/>
              </w:rPr>
              <w:t>kit-tareas-chocolateria/08-apertura-cierre-negocio.xlsx, hoja «Apertura del Negocio»</w:t>
            </w:r>
          </w:p>
        </w:tc>
      </w:tr>
      <w:tr>
        <w:tc>
          <w:tcPr>
            <w:tcW w:type="dxa" w:w="2436"/>
          </w:tcPr>
          <w:p>
            <w:r/>
            <w:r>
              <w:rPr>
                <w:b w:val="0"/>
                <w:i w:val="0"/>
              </w:rPr>
              <w:t>Cámara de conservación de chocolate</w:t>
            </w:r>
          </w:p>
        </w:tc>
        <w:tc>
          <w:tcPr>
            <w:tcW w:type="dxa" w:w="2436"/>
          </w:tcPr>
          <w:p>
            <w:r/>
            <w:r>
              <w:rPr>
                <w:b w:val="0"/>
                <w:i w:val="0"/>
              </w:rPr>
              <w:t>15 a 18 °C</w:t>
            </w:r>
          </w:p>
        </w:tc>
        <w:tc>
          <w:tcPr>
            <w:tcW w:type="dxa" w:w="2436"/>
          </w:tcPr>
          <w:p>
            <w:r/>
            <w:r>
              <w:rPr>
                <w:b w:val="0"/>
                <w:i w:val="0"/>
              </w:rPr>
              <w:t>50 a 60 %</w:t>
            </w:r>
          </w:p>
        </w:tc>
        <w:tc>
          <w:tcPr>
            <w:tcW w:type="dxa" w:w="2436"/>
          </w:tcPr>
          <w:p>
            <w:r/>
            <w:r>
              <w:rPr>
                <w:b w:val="0"/>
                <w:i w:val="0"/>
              </w:rPr>
              <w:t>kit-tareas-chocolateria/01-apertura-cierre.xlsx, hoja «Apertura»</w:t>
            </w:r>
          </w:p>
        </w:tc>
      </w:tr>
      <w:tr>
        <w:tc>
          <w:tcPr>
            <w:tcW w:type="dxa" w:w="2436"/>
          </w:tcPr>
          <w:p>
            <w:r/>
            <w:r>
              <w:rPr>
                <w:b w:val="0"/>
                <w:i w:val="0"/>
              </w:rPr>
              <w:t>Nevera de rellenos y ganaches</w:t>
            </w:r>
          </w:p>
        </w:tc>
        <w:tc>
          <w:tcPr>
            <w:tcW w:type="dxa" w:w="2436"/>
          </w:tcPr>
          <w:p>
            <w:r/>
            <w:r>
              <w:rPr>
                <w:b w:val="0"/>
                <w:i w:val="0"/>
              </w:rPr>
              <w:t>0 a 4 °C</w:t>
            </w:r>
          </w:p>
        </w:tc>
        <w:tc>
          <w:tcPr>
            <w:tcW w:type="dxa" w:w="2436"/>
          </w:tcPr>
          <w:p>
            <w:r/>
            <w:r>
              <w:rPr>
                <w:b w:val="0"/>
                <w:i w:val="0"/>
              </w:rPr>
              <w:t>no la fija</w:t>
            </w:r>
          </w:p>
        </w:tc>
        <w:tc>
          <w:tcPr>
            <w:tcW w:type="dxa" w:w="2436"/>
          </w:tcPr>
          <w:p>
            <w:r/>
            <w:r>
              <w:rPr>
                <w:b w:val="0"/>
                <w:i w:val="0"/>
              </w:rPr>
              <w:t>kit-tareas-chocolateria/01-apertura-cierre.xlsx, hoja «Apertura»</w:t>
            </w:r>
          </w:p>
        </w:tc>
      </w:tr>
      <w:tr>
        <w:tc>
          <w:tcPr>
            <w:tcW w:type="dxa" w:w="2436"/>
          </w:tcPr>
          <w:p>
            <w:r/>
            <w:r>
              <w:rPr>
                <w:b w:val="0"/>
                <w:i w:val="0"/>
              </w:rPr>
              <w:t>Sala de tienda</w:t>
            </w:r>
          </w:p>
        </w:tc>
        <w:tc>
          <w:tcPr>
            <w:tcW w:type="dxa" w:w="2436"/>
          </w:tcPr>
          <w:p>
            <w:r/>
            <w:r>
              <w:rPr>
                <w:b w:val="0"/>
                <w:i w:val="0"/>
              </w:rPr>
              <w:t>20 a 22 °C</w:t>
            </w:r>
          </w:p>
        </w:tc>
        <w:tc>
          <w:tcPr>
            <w:tcW w:type="dxa" w:w="2436"/>
          </w:tcPr>
          <w:p>
            <w:r/>
            <w:r>
              <w:rPr>
                <w:b w:val="0"/>
                <w:i w:val="0"/>
              </w:rPr>
              <w:t>no la fija</w:t>
            </w:r>
          </w:p>
        </w:tc>
        <w:tc>
          <w:tcPr>
            <w:tcW w:type="dxa" w:w="2436"/>
          </w:tcPr>
          <w:p>
            <w:r/>
            <w:r>
              <w:rPr>
                <w:b w:val="0"/>
                <w:i w:val="0"/>
              </w:rPr>
              <w:t>kit-tareas-chocolateria/01-apertura-cierre.xlsx, hoja «Apertura»</w:t>
            </w:r>
          </w:p>
        </w:tc>
      </w:tr>
      <w:tr>
        <w:tc>
          <w:tcPr>
            <w:tcW w:type="dxa" w:w="2436"/>
          </w:tcPr>
          <w:p>
            <w:r/>
            <w:r>
              <w:rPr>
                <w:b w:val="0"/>
                <w:i w:val="0"/>
              </w:rPr>
              <w:t>Vitrina de bombonería</w:t>
            </w:r>
          </w:p>
        </w:tc>
        <w:tc>
          <w:tcPr>
            <w:tcW w:type="dxa" w:w="2436"/>
          </w:tcPr>
          <w:p>
            <w:r/>
            <w:r>
              <w:rPr>
                <w:b w:val="0"/>
                <w:i w:val="0"/>
              </w:rPr>
              <w:t>16 a 18 °C</w:t>
            </w:r>
          </w:p>
        </w:tc>
        <w:tc>
          <w:tcPr>
            <w:tcW w:type="dxa" w:w="2436"/>
          </w:tcPr>
          <w:p>
            <w:r/>
            <w:r>
              <w:rPr>
                <w:b w:val="0"/>
                <w:i w:val="0"/>
              </w:rPr>
              <w:t>menos del 55 %</w:t>
            </w:r>
          </w:p>
        </w:tc>
        <w:tc>
          <w:tcPr>
            <w:tcW w:type="dxa" w:w="2436"/>
          </w:tcPr>
          <w:p>
            <w:r/>
            <w:r>
              <w:rPr>
                <w:b w:val="0"/>
                <w:i w:val="0"/>
              </w:rPr>
              <w:t>kit-tareas-chocolateria/08-apertura-cierre-negocio.xlsx, hoja «Apertura del Negocio»</w:t>
            </w:r>
          </w:p>
        </w:tc>
      </w:tr>
    </w:tbl>
    <w:p/>
    <w:p>
      <w:pPr>
        <w:jc w:val="center"/>
      </w:pPr>
      <w:r>
        <w:rPr>
          <w:i/>
          <w:color w:val="444444"/>
        </w:rPr>
        <w:t>Cinco equipos y cinco ventanas: confundir la de la sala con la de la vitrina o con la de la nevera de rellenos es el error que más producto estropea.</w:t>
      </w:r>
    </w:p>
    <w:p>
      <w:r>
        <w:br w:type="page"/>
      </w:r>
    </w:p>
    <w:p>
      <w:pPr>
        <w:pStyle w:val="Heading1"/>
      </w:pPr>
      <w:r>
        <w:t>7. Aceptar el Primer Pedido Corporativo sin Histórico</w:t>
      </w:r>
    </w:p>
    <w:p>
      <w:pPr>
        <w:pStyle w:val="Heading2"/>
      </w:pPr>
      <w:r>
        <w:t>El contexto de la decisión</w:t>
      </w:r>
    </w:p>
    <w:p>
      <w:r>
        <w:rPr>
          <w:b w:val="0"/>
          <w:i w:val="0"/>
        </w:rPr>
        <w:t>Todos los años se repite la misma escena: en noviembre llama una empresa pidiendo estuches personalizados para el dieciocho de diciembre, con tarjetón y logotipo en la caja, y decir que sí sin pensarlo resulta muy tentador porque es el pedido más grande de toda la temporada. Lo que casi nadie calcula es que son tres plazos que se suman, no que se solapan: el tiempo desde que la empresa aprueba la muestra hasta que puedes empezar a producir, el mínimo de fabricación de un pedido a medida y los días que vas a tardar en cobrar ese dinero. El canal de regalo corporativo trabaja con plazos de entrega de catorce a dieciséis días desde la aprobación de la muestra virtual y mínimos de fabricación de diez a veinticinco cajas, con veinte a treinta días de plazo (Gift Campaign, Regalo Publicidad, Lindt España, Cornet 1945, QuieroChocolate, NoSoloDulce, Regalo Chocolate, 2026). Y hay un dato de calendario que casi nadie repite: la Navidad es la época por excelencia de este canal, y su pedido se cierra en octubre, no en diciembre. Si la llamada llega en noviembre, ya vas con retraso sobre el calendario de las marcas grandes del sector, y eso es lo primero que hay que meter en la balanza antes de decir que sí.</w:t>
      </w:r>
    </w:p>
    <w:p>
      <w:pPr>
        <w:pStyle w:val="Heading2"/>
      </w:pPr>
      <w:r>
        <w:t>Las opciones sobre la mesa</w:t>
      </w:r>
    </w:p>
    <w:p>
      <w:r>
        <w:rPr>
          <w:b w:val="0"/>
          <w:i w:val="0"/>
        </w:rPr>
        <w:t>Sobre la mesa hay tres caminos, y ninguno es automáticamente el correcto. La opción A es aceptar el pedido con un mínimo de unidades y un plazo de aceptación cerrado: pasada esa fecha, no se acepta ni con anticipo. La opción B es rechazarlo y ofrecer producto de catálogo sin personalizar, la vía más rápida cuando ya no queda margen de calendario para una muestra a medida. La opción C es aceptarlo con anticipo y con fecha límite de aprobación de la muestra, de modo que si la empresa se retrasa en decidir, el riesgo lo asume ella, no tu obrador (taller o laboratorio). Lo que cambia de una opción a otra no es sólo el ingreso: es el margen que deja el pedido, la caja que queda inmovilizada mientras dura el aplazamiento de cobro corporativo y el riesgo de comerte la campaña de mostrador con un pedido que ocupa el obrador entero en los días de más venta al público. Un pedido corporativo mal calculado puede llegar a desplazar la producción normal de la tienda en la quincena más rentable de todo el año.</w:t>
      </w:r>
    </w:p>
    <w:p>
      <w:pPr>
        <w:pStyle w:val="Heading2"/>
      </w:pPr>
      <w:r>
        <w:t>El criterio con el que se decide</w:t>
      </w:r>
    </w:p>
    <w:p>
      <w:r>
        <w:rPr>
          <w:b w:val="0"/>
          <w:i w:val="0"/>
        </w:rPr>
        <w:t>La regla con la que se cierra esto es sencilla de enunciar y exigente de aplicar: el pedido corporativo se cierra por FECHA, no por precio. Hay un día concreto a partir del cual aceptar significa no poder servir ni ese pedido ni los del mostrador, y ese día no se adivina: se calcula hacia atrás, sumando el plazo de aprobación de la muestra, el mínimo de fabricación y un margen de seguridad, desde la capacidad real del obrador en esas fechas. Y hay un filtro previo que casi nadie aplica y que pesa tanto como la fecha: preguntar quién es exactamente el cliente. Si la empresa que hace el pedido va a revender esos estuches, o si detrás hay un hotel inscrito en el registro general, la operación deja de ser sólo una venta y activa una obligación de registro que no tiene nada que ver con la cocina. Con esos dos criterios encima de la mesa, la recomendación por defecto es la opción C, anticipo y fecha límite de aprobación de muestra: protege la caja y traslada el riesgo del calendario a quien decide tarde. Se pasa a la opción A cuando el cliente ya tiene histórico de pedidos contigo, y se pasa a la opción B en cuanto la fecha límite ya se ha cumplido, porque a partir de ahí no hay condición que valga.</w:t>
      </w:r>
    </w:p>
    <w:p>
      <w:pPr>
        <w:pStyle w:val="Heading2"/>
      </w:pPr>
      <w:r>
        <w:t>La celda que lo resuelve</w:t>
      </w:r>
    </w:p>
    <w:p>
      <w:r>
        <w:rPr>
          <w:b w:val="0"/>
          <w:i w:val="0"/>
        </w:rPr>
        <w:t>La hoja «Talleres y Regalo Corporativo» de plan-financiero-3-anos-chocolateria.xlsx convierte esa regla en fecha y en euros: da la fecha límite a partir de la cual ya no se puede aceptar un pedido corporativo sin comprometer el servicio, y calcula la caja inmovilizada por el aplazamiento de cobro, 822 € en el escenario que trae la propia hoja. La segunda pieza vive en otro libro: la tabla «Clientes a los que Suministras» de checklist-equipamiento-y-proveedores-cacao.xlsx, donde se anota, cliente a cliente, el nombre, la dirección, el producto y si está inscrito en el registro general. En el caso que trae la hoja hay 4 clientes registrados, de ellos 2 de hostelería, 1 de regalo corporativo y 1 minorista de distinta titularidad, y de esos 4, ninguno tiene todavía respuesta sobre si está inscrito en el registro general: las cuatro casillas están en «no lo sé», que es el estado de partida. La propia tabla dice, sin rodeos, que ese registro -con nombre, dirección y producto- se conserva durante los años que marca la norma aplicable. Con ese reparto de clientes, checklist-legal-licencias-y-cacao.xlsx resuelve en su hoja «Suministro a Otros Minoristas» la pregunta que de verdad importa: ¿sigues cumpliendo el requisito de restringido? La respuesta, hoy, no se puede cerrar: hasta que los cuatro clientes contesten, «restringido» está sin verificar.</w:t>
      </w:r>
    </w:p>
    <w:p>
      <w:pPr>
        <w:pStyle w:val="Heading2"/>
      </w:pPr>
      <w:r>
        <w:t>La norma que aplica cuando la hay</w:t>
      </w:r>
    </w:p>
    <w:p>
      <w:r>
        <w:rPr>
          <w:b w:val="0"/>
          <w:i w:val="0"/>
        </w:rPr>
        <w:t>Aquí sí hay una norma que decide, y decide en un solo sentido: basta con que UNO de tus clientes esté inscrito en el registro general para dejar de cumplir el requisito de restringido de la vía del artículo 3 del RD 1021/2022 (BOE-A-2022-21681) -comprobado el 12 de septiembre de 2026-, y con él cae también la excepción que hoy te mantiene fuera de ese mismo registro. Mientras haya clientes sin contestar, la hoja no puede dar ese requisito por cumplido: cuenta el «no lo sé» como si fuera un «no», así que su «sí» es provisional y no una verificación; es una condición que se revisa cliente a cliente, cada vez que entra uno nuevo por la puerta del regalo corporativo, no una casilla que se marca una sola vez y se olvida. Y hay una segunda norma que el regalo corporativo activa por partida doble: el apartado 3 del artículo 5 del Reglamento (UE) 2023/1115 (EUDR) fija en cinco años el plazo durante el que hay que conservar los datos de a quién le suministras, con nombre, dirección y producto, igual que se conservan los datos de quién te suministra a ti la cobertura. No basta con tener ordenado el archivo de proveedores: el pedido corporativo convierte a esa empresa en un cliente que hay que registrar con el mismo cuidado, y es la tabla «Clientes a los que Suministras» la que deja constancia de que ese registro existe y se mantiene al día.</w:t>
      </w:r>
    </w:p>
    <w:p>
      <w:r>
        <w:rPr>
          <w:b/>
          <w:i w:val="0"/>
        </w:rPr>
        <w:t>La tabla de clientes que obliga a llevar la norma del cacao (checklist-equipamiento-y-proveedores-cacao.xlsx, hoja «Clientes a los que Suministras»)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Nombre del cliente</w:t>
            </w:r>
          </w:p>
        </w:tc>
        <w:tc>
          <w:tcPr>
            <w:tcW w:type="dxa" w:w="1949"/>
          </w:tcPr>
          <w:p>
            <w:r/>
            <w:r>
              <w:rPr>
                <w:b/>
                <w:i w:val="0"/>
              </w:rPr>
              <w:t>Tipo</w:t>
            </w:r>
          </w:p>
        </w:tc>
        <w:tc>
          <w:tcPr>
            <w:tcW w:type="dxa" w:w="1949"/>
          </w:tcPr>
          <w:p>
            <w:r/>
            <w:r>
              <w:rPr>
                <w:b/>
                <w:i w:val="0"/>
              </w:rPr>
              <w:t>Canal</w:t>
            </w:r>
          </w:p>
        </w:tc>
        <w:tc>
          <w:tcPr>
            <w:tcW w:type="dxa" w:w="1949"/>
          </w:tcPr>
          <w:p>
            <w:r/>
            <w:r>
              <w:rPr>
                <w:b/>
                <w:i w:val="0"/>
              </w:rPr>
              <w:t>Producto suministrado</w:t>
            </w:r>
          </w:p>
        </w:tc>
        <w:tc>
          <w:tcPr>
            <w:tcW w:type="dxa" w:w="1949"/>
          </w:tcPr>
          <w:p>
            <w:r/>
            <w:r>
              <w:rPr>
                <w:b/>
                <w:i w:val="0"/>
              </w:rPr>
              <w:t>¿Inscrito en el registro general?</w:t>
            </w:r>
          </w:p>
        </w:tc>
      </w:tr>
      <w:tr>
        <w:tc>
          <w:tcPr>
            <w:tcW w:type="dxa" w:w="1949"/>
          </w:tcPr>
          <w:p>
            <w:r/>
            <w:r>
              <w:rPr>
                <w:b w:val="0"/>
                <w:i w:val="0"/>
              </w:rPr>
              <w:t>Cafetería El Mirador</w:t>
            </w:r>
          </w:p>
        </w:tc>
        <w:tc>
          <w:tcPr>
            <w:tcW w:type="dxa" w:w="1949"/>
          </w:tcPr>
          <w:p>
            <w:r/>
            <w:r>
              <w:rPr>
                <w:b w:val="0"/>
                <w:i w:val="0"/>
              </w:rPr>
              <w:t>Hostelería</w:t>
            </w:r>
          </w:p>
        </w:tc>
        <w:tc>
          <w:tcPr>
            <w:tcW w:type="dxa" w:w="1949"/>
          </w:tcPr>
          <w:p>
            <w:r/>
            <w:r>
              <w:rPr>
                <w:b w:val="0"/>
                <w:i w:val="0"/>
              </w:rPr>
              <w:t>B2B a hostelería</w:t>
            </w:r>
          </w:p>
        </w:tc>
        <w:tc>
          <w:tcPr>
            <w:tcW w:type="dxa" w:w="1949"/>
          </w:tcPr>
          <w:p>
            <w:r/>
            <w:r>
              <w:rPr>
                <w:b w:val="0"/>
                <w:i w:val="0"/>
              </w:rPr>
              <w:t>Bombones de colección a granel y tabletas</w:t>
            </w:r>
          </w:p>
        </w:tc>
        <w:tc>
          <w:tcPr>
            <w:tcW w:type="dxa" w:w="1949"/>
          </w:tcPr>
          <w:p>
            <w:r/>
            <w:r>
              <w:rPr>
                <w:b w:val="0"/>
                <w:i w:val="0"/>
              </w:rPr>
              <w:t>No lo sé</w:t>
            </w:r>
          </w:p>
        </w:tc>
      </w:tr>
      <w:tr>
        <w:tc>
          <w:tcPr>
            <w:tcW w:type="dxa" w:w="1949"/>
          </w:tcPr>
          <w:p>
            <w:r/>
            <w:r>
              <w:rPr>
                <w:b w:val="0"/>
                <w:i w:val="0"/>
              </w:rPr>
              <w:t>Hotel Plaza Mayor (A&amp;B)</w:t>
            </w:r>
          </w:p>
        </w:tc>
        <w:tc>
          <w:tcPr>
            <w:tcW w:type="dxa" w:w="1949"/>
          </w:tcPr>
          <w:p>
            <w:r/>
            <w:r>
              <w:rPr>
                <w:b w:val="0"/>
                <w:i w:val="0"/>
              </w:rPr>
              <w:t>Hostelería</w:t>
            </w:r>
          </w:p>
        </w:tc>
        <w:tc>
          <w:tcPr>
            <w:tcW w:type="dxa" w:w="1949"/>
          </w:tcPr>
          <w:p>
            <w:r/>
            <w:r>
              <w:rPr>
                <w:b w:val="0"/>
                <w:i w:val="0"/>
              </w:rPr>
              <w:t>B2B a hostelería</w:t>
            </w:r>
          </w:p>
        </w:tc>
        <w:tc>
          <w:tcPr>
            <w:tcW w:type="dxa" w:w="1949"/>
          </w:tcPr>
          <w:p>
            <w:r/>
            <w:r>
              <w:rPr>
                <w:b w:val="0"/>
                <w:i w:val="0"/>
              </w:rPr>
              <w:t>Bombón de cortesia de habitación y cajas de 12</w:t>
            </w:r>
          </w:p>
        </w:tc>
        <w:tc>
          <w:tcPr>
            <w:tcW w:type="dxa" w:w="1949"/>
          </w:tcPr>
          <w:p>
            <w:r/>
            <w:r>
              <w:rPr>
                <w:b w:val="0"/>
                <w:i w:val="0"/>
              </w:rPr>
              <w:t>No lo sé</w:t>
            </w:r>
          </w:p>
        </w:tc>
      </w:tr>
      <w:tr>
        <w:tc>
          <w:tcPr>
            <w:tcW w:type="dxa" w:w="1949"/>
          </w:tcPr>
          <w:p>
            <w:r/>
            <w:r>
              <w:rPr>
                <w:b w:val="0"/>
                <w:i w:val="0"/>
              </w:rPr>
              <w:t>Industrias Nogal, S.L.</w:t>
            </w:r>
          </w:p>
        </w:tc>
        <w:tc>
          <w:tcPr>
            <w:tcW w:type="dxa" w:w="1949"/>
          </w:tcPr>
          <w:p>
            <w:r/>
            <w:r>
              <w:rPr>
                <w:b w:val="0"/>
                <w:i w:val="0"/>
              </w:rPr>
              <w:t>Empresa</w:t>
            </w:r>
          </w:p>
        </w:tc>
        <w:tc>
          <w:tcPr>
            <w:tcW w:type="dxa" w:w="1949"/>
          </w:tcPr>
          <w:p>
            <w:r/>
            <w:r>
              <w:rPr>
                <w:b w:val="0"/>
                <w:i w:val="0"/>
              </w:rPr>
              <w:t>Regalo corporativo</w:t>
            </w:r>
          </w:p>
        </w:tc>
        <w:tc>
          <w:tcPr>
            <w:tcW w:type="dxa" w:w="1949"/>
          </w:tcPr>
          <w:p>
            <w:r/>
            <w:r>
              <w:rPr>
                <w:b w:val="0"/>
                <w:i w:val="0"/>
              </w:rPr>
              <w:t>Estuche corporativo personalizado de 24 bombones</w:t>
            </w:r>
          </w:p>
        </w:tc>
        <w:tc>
          <w:tcPr>
            <w:tcW w:type="dxa" w:w="1949"/>
          </w:tcPr>
          <w:p>
            <w:r/>
            <w:r>
              <w:rPr>
                <w:b w:val="0"/>
                <w:i w:val="0"/>
              </w:rPr>
              <w:t>No lo sé</w:t>
            </w:r>
          </w:p>
        </w:tc>
      </w:tr>
      <w:tr>
        <w:tc>
          <w:tcPr>
            <w:tcW w:type="dxa" w:w="1949"/>
          </w:tcPr>
          <w:p>
            <w:r/>
            <w:r>
              <w:rPr>
                <w:b w:val="0"/>
                <w:i w:val="0"/>
              </w:rPr>
              <w:t>Tienda gourmet La Despensa</w:t>
            </w:r>
          </w:p>
        </w:tc>
        <w:tc>
          <w:tcPr>
            <w:tcW w:type="dxa" w:w="1949"/>
          </w:tcPr>
          <w:p>
            <w:r/>
            <w:r>
              <w:rPr>
                <w:b w:val="0"/>
                <w:i w:val="0"/>
              </w:rPr>
              <w:t>Minorista de distinta titularidad</w:t>
            </w:r>
          </w:p>
        </w:tc>
        <w:tc>
          <w:tcPr>
            <w:tcW w:type="dxa" w:w="1949"/>
          </w:tcPr>
          <w:p>
            <w:r/>
            <w:r>
              <w:rPr>
                <w:b w:val="0"/>
                <w:i w:val="0"/>
              </w:rPr>
              <w:t>Minorista de distinta titularidad</w:t>
            </w:r>
          </w:p>
        </w:tc>
        <w:tc>
          <w:tcPr>
            <w:tcW w:type="dxa" w:w="1949"/>
          </w:tcPr>
          <w:p>
            <w:r/>
            <w:r>
              <w:rPr>
                <w:b w:val="0"/>
                <w:i w:val="0"/>
              </w:rPr>
              <w:t>Tabletas de origen y almendras bañadas</w:t>
            </w:r>
          </w:p>
        </w:tc>
        <w:tc>
          <w:tcPr>
            <w:tcW w:type="dxa" w:w="1949"/>
          </w:tcPr>
          <w:p>
            <w:r/>
            <w:r>
              <w:rPr>
                <w:b w:val="0"/>
                <w:i w:val="0"/>
              </w:rPr>
              <w:t>No lo sé</w:t>
            </w:r>
          </w:p>
        </w:tc>
      </w:tr>
    </w:tbl>
    <w:p/>
    <w:p>
      <w:pPr>
        <w:jc w:val="center"/>
      </w:pPr>
      <w:r>
        <w:rPr>
          <w:i/>
          <w:color w:val="444444"/>
        </w:rPr>
        <w:t>Los cuatro clientes son ficticios y están declarados como tales. Lo que no es ficticio es la obligación de llevar esta tabla y conservarla cinco años, ni el efecto del cuarto: un minorista de distinta titularidad activa las tres condiciones del régimen sanitario.</w:t>
      </w:r>
    </w:p>
    <w:p>
      <w:r>
        <w:br w:type="page"/>
      </w:r>
    </w:p>
    <w:p>
      <w:pPr>
        <w:pStyle w:val="Heading1"/>
      </w:pPr>
      <w:r>
        <w:t>8. Envío a Domicilio en Verano: Cuándo Dices que No</w:t>
      </w:r>
    </w:p>
    <w:p>
      <w:pPr>
        <w:pStyle w:val="Heading2"/>
      </w:pPr>
      <w:r>
        <w:t>El contexto de la decisión</w:t>
      </w:r>
    </w:p>
    <w:p>
      <w:r>
        <w:rPr>
          <w:b w:val="0"/>
          <w:i w:val="0"/>
        </w:rPr>
        <w:t>La tienda online de una chocolatería artesanal casi siempre nace para la campaña de Navidad, funciona bien esas semanas y se queda encendida el resto del año sin que nadie vuelva a mirarla. Llega julio, entra un pedido de bombones de ganache, sale del obrador (taller o laboratorio) con la caja de doce cerrada y el cliente lo recibe derretido. La reputación se paga una vez por cada pedido así: el bombón fundido no vuelve a su forma aunque se vuelva a templar.</w:t>
      </w:r>
    </w:p>
    <w:p>
      <w:r>
        <w:rPr>
          <w:b w:val="0"/>
          <w:i w:val="0"/>
        </w:rPr>
        <w:t>Lo que casi nadie calcula antes de que pase esto es el coste (costo) del envío refrigerado sobre el pedido medio, ni lo que queda de margen después de pagarlo. Se mira el precio de venta y lo que cuesta el chocolate, y ahí se detiene la cuenta; el transportista con cadena de frío entra como un gasto fijo de diciembre y nadie lo vuelve a sumar cuando julio cambia el mapa por completo.</w:t>
      </w:r>
    </w:p>
    <w:p>
      <w:pPr>
        <w:pStyle w:val="Heading2"/>
      </w:pPr>
      <w:r>
        <w:t>Las opciones sobre la mesa</w:t>
      </w:r>
    </w:p>
    <w:p>
      <w:r>
        <w:rPr>
          <w:b w:val="0"/>
          <w:i w:val="0"/>
        </w:rPr>
        <w:t>Frente al pedido derretido hay tres caminos, y los tres son legítimos si se eligen a conciencia y no por inercia:</w:t>
      </w:r>
    </w:p>
    <w:p>
      <w:pPr>
        <w:pStyle w:val="ListBullet"/>
      </w:pPr>
      <w:r>
        <w:rPr>
          <w:b w:val="0"/>
          <w:i w:val="0"/>
        </w:rPr>
        <w:t>Opción A: apagar el canal de junio a septiembre y avisarlo en la propia tienda, sin pedir disculpas por ello.</w:t>
      </w:r>
    </w:p>
    <w:p>
      <w:pPr>
        <w:pStyle w:val="ListBullet"/>
      </w:pPr>
      <w:r>
        <w:rPr>
          <w:b w:val="0"/>
          <w:i w:val="0"/>
        </w:rPr>
        <w:t>Opción B: mantenerlo abierto sólo con producto estable -tabletas (barras), grageas, piezas sin relleno fresco- y dejar fuera del catálogo online la ganache mientras dure el calor.</w:t>
      </w:r>
    </w:p>
    <w:p>
      <w:pPr>
        <w:pStyle w:val="ListBullet"/>
      </w:pPr>
      <w:r>
        <w:rPr>
          <w:b w:val="0"/>
          <w:i w:val="0"/>
        </w:rPr>
        <w:t>Opción C: mantenerlo entero, con envío refrigerado y un recargo que lo pague.</w:t>
      </w:r>
    </w:p>
    <w:p>
      <w:r>
        <w:rPr>
          <w:b w:val="0"/>
          <w:i w:val="0"/>
        </w:rPr>
        <w:t>Lo que cambia entre las tres no es sólo el ingreso de esos meses. Cambia el margen de contribución del canal, según cuánto envío refrigerado haya que pagar; cambia la reputación cuando un pedido llega mal, que en una chocolatería nueva pesa más que cualquier campaña de publicidad; y cambia la carga de trabajo del obrador justo en agosto, el mes en el que las ventas del año pesan sólo un 5,0 % según la hoja «Peso sobre el Año» de campanas-y-valle-del-ano.xlsx: el peor momento para sumarle encima una incidencia de reparto.</w:t>
      </w:r>
    </w:p>
    <w:p>
      <w:pPr>
        <w:pStyle w:val="Heading2"/>
      </w:pPr>
      <w:r>
        <w:t>El criterio con el que se decide</w:t>
      </w:r>
    </w:p>
    <w:p>
      <w:r>
        <w:rPr>
          <w:b w:val="0"/>
          <w:i w:val="0"/>
        </w:rPr>
        <w:t>La regla no es de calendario, es de producto: lo que aguanta el transporte se envía todo el año, y lo que no aguanta no se envía nunca, tampoco en enero con la calle helada. Confundir esto con una decisión estacional es lo que lleva a mandar ganache fresca en pleno agosto porque «en Navidad funcionó» y a dejar en el almacén, en cambio, una tableta que habría viajado sin problema en cualquier mes del año.</w:t>
      </w:r>
    </w:p>
    <w:p>
      <w:r>
        <w:rPr>
          <w:b w:val="0"/>
          <w:i w:val="0"/>
        </w:rPr>
        <w:t>Y hay un número que decide, por encima de la anécdota del pedido derretido, si el canal existe de verdad: el margen de contribución del canal online DESPUÉS de pagar el envío. Si ese margen no aguanta el descuento del transportista con cadena de frío, el canal no es rentable, es publicidad cara disfrazada de venta: factura, pero deja menos de lo que parece y a veces deja menos de lo que cuesta atenderlo cuando algo sale mal.</w:t>
      </w:r>
    </w:p>
    <w:p>
      <w:pPr>
        <w:pStyle w:val="Heading2"/>
      </w:pPr>
      <w:r>
        <w:t>La celda que lo resuelve</w:t>
      </w:r>
    </w:p>
    <w:p>
      <w:r>
        <w:rPr>
          <w:b w:val="0"/>
          <w:i w:val="0"/>
        </w:rPr>
        <w:t>La hoja «Canales y Punto Muerto» de plan-financiero-3-anos-chocolateria.xlsx ya trae esa cuenta hecha: el margen de contribución del canal online después del envío es del 29,7 %, y su veredicto es literal -aguanta, pero deja menos que el mostrador: úsalo para llegar donde no llegas, no para sustituirlo-. Con ese número, la recomendación es la opción B, retirando del catálogo online sólo el producto que necesita nevera en los meses de más calor. Cambiaría a la opción A si ese margen dejara de cubrir el coste de una incidencia de reparto, y sólo tendría sentido la opción C si el recargo se pudiera trasladar entero al cliente sin perder el pedido por el camino.</w:t>
      </w:r>
    </w:p>
    <w:p>
      <w:r>
        <w:rPr>
          <w:b w:val="0"/>
          <w:i w:val="0"/>
        </w:rPr>
        <w:t>Lo que decide qué producto entra en cada opción no está en esa hoja, sino en el libro de vida útil. La hoja «Vida Útil Declarada» de vida-util-rellenos-y-rotacion.xlsx marca la referencia de menor vida útil de toda la carta en 10 días, y la hoja «Temperatura y Vitrina» del mismo libro señala 6 referencias que van a nevera y no a vitrina (exhibidor). Esas seis quedan fuera de cualquier paquete, sin excepción: si algo necesita nevera en la propia tienda, ninguna caja isotérmica lo sostiene varios días de reparto en pleno calor.</w:t>
      </w:r>
    </w:p>
    <w:p>
      <w:pPr>
        <w:pStyle w:val="Heading2"/>
      </w:pPr>
      <w:r>
        <w:t>La norma que aplica cuando la hay</w:t>
      </w:r>
    </w:p>
    <w:p>
      <w:r>
        <w:rPr>
          <w:b w:val="0"/>
          <w:i w:val="0"/>
        </w:rPr>
        <w:t>Sí que hay norma, y es la que casi nadie asocia a este canal: fijar tú la temperatura de conservación de cada bombón es la ventaja de vender con tu propia ficha técnica, y también la trampa, porque el art. 4.3 del RD 1021/2022 (BOE-A-2022-21681), comprobado el 12 de septiembre de 2026, hace responsable de mantenerla también a quien transporta el pedido, no sólo a quien lo despacha. La temperatura que decides para tu vitrina te sigue obligando dentro de la caja isotérmica, y si el transportista la rompe en ruta, la responsabilidad no desaparece con él.</w:t>
      </w:r>
    </w:p>
    <w:p>
      <w:r>
        <w:rPr>
          <w:b w:val="0"/>
          <w:i w:val="0"/>
        </w:rPr>
        <w:t>El envase de ese pedido también tiene dueño legal: el artículo 2, letra e, del RD 1055/2022 (BOE-A-2022-22690) deja claro que en la venta a distancia el titular del comercio es el envasador responsable, aunque el embalaje isotérmico se lo compre a un proveedor externo.</w:t>
      </w:r>
    </w:p>
    <w:p>
      <w:r>
        <w:rPr>
          <w:b w:val="0"/>
          <w:i w:val="0"/>
        </w:rPr>
        <w:t>Y está la norma de información, la que de verdad condiciona la ficha del producto online: según el art. 14 del Reglamento (UE) 1169/2011, todo lo obligatorio salvo la fecha -alérgenos incluidos- tiene que estar disponible ANTES de que el cliente pague, sin coste añadido, y completo otra vez en el momento de la entrega. Una ficha online que esconde los alérgenos detrás de un desplegable no cumple esto por mucho que el bombón llegue entero.</w:t>
      </w:r>
    </w:p>
    <w:p>
      <w:r>
        <w:rPr>
          <w:b w:val="0"/>
          <w:i w:val="0"/>
        </w:rPr>
        <w:t>Queda un punto que se pasa por alto porque parece que no toca a este canal: la Guía informativa del RGSEAA, revisión 16 (11-06-2025), aclara que vender por internet no cambia por sí solo los criterios de inscripción; lo que obliga a ir al registro nacional, en categorías 3 o 5, es tener una tienda online sin instalaciones alimentarias registradas detrás, algo que no es el caso de quien despacha desde el mismo obrador que ya tiene dado de alta.</w:t>
      </w:r>
    </w:p>
    <w:p>
      <w:r>
        <w:rPr>
          <w:b w:val="0"/>
          <w:i w:val="0"/>
        </w:rPr>
        <w:t>El caso que resume por qué esta decisión no es teórica es el de Bombonería Pons, que «crece por venta online, más tiendas físicas, venta al por mayor e incluso exportación» («Bombonería Pons - Historia», 2026-09-12): el canal puede llegar muy lejos, pero nunca deja de exigir la misma condición de fondo, que el chocolate no viaja en verano sin embalaje isotérmico. El cuadro que sigue recoge, referencia por referencia, qué sale en un paquete y qué no, y la obligación que arrastra cada caso.</w:t>
      </w:r>
    </w:p>
    <w:p>
      <w:r>
        <w:rPr>
          <w:b/>
          <w:i w:val="0"/>
        </w:rPr>
        <w:t>Qué sale en un paquete y qué no, y qué obligación arrastra cada caso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envías</w:t>
            </w:r>
          </w:p>
        </w:tc>
        <w:tc>
          <w:tcPr>
            <w:tcW w:type="dxa" w:w="2436"/>
          </w:tcPr>
          <w:p>
            <w:r/>
            <w:r>
              <w:rPr>
                <w:b/>
                <w:i w:val="0"/>
              </w:rPr>
              <w:t>¿Aguanta el transporte?</w:t>
            </w:r>
          </w:p>
        </w:tc>
        <w:tc>
          <w:tcPr>
            <w:tcW w:type="dxa" w:w="2436"/>
          </w:tcPr>
          <w:p>
            <w:r/>
            <w:r>
              <w:rPr>
                <w:b/>
                <w:i w:val="0"/>
              </w:rPr>
              <w:t>Qué tienes que poder sostener</w:t>
            </w:r>
          </w:p>
        </w:tc>
        <w:tc>
          <w:tcPr>
            <w:tcW w:type="dxa" w:w="2436"/>
          </w:tcPr>
          <w:p>
            <w:r/>
            <w:r>
              <w:rPr>
                <w:b/>
                <w:i w:val="0"/>
              </w:rPr>
              <w:t>Qué haces en verano</w:t>
            </w:r>
          </w:p>
        </w:tc>
      </w:tr>
      <w:tr>
        <w:tc>
          <w:tcPr>
            <w:tcW w:type="dxa" w:w="2436"/>
          </w:tcPr>
          <w:p>
            <w:r/>
            <w:r>
              <w:rPr>
                <w:b w:val="0"/>
                <w:i w:val="0"/>
              </w:rPr>
              <w:t>Tableta y chocolate sin relleno</w:t>
            </w:r>
          </w:p>
        </w:tc>
        <w:tc>
          <w:tcPr>
            <w:tcW w:type="dxa" w:w="2436"/>
          </w:tcPr>
          <w:p>
            <w:r/>
            <w:r>
              <w:rPr>
                <w:b w:val="0"/>
                <w:i w:val="0"/>
              </w:rPr>
              <w:t>Sí, con embalaje aislante</w:t>
            </w:r>
          </w:p>
        </w:tc>
        <w:tc>
          <w:tcPr>
            <w:tcW w:type="dxa" w:w="2436"/>
          </w:tcPr>
          <w:p>
            <w:r/>
            <w:r>
              <w:rPr>
                <w:b w:val="0"/>
                <w:i w:val="0"/>
              </w:rPr>
              <w:t>La temperatura que hayas declarado en la etiqueta</w:t>
            </w:r>
          </w:p>
        </w:tc>
        <w:tc>
          <w:tcPr>
            <w:tcW w:type="dxa" w:w="2436"/>
          </w:tcPr>
          <w:p>
            <w:r/>
            <w:r>
              <w:rPr>
                <w:b w:val="0"/>
                <w:i w:val="0"/>
              </w:rPr>
              <w:t>Se mantiene, con embalaje reforzado</w:t>
            </w:r>
          </w:p>
        </w:tc>
      </w:tr>
      <w:tr>
        <w:tc>
          <w:tcPr>
            <w:tcW w:type="dxa" w:w="2436"/>
          </w:tcPr>
          <w:p>
            <w:r/>
            <w:r>
              <w:rPr>
                <w:b w:val="0"/>
                <w:i w:val="0"/>
              </w:rPr>
              <w:t>Bombón de praliné o gianduja</w:t>
            </w:r>
          </w:p>
        </w:tc>
        <w:tc>
          <w:tcPr>
            <w:tcW w:type="dxa" w:w="2436"/>
          </w:tcPr>
          <w:p>
            <w:r/>
            <w:r>
              <w:rPr>
                <w:b w:val="0"/>
                <w:i w:val="0"/>
              </w:rPr>
              <w:t>Sí, con cuidado</w:t>
            </w:r>
          </w:p>
        </w:tc>
        <w:tc>
          <w:tcPr>
            <w:tcW w:type="dxa" w:w="2436"/>
          </w:tcPr>
          <w:p>
            <w:r/>
            <w:r>
              <w:rPr>
                <w:b w:val="0"/>
                <w:i w:val="0"/>
              </w:rPr>
              <w:t>Lo mismo, y evitar cambios bruscos</w:t>
            </w:r>
          </w:p>
        </w:tc>
        <w:tc>
          <w:tcPr>
            <w:tcW w:type="dxa" w:w="2436"/>
          </w:tcPr>
          <w:p>
            <w:r/>
            <w:r>
              <w:rPr>
                <w:b w:val="0"/>
                <w:i w:val="0"/>
              </w:rPr>
              <w:t>Se mantiene con envío refrigerado</w:t>
            </w:r>
          </w:p>
        </w:tc>
      </w:tr>
      <w:tr>
        <w:tc>
          <w:tcPr>
            <w:tcW w:type="dxa" w:w="2436"/>
          </w:tcPr>
          <w:p>
            <w:r/>
            <w:r>
              <w:rPr>
                <w:b w:val="0"/>
                <w:i w:val="0"/>
              </w:rPr>
              <w:t>Bombón de ganache con nata fresca</w:t>
            </w:r>
          </w:p>
        </w:tc>
        <w:tc>
          <w:tcPr>
            <w:tcW w:type="dxa" w:w="2436"/>
          </w:tcPr>
          <w:p>
            <w:r/>
            <w:r>
              <w:rPr>
                <w:b w:val="0"/>
                <w:i w:val="0"/>
              </w:rPr>
              <w:t>No</w:t>
            </w:r>
          </w:p>
        </w:tc>
        <w:tc>
          <w:tcPr>
            <w:tcW w:type="dxa" w:w="2436"/>
          </w:tcPr>
          <w:p>
            <w:r/>
            <w:r>
              <w:rPr>
                <w:b w:val="0"/>
                <w:i w:val="0"/>
              </w:rPr>
              <w:t>Sería imposible sostener la cadena de frío puerta a puerta</w:t>
            </w:r>
          </w:p>
        </w:tc>
        <w:tc>
          <w:tcPr>
            <w:tcW w:type="dxa" w:w="2436"/>
          </w:tcPr>
          <w:p>
            <w:r/>
            <w:r>
              <w:rPr>
                <w:b w:val="0"/>
                <w:i w:val="0"/>
              </w:rPr>
              <w:t>No se envía, ni en enero</w:t>
            </w:r>
          </w:p>
        </w:tc>
      </w:tr>
      <w:tr>
        <w:tc>
          <w:tcPr>
            <w:tcW w:type="dxa" w:w="2436"/>
          </w:tcPr>
          <w:p>
            <w:r/>
            <w:r>
              <w:rPr>
                <w:b w:val="0"/>
                <w:i w:val="0"/>
              </w:rPr>
              <w:t>Caja surtida con ganache dentro</w:t>
            </w:r>
          </w:p>
        </w:tc>
        <w:tc>
          <w:tcPr>
            <w:tcW w:type="dxa" w:w="2436"/>
          </w:tcPr>
          <w:p>
            <w:r/>
            <w:r>
              <w:rPr>
                <w:b w:val="0"/>
                <w:i w:val="0"/>
              </w:rPr>
              <w:t>No</w:t>
            </w:r>
          </w:p>
        </w:tc>
        <w:tc>
          <w:tcPr>
            <w:tcW w:type="dxa" w:w="2436"/>
          </w:tcPr>
          <w:p>
            <w:r/>
            <w:r>
              <w:rPr>
                <w:b w:val="0"/>
                <w:i w:val="0"/>
              </w:rPr>
              <w:t>La caja caduca con la pieza más corta que lleva</w:t>
            </w:r>
          </w:p>
        </w:tc>
        <w:tc>
          <w:tcPr>
            <w:tcW w:type="dxa" w:w="2436"/>
          </w:tcPr>
          <w:p>
            <w:r/>
            <w:r>
              <w:rPr>
                <w:b w:val="0"/>
                <w:i w:val="0"/>
              </w:rPr>
              <w:t>Se sustituye por surtido estable</w:t>
            </w:r>
          </w:p>
        </w:tc>
      </w:tr>
      <w:tr>
        <w:tc>
          <w:tcPr>
            <w:tcW w:type="dxa" w:w="2436"/>
          </w:tcPr>
          <w:p>
            <w:r/>
            <w:r>
              <w:rPr>
                <w:b w:val="0"/>
                <w:i w:val="0"/>
              </w:rPr>
              <w:t>Figuras huecas y piezas grandes</w:t>
            </w:r>
          </w:p>
        </w:tc>
        <w:tc>
          <w:tcPr>
            <w:tcW w:type="dxa" w:w="2436"/>
          </w:tcPr>
          <w:p>
            <w:r/>
            <w:r>
              <w:rPr>
                <w:b w:val="0"/>
                <w:i w:val="0"/>
              </w:rPr>
              <w:t>Sí, si el embalaje las protege</w:t>
            </w:r>
          </w:p>
        </w:tc>
        <w:tc>
          <w:tcPr>
            <w:tcW w:type="dxa" w:w="2436"/>
          </w:tcPr>
          <w:p>
            <w:r/>
            <w:r>
              <w:rPr>
                <w:b w:val="0"/>
                <w:i w:val="0"/>
              </w:rPr>
              <w:t>El riesgo aquí es la rotura, no la temperatura</w:t>
            </w:r>
          </w:p>
        </w:tc>
        <w:tc>
          <w:tcPr>
            <w:tcW w:type="dxa" w:w="2436"/>
          </w:tcPr>
          <w:p>
            <w:r/>
            <w:r>
              <w:rPr>
                <w:b w:val="0"/>
                <w:i w:val="0"/>
              </w:rPr>
              <w:t>Se mantiene</w:t>
            </w:r>
          </w:p>
        </w:tc>
      </w:tr>
    </w:tbl>
    <w:p/>
    <w:p>
      <w:pPr>
        <w:jc w:val="center"/>
      </w:pPr>
      <w:r>
        <w:rPr>
          <w:i/>
          <w:color w:val="444444"/>
        </w:rPr>
        <w:t>La decisión es de producto, no de calendario: lo que no aguanta el transporte no se envía nunca. Vender por internet, además, te convierte en envasador de la caja de envío.</w:t>
      </w:r>
    </w:p>
    <w:p>
      <w:r>
        <w:br w:type="page"/>
      </w:r>
    </w:p>
    <w:p>
      <w:pPr>
        <w:pStyle w:val="Heading1"/>
      </w:pPr>
      <w:r>
        <w:t>9. Parar el Obrador en Agosto o No Pararlo</w:t>
      </w:r>
    </w:p>
    <w:p>
      <w:pPr>
        <w:pStyle w:val="Heading2"/>
      </w:pPr>
      <w:r>
        <w:t>El contexto de la decisión</w:t>
      </w:r>
    </w:p>
    <w:p>
      <w:r>
        <w:rPr>
          <w:b w:val="0"/>
          <w:i w:val="0"/>
        </w:rPr>
        <w:t>Llega agosto, la caja de la tienda empieza a sonar menos y la respuesta automática de casi cualquier negocio de alimentación es la misma: bajar la persiana tres semanas y volver en septiembre. En una chocolatería artesanal esa respuesta sale más cara de lo que parece, porque el obrador (taller o laboratorio) no es un fogón que se enciende en cinco minutos: se para, y volver a arrancarlo a pleno rendimiento justo cuando empieza la temporada alta de otoño cuesta días que ya no sobran.</w:t>
      </w:r>
    </w:p>
    <w:p>
      <w:r>
        <w:rPr>
          <w:b w:val="0"/>
          <w:i w:val="0"/>
        </w:rPr>
        <w:t>Lo que casi nadie calcula antes de decidir es cuánto vale exactamente ese mes. Los gastos fijos -alquiler, nóminas, suministros, cuota de autónomos o de sociedad- siguen corriendo enteros estés abierto o cerrado, mientras la facturación cae a una fracción de la de un mes normal. Y agosto no es una sensación: en el caso modelado de este pack, agosto factura 0,60 veces lo que factura un mes medio del año, un dato que sale de la hoja «Peso sobre el Año» de campanas-y-valle-del-ano.xlsx.</w:t>
      </w:r>
    </w:p>
    <w:p>
      <w:r>
        <w:rPr>
          <w:b w:val="0"/>
          <w:i w:val="0"/>
        </w:rPr>
        <w:t>Esa caída de facturación no es sólo cuestión de vacaciones del cliente: el chocolate no viaja bien en verano sin un embalaje isotérmico, una regla que pesa especialmente en un negocio que venda online, por mayor o que además exporte, como Bombonería Pons, que según su propia historia «crece por venta online, más tiendas físicas, venta al por mayor e incluso exportación» (Bombonería Pons - Historia, 2026-09-12). Si tu chocolatería tiene alguno de esos canales, agosto le pega todavía más fuerte, y hay que tenerlo presente antes de fijar qué se sigue vendiendo ese mes y qué se pausa.</w:t>
      </w:r>
    </w:p>
    <w:p>
      <w:pPr>
        <w:pStyle w:val="Heading2"/>
      </w:pPr>
      <w:r>
        <w:t>Las opciones sobre la mesa</w:t>
      </w:r>
    </w:p>
    <w:p>
      <w:r>
        <w:rPr>
          <w:b w:val="0"/>
          <w:i w:val="0"/>
        </w:rPr>
        <w:t>Sobre la mesa hay tres caminos, no dos. El primero es parar el obrador pero mantener la tienda abierta, vendiendo producto estable -tableta (barra), bombón de larga vida, cajas ya montadas- sin nadie detrás de la atemperadora. El segundo es cerrarlo todo, obrador y tienda, y aprovechar el mes para las vacaciones de la plantilla en bloque. El tercero es mantener producción a media máquina, no al ritmo de octubre pero tampoco a cero, para ir adelantando parte de la campaña de otoño que en condiciones normales se hace con las prisas de septiembre.</w:t>
      </w:r>
    </w:p>
    <w:p>
      <w:r>
        <w:rPr>
          <w:b w:val="0"/>
          <w:i w:val="0"/>
        </w:rPr>
        <w:t>Cada camino cambia tres cosas a la vez, y conviene mirarlas juntas antes de elegir. Cambia el resultado del mes, porque no es lo mismo facturar una fracción con la tienda abierta que facturar cero con todo cerrado. Cambia el aprovechamiento de las vacaciones del equipo, porque agosto es la única ventana del año en la que parar no compite con ninguna campaña fuerte: los picos grandes llegan en Navidad, en San Valentín y en Halloween, y hay compañías del sector que en la semana de San Valentín llegan a concentrar hasta un 10 % de su venta anual, un caso extremo según Produlce, vía Financial Food (2025-02-10). Quien cierra esa semana sacrifica facturación de pico; quien cierra en agosto no sacrifica nada parecido. Y cambia el estado del stock el día que arranca la temporada alta: quien ha adelantado producción en agosto llega a septiembre con margen de maniobra, y quien ha cerrado del todo llega con la nevera vacía y el calendario ya encima.</w:t>
      </w:r>
    </w:p>
    <w:p>
      <w:pPr>
        <w:pStyle w:val="Heading2"/>
      </w:pPr>
      <w:r>
        <w:t>El criterio con el que se decide</w:t>
      </w:r>
    </w:p>
    <w:p>
      <w:r>
        <w:rPr>
          <w:b w:val="0"/>
          <w:i w:val="0"/>
        </w:rPr>
        <w:t>La regla que ordena la decisión es sencilla de enunciar y fácil de olvidar en el día a día: lo que para es el obrador, no la caja. Cerrar el obrador no significa cerrar la tienda, y la tienda -con producto estable, sin producción diaria detrás- sigue facturando menos, no cero. Ese menos, por pequeño que parezca frente a un mes de crucero, paga una parte de los gastos fijos que si echas el cierre completo pagas exactamente igual y sin nada a cambio.</w:t>
      </w:r>
    </w:p>
    <w:p>
      <w:r>
        <w:rPr>
          <w:b w:val="0"/>
          <w:i w:val="0"/>
        </w:rPr>
        <w:t>Y hay una palanca que sí existe y que muchos obradores no usan: cambiar el mix de la vitrina (exhibidor). Sustituir ganache fresca por tableta y por producto estable se traduce en el caso modelado en -0,56 % de margen porcentual, pero a cambio elimina casi toda la merma que en un mes de menos venta y de más calor se dispara. Es un intercambio que se decide con la calculadora delante, no a ojo.</w:t>
      </w:r>
    </w:p>
    <w:p>
      <w:r>
        <w:rPr>
          <w:b w:val="0"/>
          <w:i w:val="0"/>
        </w:rPr>
        <w:t>Algunos obradores añaden a esa palanca una tercera fuente de ingreso que no consume cobertura de vitrina: abrir el obrador al público en formato de taller de iniciación al bombón, con un grupo reducido y un ingreso por persona. El mercado español se mueve entre 25 € y 45 € por persona, con mínimo habitual de seis plazas (lo tienes desglosado en la decisión 10), y la lógica vale para cualquier chocolatería: es un ingreso de margen alto que no toca la vitrina y que rellena precisamente el mes en el que la venta de mostrador cae.</w:t>
      </w:r>
    </w:p>
    <w:p>
      <w:pPr>
        <w:pStyle w:val="Heading2"/>
      </w:pPr>
      <w:r>
        <w:t>La celda que lo resuelve</w:t>
      </w:r>
    </w:p>
    <w:p>
      <w:r>
        <w:rPr>
          <w:b w:val="0"/>
          <w:i w:val="0"/>
        </w:rPr>
        <w:t>La hoja «El Valle de Agosto» de campanas-y-valle-del-ano.xlsx es la que convierte toda esta discusión en una cifra. En el caso modelado, agosto factura 9.954 € sin IVA, y el resultado del mes -con los fijos corriendo enteros y la venta reducida- es de -2.824 €. Comparado con lo que dejaría un mes medio del año, ese resultado supone un coste (costo) de -5.018 € frente a seguir en velocidad de crucero.</w:t>
      </w:r>
    </w:p>
    <w:p>
      <w:r>
        <w:rPr>
          <w:b w:val="0"/>
          <w:i w:val="0"/>
        </w:rPr>
        <w:t>Con esos tres números delante, la propia hoja da un veredicto que no deja lugar a la ambigüedad: «Agosto da pérdida: provisiónala, no cierres la tienda». Es la frase que resume el capítulo entero, y la que conviene tener presente en enero, cuando se hace el presupuesto del año, y no en septiembre, cuando ya es tarde para haber decidido nada. La hoja «Peso sobre el Año» de la misma calculadora es la que da el dato de partida -cuánto factura agosto frente a un mes medio-, y es lo primero que hay que mirar antes de decidir si al obrador le compensa mantener la puerta abierta ese mes.</w:t>
      </w:r>
    </w:p>
    <w:p>
      <w:pPr>
        <w:pStyle w:val="Heading2"/>
      </w:pPr>
      <w:r>
        <w:t>La norma que aplica cuando la hay</w:t>
      </w:r>
    </w:p>
    <w:p>
      <w:r>
        <w:rPr>
          <w:b w:val="0"/>
          <w:i w:val="0"/>
        </w:rPr>
        <w:t>Aquí no hay una norma que decida por ti, y lo decimos así de claro en vez de rellenar el epígrafe con normativa de adorno: cerrar o no cerrar en agosto es una decisión de negocio, no una obligación legal. Ninguna ley te dice cuántas semanas puede estar parado un obrador ni te obliga a mantener la vitrina abierta un mínimo de días al mes.</w:t>
      </w:r>
    </w:p>
    <w:p>
      <w:r>
        <w:rPr>
          <w:b w:val="0"/>
          <w:i w:val="0"/>
        </w:rPr>
        <w:t>Lo que sí hay que planificar con la asesoría es un matiz laboral, no fiscal: las vacaciones del equipo se concentran de forma natural en este mes, precisamente porque es la única ventana del año en la que parar la producción no compite con ninguna campaña. Cuadrar el calendario de vacaciones con el calendario de producción es, en la práctica, la parte de esta decisión que sí conviene dejar cerrada por escrito antes de que llegue julio.</w:t>
      </w:r>
    </w:p>
    <w:p>
      <w:r>
        <w:rPr>
          <w:b/>
          <w:i w:val="0"/>
        </w:rPr>
        <w:t>Julio, agosto y septiembre en el caso modelado (campanas-y-valle-del-ano.xlsx,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Temporada que declara el kit</w:t>
            </w:r>
          </w:p>
        </w:tc>
        <w:tc>
          <w:tcPr>
            <w:tcW w:type="dxa" w:w="1949"/>
          </w:tcPr>
          <w:p>
            <w:r/>
            <w:r>
              <w:rPr>
                <w:b/>
                <w:i w:val="0"/>
              </w:rPr>
              <w:t>Coeficiente sobre el mes medio</w:t>
            </w:r>
          </w:p>
        </w:tc>
        <w:tc>
          <w:tcPr>
            <w:tcW w:type="dxa" w:w="1949"/>
          </w:tcPr>
          <w:p>
            <w:r/>
            <w:r>
              <w:rPr>
                <w:b/>
                <w:i w:val="0"/>
              </w:rPr>
              <w:t>Ventas del mes sin IVA (€)</w:t>
            </w:r>
          </w:p>
        </w:tc>
        <w:tc>
          <w:tcPr>
            <w:tcW w:type="dxa" w:w="1949"/>
          </w:tcPr>
          <w:p>
            <w:r/>
            <w:r>
              <w:rPr>
                <w:b/>
                <w:i w:val="0"/>
              </w:rPr>
              <w:t>Parte del año (%)</w:t>
            </w:r>
          </w:p>
        </w:tc>
      </w:tr>
      <w:tr>
        <w:tc>
          <w:tcPr>
            <w:tcW w:type="dxa" w:w="1949"/>
          </w:tcPr>
          <w:p>
            <w:r/>
            <w:r>
              <w:rPr>
                <w:b w:val="0"/>
                <w:i w:val="0"/>
              </w:rPr>
              <w:t>Julio</w:t>
            </w:r>
          </w:p>
        </w:tc>
        <w:tc>
          <w:tcPr>
            <w:tcW w:type="dxa" w:w="1949"/>
          </w:tcPr>
          <w:p>
            <w:r/>
            <w:r>
              <w:rPr>
                <w:b w:val="0"/>
                <w:i w:val="0"/>
              </w:rPr>
              <w:t>Media</w:t>
            </w:r>
          </w:p>
        </w:tc>
        <w:tc>
          <w:tcPr>
            <w:tcW w:type="dxa" w:w="1949"/>
          </w:tcPr>
          <w:p>
            <w:r/>
            <w:r>
              <w:rPr>
                <w:b w:val="0"/>
                <w:i w:val="0"/>
              </w:rPr>
              <w:t>0,82</w:t>
            </w:r>
          </w:p>
        </w:tc>
        <w:tc>
          <w:tcPr>
            <w:tcW w:type="dxa" w:w="1949"/>
          </w:tcPr>
          <w:p>
            <w:r/>
            <w:r>
              <w:rPr>
                <w:b w:val="0"/>
                <w:i w:val="0"/>
              </w:rPr>
              <w:t>13.604 €</w:t>
            </w:r>
          </w:p>
        </w:tc>
        <w:tc>
          <w:tcPr>
            <w:tcW w:type="dxa" w:w="1949"/>
          </w:tcPr>
          <w:p>
            <w:r/>
            <w:r>
              <w:rPr>
                <w:b w:val="0"/>
                <w:i w:val="0"/>
              </w:rPr>
              <w:t>6,8 %</w:t>
            </w:r>
          </w:p>
        </w:tc>
      </w:tr>
      <w:tr>
        <w:tc>
          <w:tcPr>
            <w:tcW w:type="dxa" w:w="1949"/>
          </w:tcPr>
          <w:p>
            <w:r/>
            <w:r>
              <w:rPr>
                <w:b w:val="0"/>
                <w:i w:val="0"/>
              </w:rPr>
              <w:t>Agosto</w:t>
            </w:r>
          </w:p>
        </w:tc>
        <w:tc>
          <w:tcPr>
            <w:tcW w:type="dxa" w:w="1949"/>
          </w:tcPr>
          <w:p>
            <w:r/>
            <w:r>
              <w:rPr>
                <w:b w:val="0"/>
                <w:i w:val="0"/>
              </w:rPr>
              <w:t>Baja</w:t>
            </w:r>
          </w:p>
        </w:tc>
        <w:tc>
          <w:tcPr>
            <w:tcW w:type="dxa" w:w="1949"/>
          </w:tcPr>
          <w:p>
            <w:r/>
            <w:r>
              <w:rPr>
                <w:b w:val="0"/>
                <w:i w:val="0"/>
              </w:rPr>
              <w:t>0,60</w:t>
            </w:r>
          </w:p>
        </w:tc>
        <w:tc>
          <w:tcPr>
            <w:tcW w:type="dxa" w:w="1949"/>
          </w:tcPr>
          <w:p>
            <w:r/>
            <w:r>
              <w:rPr>
                <w:b w:val="0"/>
                <w:i w:val="0"/>
              </w:rPr>
              <w:t>9.954 €</w:t>
            </w:r>
          </w:p>
        </w:tc>
        <w:tc>
          <w:tcPr>
            <w:tcW w:type="dxa" w:w="1949"/>
          </w:tcPr>
          <w:p>
            <w:r/>
            <w:r>
              <w:rPr>
                <w:b w:val="0"/>
                <w:i w:val="0"/>
              </w:rPr>
              <w:t>5,0 %</w:t>
            </w:r>
          </w:p>
        </w:tc>
      </w:tr>
      <w:tr>
        <w:tc>
          <w:tcPr>
            <w:tcW w:type="dxa" w:w="1949"/>
          </w:tcPr>
          <w:p>
            <w:r/>
            <w:r>
              <w:rPr>
                <w:b w:val="0"/>
                <w:i w:val="0"/>
              </w:rPr>
              <w:t>Septiembre</w:t>
            </w:r>
          </w:p>
        </w:tc>
        <w:tc>
          <w:tcPr>
            <w:tcW w:type="dxa" w:w="1949"/>
          </w:tcPr>
          <w:p>
            <w:r/>
            <w:r>
              <w:rPr>
                <w:b w:val="0"/>
                <w:i w:val="0"/>
              </w:rPr>
              <w:t>Media</w:t>
            </w:r>
          </w:p>
        </w:tc>
        <w:tc>
          <w:tcPr>
            <w:tcW w:type="dxa" w:w="1949"/>
          </w:tcPr>
          <w:p>
            <w:r/>
            <w:r>
              <w:rPr>
                <w:b w:val="0"/>
                <w:i w:val="0"/>
              </w:rPr>
              <w:t>0,86</w:t>
            </w:r>
          </w:p>
        </w:tc>
        <w:tc>
          <w:tcPr>
            <w:tcW w:type="dxa" w:w="1949"/>
          </w:tcPr>
          <w:p>
            <w:r/>
            <w:r>
              <w:rPr>
                <w:b w:val="0"/>
                <w:i w:val="0"/>
              </w:rPr>
              <w:t>14.268 €</w:t>
            </w:r>
          </w:p>
        </w:tc>
        <w:tc>
          <w:tcPr>
            <w:tcW w:type="dxa" w:w="1949"/>
          </w:tcPr>
          <w:p>
            <w:r/>
            <w:r>
              <w:rPr>
                <w:b w:val="0"/>
                <w:i w:val="0"/>
              </w:rPr>
              <w:t>7,2 %</w:t>
            </w:r>
          </w:p>
        </w:tc>
      </w:tr>
    </w:tbl>
    <w:p/>
    <w:p>
      <w:pPr>
        <w:jc w:val="center"/>
      </w:pPr>
      <w:r>
        <w:rPr>
          <w:i/>
          <w:color w:val="444444"/>
        </w:rPr>
        <w:t>Agosto es el ÚNICO mes de temporada baja de los doce. Julio y septiembre son de temporada media, así que el verano no es un agujero de tres meses: es un mes bajo entre dos medios.</w:t>
      </w:r>
    </w:p>
    <w:p>
      <w:r>
        <w:br w:type="page"/>
      </w:r>
    </w:p>
    <w:p>
      <w:pPr>
        <w:pStyle w:val="Heading1"/>
      </w:pPr>
      <w:r>
        <w:t>10. El Taller: Línea de Negocio o Marketing</w:t>
      </w:r>
    </w:p>
    <w:p>
      <w:pPr>
        <w:pStyle w:val="Heading2"/>
      </w:pPr>
      <w:r>
        <w:t>El contexto de la decisión</w:t>
      </w:r>
    </w:p>
    <w:p>
      <w:r>
        <w:rPr>
          <w:b w:val="0"/>
          <w:i w:val="0"/>
        </w:rPr>
        <w:t>El caso se repite en cualquier bombonería con vitrina (exhibidor) a pie de calle: se monta un calendario de talleres porque llena Instagram y da buena foto del obrador (taller o laboratorio), que no es el taller que le vendes al cliente, el protagonista de este capítulo, y nadie calcula si esa hora de sala ocupada por 12 personas deja más o menos que esa misma hora vendiendo bombones sueltos.</w:t>
      </w:r>
    </w:p>
    <w:p>
      <w:r>
        <w:rPr>
          <w:b w:val="0"/>
          <w:i w:val="0"/>
        </w:rPr>
        <w:t>Lo que casi nadie calcula es cuántos asistentes hacen falta sólo para cubrir el coste (costo) del docente, y cuántos hacen falta contando también el material que cada uno se lleva. Son dos umbrales distintos, y el segundo siempre pesa más.</w:t>
      </w:r>
    </w:p>
    <w:p>
      <w:r>
        <w:rPr>
          <w:b w:val="0"/>
          <w:i w:val="0"/>
        </w:rPr>
        <w:t>El mercado de talleres de chocolate en España se mueve, según un agregado de operadores con web propia consultado el 12 de septiembre de 2026 (Tallerdechocolate.es, Gastronomía Activa, Club del Chocolate y Helen Chocolate), entre 25 € y 45 € por persona, con mínimo habitual de 6 asistentes y duración de 90 a 150 minutos: Madrid cobra 26 € en una clase y 45 € en otra, Valencia pide 30 € con mínimo de 6 plazas, y Murcia factura 25 € con el impuesto incluido, también con mínimo de 6. El caso modelado de este pack fija el suyo en el extremo bajo del rango, 25,00 €, con un aforo de 12 plazas por sesión.</w:t>
      </w:r>
    </w:p>
    <w:p>
      <w:pPr>
        <w:pStyle w:val="Heading2"/>
      </w:pPr>
      <w:r>
        <w:t>Las opciones sobre la mesa</w:t>
      </w:r>
    </w:p>
    <w:p>
      <w:r>
        <w:rPr>
          <w:b w:val="0"/>
          <w:i w:val="0"/>
        </w:rPr>
        <w:t>No hay una sola forma de montar esto, hay tres:</w:t>
      </w:r>
    </w:p>
    <w:p>
      <w:pPr>
        <w:pStyle w:val="ListBullet"/>
      </w:pPr>
      <w:r>
        <w:rPr>
          <w:b w:val="0"/>
          <w:i w:val="0"/>
        </w:rPr>
        <w:t>Opción A, taller como línea de negocio: calendario fijo, plazas que se venden con antelación y precio de mercado, dentro del mismo rango de 25 € a 45 € del sector.</w:t>
      </w:r>
    </w:p>
    <w:p>
      <w:pPr>
        <w:pStyle w:val="ListBullet"/>
      </w:pPr>
      <w:r>
        <w:rPr>
          <w:b w:val="0"/>
          <w:i w:val="0"/>
        </w:rPr>
        <w:t>Opción B, taller como marketing: puntual, ligado a un lanzamiento o a una campaña, a precio de coste o casi. No busca margen, busca contenido y vitrina llena el día de la foto.</w:t>
      </w:r>
    </w:p>
    <w:p>
      <w:pPr>
        <w:pStyle w:val="ListBullet"/>
      </w:pPr>
      <w:r>
        <w:rPr>
          <w:b w:val="0"/>
          <w:i w:val="0"/>
        </w:rPr>
        <w:t>Opción C, taller privado para empresas: vive en este pack dentro de la misma hoja que el regalo corporativo, porque el cliente es otro -una empresa que paga por una actividad de equipo, no una familia por una tarde- y el precio se negocia aparte.</w:t>
      </w:r>
    </w:p>
    <w:p>
      <w:r>
        <w:rPr>
          <w:b w:val="0"/>
          <w:i w:val="0"/>
        </w:rPr>
        <w:t>Lo que cambia entre las tres: el aprovechamiento de la sala en hora punta, la carga de trabajo del obrador y el perfil de quien entra por la puerta. Un taller de empresa entra un martes entre semana; uno de marketing entra un sábado a mediodía, justo cuando la vitrina debería estar vendiendo sola.</w:t>
      </w:r>
    </w:p>
    <w:p>
      <w:pPr>
        <w:pStyle w:val="Heading2"/>
      </w:pPr>
      <w:r>
        <w:t>El criterio con el que se decide</w:t>
      </w:r>
    </w:p>
    <w:p>
      <w:r>
        <w:rPr>
          <w:b w:val="0"/>
          <w:i w:val="0"/>
        </w:rPr>
        <w:t>La regla vale para las tres opciones: se compara el margen por hora de sala dando el taller contra el margen por hora de sala vendiendo, sin el taller montado encima. Si el horario elegido ya vendía bien -la hora punta de la tarde, un sábado de campaña-, el taller puede salir caro aunque se llene, porque cada plaza ocupada es una venta de mostrador que no se ha hecho.</w:t>
      </w:r>
    </w:p>
    <w:p>
      <w:r>
        <w:rPr>
          <w:b w:val="0"/>
          <w:i w:val="0"/>
        </w:rPr>
        <w:t>Y hay un criterio estacional que en este oficio pesa más que en ningún otro: el taller es la única línea que funciona en agosto, cuando el obrador reduce producción y la cobertura sufre con el calor, y la única que no depende del precio del cacao, porque el ingreso viene de la plaza y de la hora del docente, no del escandallo (costeo). Es la herramienta que rellena el valle de verano sin tocar la parte del negocio más expuesta a la volatilidad del grano.</w:t>
      </w:r>
    </w:p>
    <w:p>
      <w:pPr>
        <w:pStyle w:val="Heading2"/>
      </w:pPr>
      <w:r>
        <w:t>La celda que lo resuelve</w:t>
      </w:r>
    </w:p>
    <w:p>
      <w:r>
        <w:rPr>
          <w:b w:val="0"/>
          <w:i w:val="0"/>
        </w:rPr>
        <w:t>Todo esto está calculado, con el precio y el aforo de más arriba, en la hoja «Talleres y Regalo Corporativo» de plan-financiero-3-anos-chocolateria.xlsx, que da un veredicto y no un número suelto. Para cubrir sólo el coste del docente hacen falta 2,3 asistentes por sesión; contando también el material, la cifra sube a 2,7. Con un aforo de 12, ese umbral es fácil de cubrir: el riesgo real no es no cubrir costes, es no llenar el resto de las plazas con margen.</w:t>
      </w:r>
    </w:p>
    <w:p>
      <w:r>
        <w:rPr>
          <w:b w:val="0"/>
          <w:i w:val="0"/>
        </w:rPr>
        <w:t>Ahí está el dato que decide entre las tres opciones: el margen por hora de sala dando taller es de 67,51 €, frente a los 28,42 € por hora de sala vendiendo. El propio libro lo resume con un veredicto que conviene repetir tal cual: la hora de taller deja más que la hora vendiendo, el calendario de talleres se defiende solo. El caso modelado sitúa el ingreso anual de los talleres en 9.600 €, con cuatro sesiones al mes y ocho asistentes de media, frente a los 11.945 € que la hoja de canales asigna al canal «talleres y catas»: la diferencia son las catas y el margen de llenado que la hoja deja disponible. La tabla de abajo recoge el recorrido completo desde el precio por persona hasta el margen por hora.</w:t>
      </w:r>
    </w:p>
    <w:p>
      <w:r>
        <w:rPr>
          <w:b w:val="0"/>
          <w:i w:val="0"/>
        </w:rPr>
        <w:t>La misma hoja lleva una comprobación interna que conviene rellenar con tus propios datos: cuántos talleres al mes hacen falta para que la línea pese en tu cuenta de resultados lo que el plan dice que debería pesar. Si el número de sesiones no encaja con el calendario real de tu obrador y de tu personal, la decisión correcta es bajar la ambición de la línea a la opción de marketing puntual.</w:t>
      </w:r>
    </w:p>
    <w:p>
      <w:pPr>
        <w:pStyle w:val="Heading2"/>
      </w:pPr>
      <w:r>
        <w:t>La norma que aplica cuando la hay</w:t>
      </w:r>
    </w:p>
    <w:p>
      <w:r>
        <w:rPr>
          <w:b w:val="0"/>
          <w:i w:val="0"/>
        </w:rPr>
        <w:t>Aquí sí hay norma, y conviene cerrarla antes de fijar precio, no después de cobrar la primera sesión. Un taller de bombonería NO está exento del impuesto sobre el valor añadido por ser formación: la exención de enseñanza del art. 20.Uno.9.º de la Ley 37/1992, de 28 de diciembre, del Impuesto sobre el Valor Añadido (BOE-A-1992-28740), texto consolidado, exige que quien imparte la clase sea una entidad de derecho público o una entidad privada autorizada, y el art. 20.Uno.10.º de la misma ley excluye expresamente las clases para cuya realización haya que darse de alta en las tarifas empresariales del impuesto de actividades económicas, que es justo tu caso si das el taller tú mismo. Eso está cerrado, comprobado el 12 de septiembre de 2026.</w:t>
      </w:r>
    </w:p>
    <w:p>
      <w:r>
        <w:rPr>
          <w:b w:val="0"/>
          <w:i w:val="0"/>
        </w:rPr>
        <w:t>Lo que NO está cerrado es el tipo aplicable, y por eso este documento no publica ninguno: en la hoja «0. Supuestos» del mismo plan financiero, la celda del tipo de impuesto del taller lleva escrito, literalmente, «Pregúntaselo a tu asesor». Es la frase correcta antes de imprimir un cartel con precio final, porque el tipo que apliques cambia el margen por hora de sala de más arriba.</w:t>
      </w:r>
    </w:p>
    <w:p>
      <w:r>
        <w:rPr>
          <w:b w:val="0"/>
          <w:i w:val="0"/>
        </w:rPr>
        <w:t>La recomendación se desprende del propio veredicto: si tu horario de valle -una mañana entre semana, un tramo de agosto- deja hoy un margen por hora peor que el del taller, móntalo como línea de negocio con calendario fijo; resérvalo como marketing puntual sólo si vas a ocupar con él una franja en la que la sala ya vendía bien, porque entonces la plaza del taller compite con la venta de mostrador en lugar de sumarse a ella.</w:t>
      </w:r>
    </w:p>
    <w:p>
      <w:r>
        <w:rPr>
          <w:b/>
          <w:i w:val="0"/>
        </w:rPr>
        <w:t>El taller, del precio por persona al margen por hora de sala (plan-financiero-3-anos-chocolateria.xlsx, hoja «Talleres y Regalo Corporativo»)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Valor</w:t>
            </w:r>
          </w:p>
        </w:tc>
        <w:tc>
          <w:tcPr>
            <w:tcW w:type="dxa" w:w="3249"/>
          </w:tcPr>
          <w:p>
            <w:r/>
            <w:r>
              <w:rPr>
                <w:b/>
                <w:i w:val="0"/>
              </w:rPr>
              <w:t>Unidad</w:t>
            </w:r>
          </w:p>
        </w:tc>
      </w:tr>
      <w:tr>
        <w:tc>
          <w:tcPr>
            <w:tcW w:type="dxa" w:w="3249"/>
          </w:tcPr>
          <w:p>
            <w:r/>
            <w:r>
              <w:rPr>
                <w:b w:val="0"/>
                <w:i w:val="0"/>
              </w:rPr>
              <w:t>Horas que la sala está ocupada por el taller</w:t>
            </w:r>
          </w:p>
        </w:tc>
        <w:tc>
          <w:tcPr>
            <w:tcW w:type="dxa" w:w="3249"/>
          </w:tcPr>
          <w:p>
            <w:r/>
            <w:r>
              <w:rPr>
                <w:b w:val="0"/>
                <w:i w:val="0"/>
              </w:rPr>
              <w:t>3,00</w:t>
            </w:r>
          </w:p>
        </w:tc>
        <w:tc>
          <w:tcPr>
            <w:tcW w:type="dxa" w:w="3249"/>
          </w:tcPr>
          <w:p>
            <w:r/>
            <w:r>
              <w:rPr>
                <w:b w:val="0"/>
                <w:i w:val="0"/>
              </w:rPr>
              <w:t>horas</w:t>
            </w:r>
          </w:p>
        </w:tc>
      </w:tr>
      <w:tr>
        <w:tc>
          <w:tcPr>
            <w:tcW w:type="dxa" w:w="3249"/>
          </w:tcPr>
          <w:p>
            <w:r/>
            <w:r>
              <w:rPr>
                <w:b w:val="0"/>
                <w:i w:val="0"/>
              </w:rPr>
              <w:t>Ingreso del taller a aforo completo (€)</w:t>
            </w:r>
          </w:p>
        </w:tc>
        <w:tc>
          <w:tcPr>
            <w:tcW w:type="dxa" w:w="3249"/>
          </w:tcPr>
          <w:p>
            <w:r/>
            <w:r>
              <w:rPr>
                <w:b w:val="0"/>
                <w:i w:val="0"/>
              </w:rPr>
              <w:t>300,00</w:t>
            </w:r>
          </w:p>
        </w:tc>
        <w:tc>
          <w:tcPr>
            <w:tcW w:type="dxa" w:w="3249"/>
          </w:tcPr>
          <w:p>
            <w:r/>
            <w:r>
              <w:rPr>
                <w:b w:val="0"/>
                <w:i w:val="0"/>
              </w:rPr>
              <w:t>€/taller</w:t>
            </w:r>
          </w:p>
        </w:tc>
      </w:tr>
      <w:tr>
        <w:tc>
          <w:tcPr>
            <w:tcW w:type="dxa" w:w="3249"/>
          </w:tcPr>
          <w:p>
            <w:r/>
            <w:r>
              <w:rPr>
                <w:b w:val="0"/>
                <w:i w:val="0"/>
              </w:rPr>
              <w:t>Margen por hora de sala DANDO TALLER (€/hora)</w:t>
            </w:r>
          </w:p>
        </w:tc>
        <w:tc>
          <w:tcPr>
            <w:tcW w:type="dxa" w:w="3249"/>
          </w:tcPr>
          <w:p>
            <w:r/>
            <w:r>
              <w:rPr>
                <w:b w:val="0"/>
                <w:i w:val="0"/>
              </w:rPr>
              <w:t>67,51</w:t>
            </w:r>
          </w:p>
        </w:tc>
        <w:tc>
          <w:tcPr>
            <w:tcW w:type="dxa" w:w="3249"/>
          </w:tcPr>
          <w:p>
            <w:r/>
            <w:r>
              <w:rPr>
                <w:b w:val="0"/>
                <w:i w:val="0"/>
              </w:rPr>
              <w:t>€/hora</w:t>
            </w:r>
          </w:p>
        </w:tc>
      </w:tr>
      <w:tr>
        <w:tc>
          <w:tcPr>
            <w:tcW w:type="dxa" w:w="3249"/>
          </w:tcPr>
          <w:p>
            <w:r/>
            <w:r>
              <w:rPr>
                <w:b w:val="0"/>
                <w:i w:val="0"/>
              </w:rPr>
              <w:t>Ventas de mostrador del año de crucero (€)</w:t>
            </w:r>
          </w:p>
        </w:tc>
        <w:tc>
          <w:tcPr>
            <w:tcW w:type="dxa" w:w="3249"/>
          </w:tcPr>
          <w:p>
            <w:r/>
            <w:r>
              <w:rPr>
                <w:b w:val="0"/>
                <w:i w:val="0"/>
              </w:rPr>
              <w:t>123.434,52</w:t>
            </w:r>
          </w:p>
        </w:tc>
        <w:tc>
          <w:tcPr>
            <w:tcW w:type="dxa" w:w="3249"/>
          </w:tcPr>
          <w:p>
            <w:r/>
            <w:r>
              <w:rPr>
                <w:b w:val="0"/>
                <w:i w:val="0"/>
              </w:rPr>
              <w:t>€/año</w:t>
            </w:r>
          </w:p>
        </w:tc>
      </w:tr>
      <w:tr>
        <w:tc>
          <w:tcPr>
            <w:tcW w:type="dxa" w:w="3249"/>
          </w:tcPr>
          <w:p>
            <w:r/>
            <w:r>
              <w:rPr>
                <w:b w:val="0"/>
                <w:i w:val="0"/>
              </w:rPr>
              <w:t>Horas de tienda abierta al año</w:t>
            </w:r>
          </w:p>
        </w:tc>
        <w:tc>
          <w:tcPr>
            <w:tcW w:type="dxa" w:w="3249"/>
          </w:tcPr>
          <w:p>
            <w:r/>
            <w:r>
              <w:rPr>
                <w:b w:val="0"/>
                <w:i w:val="0"/>
              </w:rPr>
              <w:t>3.040,00</w:t>
            </w:r>
          </w:p>
        </w:tc>
        <w:tc>
          <w:tcPr>
            <w:tcW w:type="dxa" w:w="3249"/>
          </w:tcPr>
          <w:p>
            <w:r/>
            <w:r>
              <w:rPr>
                <w:b w:val="0"/>
                <w:i w:val="0"/>
              </w:rPr>
              <w:t>horas/año</w:t>
            </w:r>
          </w:p>
        </w:tc>
      </w:tr>
      <w:tr>
        <w:tc>
          <w:tcPr>
            <w:tcW w:type="dxa" w:w="3249"/>
          </w:tcPr>
          <w:p>
            <w:r/>
            <w:r>
              <w:rPr>
                <w:b w:val="0"/>
                <w:i w:val="0"/>
              </w:rPr>
              <w:t>Margen por hora de sala VENDIENDO (€/hora)</w:t>
            </w:r>
          </w:p>
        </w:tc>
        <w:tc>
          <w:tcPr>
            <w:tcW w:type="dxa" w:w="3249"/>
          </w:tcPr>
          <w:p>
            <w:r/>
            <w:r>
              <w:rPr>
                <w:b w:val="0"/>
                <w:i w:val="0"/>
              </w:rPr>
              <w:t>28,42</w:t>
            </w:r>
          </w:p>
        </w:tc>
        <w:tc>
          <w:tcPr>
            <w:tcW w:type="dxa" w:w="3249"/>
          </w:tcPr>
          <w:p>
            <w:r/>
            <w:r>
              <w:rPr>
                <w:b w:val="0"/>
                <w:i w:val="0"/>
              </w:rPr>
              <w:t>€/hora</w:t>
            </w:r>
          </w:p>
        </w:tc>
      </w:tr>
      <w:tr>
        <w:tc>
          <w:tcPr>
            <w:tcW w:type="dxa" w:w="3249"/>
          </w:tcPr>
          <w:p>
            <w:r/>
            <w:r>
              <w:rPr>
                <w:b w:val="0"/>
                <w:i w:val="0"/>
              </w:rPr>
              <w:t>Diferencia a favor del taller (€/hora)</w:t>
            </w:r>
          </w:p>
        </w:tc>
        <w:tc>
          <w:tcPr>
            <w:tcW w:type="dxa" w:w="3249"/>
          </w:tcPr>
          <w:p>
            <w:r/>
            <w:r>
              <w:rPr>
                <w:b w:val="0"/>
                <w:i w:val="0"/>
              </w:rPr>
              <w:t>39,09</w:t>
            </w:r>
          </w:p>
        </w:tc>
        <w:tc>
          <w:tcPr>
            <w:tcW w:type="dxa" w:w="3249"/>
          </w:tcPr>
          <w:p>
            <w:r/>
            <w:r>
              <w:rPr>
                <w:b w:val="0"/>
                <w:i w:val="0"/>
              </w:rPr>
              <w:t>€/hora</w:t>
            </w:r>
          </w:p>
        </w:tc>
      </w:tr>
      <w:tr>
        <w:tc>
          <w:tcPr>
            <w:tcW w:type="dxa" w:w="3249"/>
          </w:tcPr>
          <w:p>
            <w:r/>
            <w:r>
              <w:rPr>
                <w:b w:val="0"/>
                <w:i w:val="0"/>
              </w:rPr>
              <w:t>VEREDICTO DE LA HORA DE SALA</w:t>
            </w:r>
          </w:p>
        </w:tc>
        <w:tc>
          <w:tcPr>
            <w:tcW w:type="dxa" w:w="3249"/>
          </w:tcPr>
          <w:p>
            <w:r/>
            <w:r>
              <w:rPr>
                <w:b w:val="0"/>
                <w:i w:val="0"/>
              </w:rPr>
              <w:t>La hora de taller deja más que la hora vendiendo: el calendario de talleres se defiende solo</w:t>
            </w:r>
          </w:p>
        </w:tc>
        <w:tc>
          <w:tcPr>
            <w:tcW w:type="dxa" w:w="3249"/>
          </w:tcPr>
          <w:p>
            <w:r/>
          </w:p>
        </w:tc>
      </w:tr>
    </w:tbl>
    <w:p/>
    <w:p>
      <w:pPr>
        <w:jc w:val="center"/>
      </w:pPr>
      <w:r>
        <w:rPr>
          <w:i/>
          <w:color w:val="444444"/>
        </w:rPr>
        <w:t>La comparación que decide es la de las dos últimas filas de margen por hora. El tipo impositivo del taller va sin cifra a propósito: lo único cerrado es que no está exento.</w:t>
      </w:r>
    </w:p>
    <w:p>
      <w:r>
        <w:br w:type="page"/>
      </w:r>
    </w:p>
    <w:p>
      <w:pPr>
        <w:pStyle w:val="Heading1"/>
      </w:pPr>
      <w:r>
        <w:t>11. Empezar en Casa Dentro de la Legalidad</w:t>
      </w:r>
    </w:p>
    <w:p>
      <w:pPr>
        <w:pStyle w:val="Heading2"/>
      </w:pPr>
      <w:r>
        <w:t>El contexto de la decisión</w:t>
      </w:r>
    </w:p>
    <w:p>
      <w:r>
        <w:rPr>
          <w:b w:val="0"/>
          <w:i w:val="0"/>
        </w:rPr>
        <w:t>El caso se repite en cada tanda de consultas que llegan a este pack: alguien lleva dos años haciendo bombones por encargo en su propia cocina y quiere empezar a facturar sin montar todavía un local. Busca la respuesta en internet y encuentra dos posturas opuestas, las dos dichas con la misma seguridad: una jura que es completamente legal, la otra jura que es imposible sin obrador (taller o laboratorio) dado de alta. Ninguna de las dos está completa.</w:t>
      </w:r>
    </w:p>
    <w:p>
      <w:r>
        <w:rPr>
          <w:b w:val="0"/>
          <w:i w:val="0"/>
        </w:rPr>
        <w:t>Lo que casi nadie explica bien es que la respuesta correcta no es sí ni no: es «depende de tu comunidad autónoma», y el motivo está en una lista cerrada que termina con una letra abierta. Esa lista es el art. 13.8 del RD 1021/2022, comprobado el 12 de septiembre de 2026, y tiene cinco letras en total: la letra a cubre comidas preparadas con tratamiento térmico suficiente, y la letra b, en su texto literal, «productos de panadería y repostería estables a temperatura ambiente». Ahí se agota lo que la mayoría llega a leer, y por eso da la puerta por cerrada o por abierta sin comprobar nada más.</w:t>
      </w:r>
    </w:p>
    <w:p>
      <w:r>
        <w:rPr>
          <w:b w:val="0"/>
          <w:i w:val="0"/>
        </w:rPr>
        <w:t>Una búsqueda exhaustiva sobre el texto completo de esa norma zanja la duda de raíz: las palabras «chocolate», «cacao», «bombón», «confitería» y «golosina» aparecen cero veces en todo el texto; «repostería» aparece una sola vez, en esa misma letra b, y «pastelería» aparece otra sola vez, en la fila novena del art. 4.1. El bombón, sencillamente, no está nombrado en ningún sitio de esta norma.</w:t>
      </w:r>
    </w:p>
    <w:p>
      <w:pPr>
        <w:pStyle w:val="Heading2"/>
      </w:pPr>
      <w:r>
        <w:t>Las opciones sobre la mesa</w:t>
      </w:r>
    </w:p>
    <w:p>
      <w:r>
        <w:rPr>
          <w:b w:val="0"/>
          <w:i w:val="0"/>
        </w:rPr>
        <w:t>Con ese punto de partida hay tres caminos, y sólo dos suelen planteárselos de entrada:</w:t>
      </w:r>
    </w:p>
    <w:p>
      <w:pPr>
        <w:pStyle w:val="ListBullet"/>
      </w:pPr>
      <w:r>
        <w:rPr>
          <w:b w:val="0"/>
          <w:i w:val="0"/>
        </w:rPr>
        <w:t>Opción A: esperar, ahorrar y montar el obrador con todo lo que exige, que es el resto de esta guía.</w:t>
      </w:r>
    </w:p>
    <w:p>
      <w:pPr>
        <w:pStyle w:val="ListBullet"/>
      </w:pPr>
      <w:r>
        <w:rPr>
          <w:b w:val="0"/>
          <w:i w:val="0"/>
        </w:rPr>
        <w:t>Opción B: comprobar si la comunidad autónoma propia ha ampliado esa lista estatal por su cuenta y, si lo ha hecho, seguir esa vía autonómica en vez de la estatal.</w:t>
      </w:r>
    </w:p>
    <w:p>
      <w:pPr>
        <w:pStyle w:val="ListBullet"/>
      </w:pPr>
      <w:r>
        <w:rPr>
          <w:b w:val="0"/>
          <w:i w:val="0"/>
        </w:rPr>
        <w:t>Opción C: alquilar horas de un obrador ajeno ya legalizado para producir bajo su alta, la salida que casi nadie menciona porque no sale en ningún buscador y sí en la práctica de quien ya lo ha resuelto.</w:t>
      </w:r>
    </w:p>
    <w:p>
      <w:r>
        <w:rPr>
          <w:b w:val="0"/>
          <w:i w:val="0"/>
        </w:rPr>
        <w:t>Lo que cambia entre las tres no es sólo el papeleo: cambia el tiempo hasta la primera factura, la inversión que hay que adelantar y el techo de producción con el que se puede trabajar. Ese techo, en la vía doméstica, es bajo por definición y no por capricho de quien redactó la norma: se fija así a propósito para que la excepción no se convierta en una fábrica sin inspección.</w:t>
      </w:r>
    </w:p>
    <w:p>
      <w:pPr>
        <w:pStyle w:val="Heading2"/>
      </w:pPr>
      <w:r>
        <w:t>El criterio con el que se decide</w:t>
      </w:r>
    </w:p>
    <w:p>
      <w:r>
        <w:rPr>
          <w:b w:val="0"/>
          <w:i w:val="0"/>
        </w:rPr>
        <w:t>La regla de decisión no empieza por los kilos que se quieren producir: empieza por la pregunta de la comunidad autónoma. Si la comunidad propia no ha ampliado la lista estatal, los umbrales de kilos y de proporcionalidad no llegan siquiera a activarse; da igual cuánto se produzca en la cocina, porque la puerta ya está cerrada antes de medir nada.</w:t>
      </w:r>
    </w:p>
    <w:p>
      <w:r>
        <w:rPr>
          <w:b w:val="0"/>
          <w:i w:val="0"/>
        </w:rPr>
        <w:t>Y el criterio de crecimiento aleja del error de tomar esto como una meta: la vía doméstica tiene, cuando está abierta, un techo de volumen proporcional al tamaño de las instalaciones, y que en ningún caso puede superar los 100 kilos semanales, con la obligación añadida de demostrarlo documentalmente si lo pide una inspección. Ese doble límite -proporcionalidad y tope absoluto- convierte la vía doméstica en una rampa de salida hacia el obrador, nunca en un destino donde quedarse a crecer.</w:t>
      </w:r>
    </w:p>
    <w:p>
      <w:pPr>
        <w:pStyle w:val="Heading2"/>
      </w:pPr>
      <w:r>
        <w:t>La celda que lo resuelve</w:t>
      </w:r>
    </w:p>
    <w:p>
      <w:r>
        <w:rPr>
          <w:b w:val="0"/>
          <w:i w:val="0"/>
        </w:rPr>
        <w:t>La hoja «Ruta Doméstica» de checklist-legal-licencias-y-cacao.xlsx sigue exactamente este orden: primero pregunta por la comunidad autónoma, y sólo si la respuesta abre la puerta activa uno detrás de otro los tres requisitos de producción. En el caso modelado que trae el pack, la respuesta a si la comunidad ha ampliado la lista por la letra abierta es que no, y la lectura que da la hoja es directa: con la lista estatal en la mano, el bombón no entra, así que la ruta doméstica no está abierta para ese caso.</w:t>
      </w:r>
    </w:p>
    <w:p>
      <w:r>
        <w:rPr>
          <w:b w:val="0"/>
          <w:i w:val="0"/>
        </w:rPr>
        <w:t>Aun así, la hoja calcula igual qué densidad de producción supondría el caso modelado, para quien sí tenga la puerta abierta en su comunidad: los 35 kilos a la semana que prevé elaborar el caso modelado, repartidos sobre sus 12 metros cuadrados de zona de elaboración, salen a 2,92 kilos por metro cuadrado, muy por debajo del tope absoluto de 100 kilos semanales. Y como la ruta no está abierta en ese caso concreto, el requisito de proporcionalidad se marca directamente como no procede. El veredicto que escribe la hoja es el mismo que hay que poder repetir delante de un inspector sin dudar: con la lista estatal en la mano, la ruta doméstica no está abierta para el bombón en esa comunidad.</w:t>
      </w:r>
    </w:p>
    <w:p>
      <w:r>
        <w:rPr>
          <w:b w:val="0"/>
          <w:i w:val="0"/>
        </w:rPr>
        <w:t>La recomendación, con la condición que la cambiaría, es esta: mientras tu comunidad autónoma no haya ejercido la letra abierta a favor del bombón, la vía doméstica no es una opción real, y toca ir directo a la opción B o a la opción C. Eso cambia el día que tu comunidad publique su propia lista con una letra que cubra expresamente tu producto.</w:t>
      </w:r>
    </w:p>
    <w:p>
      <w:pPr>
        <w:pStyle w:val="Heading2"/>
      </w:pPr>
      <w:r>
        <w:t>La norma que aplica cuando la hay</w:t>
      </w:r>
    </w:p>
    <w:p>
      <w:r>
        <w:rPr>
          <w:b w:val="0"/>
          <w:i w:val="0"/>
        </w:rPr>
        <w:t>Que el bombón no encaje por defecto en la letra b es una lectura nuestra, no una cita literal de la norma: esa letra habla de panadería y repostería, y encajar ahí un bombón de chocolate es forzar una categoría pensada para otra cosa. Así se presenta, como interpretación, y no como si el texto lo dijera con esas palabras.</w:t>
      </w:r>
    </w:p>
    <w:p>
      <w:r>
        <w:rPr>
          <w:b w:val="0"/>
          <w:i w:val="0"/>
        </w:rPr>
        <w:t>La letra e, la que de verdad decide, sí es literal: «otros alimentos que las autoridades competentes de las comunidades autónomas permitan en sus territorios». Es una lista abierta a propósito, y ya hay comunidades que la han ejercido. La Comunitat Valenciana, por el punto 9.8.1.b de su Decreto 13/2025 del Consell, amplió su propia lista hasta ocho letras y añadió «confitería» sin nombrar el chocolate, manteniendo además el mismo requisito de estabilidad a temperatura ambiente que trae la norma estatal. Sigue siendo discutible si «confitería» cubre de verdad un bombón relleno o un praliné, y esa es justo la pregunta que hay que llevarle a la administración autonómica antes de dar la ruta por abierta o por cerrada: no basta con que exista una lista ampliada, hay que leer con qué palabra exacta se ha ampliado.</w:t>
      </w:r>
    </w:p>
    <w:p>
      <w:r>
        <w:rPr>
          <w:b/>
          <w:i w:val="0"/>
        </w:rPr>
        <w:t>Los tres requisitos de la vía doméstica, y en qué orden se comprueban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Paso</w:t>
            </w:r>
          </w:p>
        </w:tc>
        <w:tc>
          <w:tcPr>
            <w:tcW w:type="dxa" w:w="3249"/>
          </w:tcPr>
          <w:p>
            <w:r/>
            <w:r>
              <w:rPr>
                <w:b/>
                <w:i w:val="0"/>
              </w:rPr>
              <w:t>Qué se comprueba</w:t>
            </w:r>
          </w:p>
        </w:tc>
        <w:tc>
          <w:tcPr>
            <w:tcW w:type="dxa" w:w="3249"/>
          </w:tcPr>
          <w:p>
            <w:r/>
            <w:r>
              <w:rPr>
                <w:b/>
                <w:i w:val="0"/>
              </w:rPr>
              <w:t>Si la respuesta es no</w:t>
            </w:r>
          </w:p>
        </w:tc>
      </w:tr>
      <w:tr>
        <w:tc>
          <w:tcPr>
            <w:tcW w:type="dxa" w:w="3249"/>
          </w:tcPr>
          <w:p>
            <w:r/>
            <w:r>
              <w:rPr>
                <w:b w:val="0"/>
                <w:i w:val="0"/>
              </w:rPr>
              <w:t>1. La puerta</w:t>
            </w:r>
          </w:p>
        </w:tc>
        <w:tc>
          <w:tcPr>
            <w:tcW w:type="dxa" w:w="3249"/>
          </w:tcPr>
          <w:p>
            <w:r/>
            <w:r>
              <w:rPr>
                <w:b w:val="0"/>
                <w:i w:val="0"/>
              </w:rPr>
              <w:t>¿Tu comunidad autónoma ha ampliado la lista estatal por la letra abierta?</w:t>
            </w:r>
          </w:p>
        </w:tc>
        <w:tc>
          <w:tcPr>
            <w:tcW w:type="dxa" w:w="3249"/>
          </w:tcPr>
          <w:p>
            <w:r/>
            <w:r>
              <w:rPr>
                <w:b w:val="0"/>
                <w:i w:val="0"/>
              </w:rPr>
              <w:t>La vía doméstica no está abierta para el bombón: los pasos siguientes no llegan a activarse</w:t>
            </w:r>
          </w:p>
        </w:tc>
      </w:tr>
      <w:tr>
        <w:tc>
          <w:tcPr>
            <w:tcW w:type="dxa" w:w="3249"/>
          </w:tcPr>
          <w:p>
            <w:r/>
            <w:r>
              <w:rPr>
                <w:b w:val="0"/>
                <w:i w:val="0"/>
              </w:rPr>
              <w:t>2. El volumen proporcional</w:t>
            </w:r>
          </w:p>
        </w:tc>
        <w:tc>
          <w:tcPr>
            <w:tcW w:type="dxa" w:w="3249"/>
          </w:tcPr>
          <w:p>
            <w:r/>
            <w:r>
              <w:rPr>
                <w:b w:val="0"/>
                <w:i w:val="0"/>
              </w:rPr>
              <w:t>¿La producción prevista es proporcional al tamaño de las instalaciones, de manera que se garanticen las prácticas correctas de higiene?</w:t>
            </w:r>
          </w:p>
        </w:tc>
        <w:tc>
          <w:tcPr>
            <w:tcW w:type="dxa" w:w="3249"/>
          </w:tcPr>
          <w:p>
            <w:r/>
            <w:r>
              <w:rPr>
                <w:b w:val="0"/>
                <w:i w:val="0"/>
              </w:rPr>
              <w:t>Hay que reducir la producción prevista o cambiar de vía: es el requisito que de verdad limita</w:t>
            </w:r>
          </w:p>
        </w:tc>
      </w:tr>
      <w:tr>
        <w:tc>
          <w:tcPr>
            <w:tcW w:type="dxa" w:w="3249"/>
          </w:tcPr>
          <w:p>
            <w:r/>
            <w:r>
              <w:rPr>
                <w:b w:val="0"/>
                <w:i w:val="0"/>
              </w:rPr>
              <w:t>3. El tope absoluto</w:t>
            </w:r>
          </w:p>
        </w:tc>
        <w:tc>
          <w:tcPr>
            <w:tcW w:type="dxa" w:w="3249"/>
          </w:tcPr>
          <w:p>
            <w:r/>
            <w:r>
              <w:rPr>
                <w:b w:val="0"/>
                <w:i w:val="0"/>
              </w:rPr>
              <w:t>¿Estás por debajo del tope de kilos a la semana?</w:t>
            </w:r>
          </w:p>
        </w:tc>
        <w:tc>
          <w:tcPr>
            <w:tcW w:type="dxa" w:w="3249"/>
          </w:tcPr>
          <w:p>
            <w:r/>
            <w:r>
              <w:rPr>
                <w:b w:val="0"/>
                <w:i w:val="0"/>
              </w:rPr>
              <w:t>Fuera de la vía doméstica: ese tope es un techo, no un objetivo</w:t>
            </w:r>
          </w:p>
        </w:tc>
      </w:tr>
      <w:tr>
        <w:tc>
          <w:tcPr>
            <w:tcW w:type="dxa" w:w="3249"/>
          </w:tcPr>
          <w:p>
            <w:r/>
            <w:r>
              <w:rPr>
                <w:b w:val="0"/>
                <w:i w:val="0"/>
              </w:rPr>
              <w:t>4. La prueba</w:t>
            </w:r>
          </w:p>
        </w:tc>
        <w:tc>
          <w:tcPr>
            <w:tcW w:type="dxa" w:w="3249"/>
          </w:tcPr>
          <w:p>
            <w:r/>
            <w:r>
              <w:rPr>
                <w:b w:val="0"/>
                <w:i w:val="0"/>
              </w:rPr>
              <w:t>¿Puedes demostrarlo documentalmente, con registro de producción y albaranes?</w:t>
            </w:r>
          </w:p>
        </w:tc>
        <w:tc>
          <w:tcPr>
            <w:tcW w:type="dxa" w:w="3249"/>
          </w:tcPr>
          <w:p>
            <w:r/>
            <w:r>
              <w:rPr>
                <w:b w:val="0"/>
                <w:i w:val="0"/>
              </w:rPr>
              <w:t>Sin poder demostrarlo, los otros dos requisitos no valen</w:t>
            </w:r>
          </w:p>
        </w:tc>
      </w:tr>
    </w:tbl>
    <w:p/>
    <w:p>
      <w:pPr>
        <w:jc w:val="center"/>
      </w:pPr>
      <w:r>
        <w:rPr>
          <w:i/>
          <w:color w:val="444444"/>
        </w:rPr>
        <w:t>El orden importa: empezar por los kilos y no por la comunidad autónoma sugiere que la vía existe cuando puede no existir. Y la frase que hay que poder repetir es «no entra en la lista estatal salvo que mi comunidad lo haya añadido», nunca «es ilegal en España».</w:t>
      </w:r>
    </w:p>
    <w:p>
      <w:r>
        <w:br w:type="page"/>
      </w:r>
    </w:p>
    <w:p>
      <w:pPr>
        <w:pStyle w:val="Heading1"/>
      </w:pPr>
      <w:r>
        <w:t>12. Qué Haces con el Chocolate que no se Vende</w:t>
      </w:r>
    </w:p>
    <w:p>
      <w:pPr>
        <w:pStyle w:val="Heading2"/>
      </w:pPr>
      <w:r>
        <w:t>El contexto de la decisión</w:t>
      </w:r>
    </w:p>
    <w:p>
      <w:r>
        <w:rPr>
          <w:b w:val="0"/>
          <w:i w:val="0"/>
        </w:rPr>
        <w:t>Termina la campaña -Navidad, San Valentín, el día de la madre, o el verano si tienes cámara para sostenerlo- y en el obrador (taller o laboratorio) quedan figuras que ya no van a salir, cajas montadas y bombones a punto de caducar. La decisión se toma con la tienda a medio recoger, que es la peor circunstancia para decidir bien: se acaba tirando lo que se podía vender y malvendiendo lo que se podía refundir sin perder nada.</w:t>
      </w:r>
    </w:p>
    <w:p>
      <w:r>
        <w:rPr>
          <w:b w:val="0"/>
          <w:i w:val="0"/>
        </w:rPr>
        <w:t>Lo que casi nadie calcula antes de llegar ahí es cuánto cuesta al año esa merma por caducidad, referencia a referencia. Medida tanda por tanda, la cifra suele ser menor de lo que se teme y está concentrada: en la carta completa de este pack la merma anual sube a 768 € y afecta a 3.755 piezas, pero sólo 2 referencias de toda la carta llevan una tanda demasiado grande. Son esas 2 las que hay que mirar primero, no la carta entera. Y conviene tener presente la vida útil más corta de tu carta: 10 días en este ejemplo, un margen que no admite el mismo error de producción que una referencia que aguanta semanas en vitrina (exhibidor).</w:t>
      </w:r>
    </w:p>
    <w:p>
      <w:pPr>
        <w:pStyle w:val="Heading2"/>
      </w:pPr>
      <w:r>
        <w:t>Las opciones sobre la mesa</w:t>
      </w:r>
    </w:p>
    <w:p>
      <w:r>
        <w:rPr>
          <w:b w:val="0"/>
          <w:i w:val="0"/>
        </w:rPr>
        <w:t>Con el producto ya hecho y la fecha encima, las salidas reales son cuatro. Opción A: refundir lo que se pueda, devolviendo a producción el chocolate que sigue siendo limpio. Opción B: vender con descuento antes de la fecha límite, a costa del margen. Opción C: donar lo que siga siendo apto para el consumo, que no mete un euro en caja pero evita el desperdicio puro. Opción D: tirar, la única que no recupera nada y que además añade un coste (costo) de gestión de residuo.</w:t>
      </w:r>
    </w:p>
    <w:p>
      <w:r>
        <w:rPr>
          <w:b w:val="0"/>
          <w:i w:val="0"/>
        </w:rPr>
        <w:t>Lo que cambia de una a otra no es sólo el dinero recuperado: cambia el efecto sobre el precio percibido -sacar bombón con descuento junto al que vendes a precio de siempre no siempre transmite lo que quieres transmitir- y cambian las obligaciones documentales de cada camino, sobre todo si entra en juego la donación.</w:t>
      </w:r>
    </w:p>
    <w:p>
      <w:r>
        <w:rPr>
          <w:b w:val="0"/>
          <w:i w:val="0"/>
        </w:rPr>
        <w:t>Si vendes con descuento a granel, hay una letra pequeña que conviene conocer: hay que aceptar los envases reutilizables que traiga el cliente, y desde el 1 de enero de 2027 los locales de menos de 120 metros cuadrados deberán ofrecer al menos una bebida en envase reutilizable -si en tu chocolatería se sirve chocolate a la taza, esa fecha te toca directamente (Real Decreto 1055/2022, BOE-A-2022-22690, arts. 9.3 y 9.4). Y con estacionalidad marcada hay una palanca más antes de decidir: congelar bombones o coberturas para ganar tiempo, con regla estricta -temperatura central de -18 °C con descenso ininterrumpido, etiqueta con las tres fechas (elaboración, congelación, caducidad), la palabra «descongelado» en la venta, y recongelación prohibida salvo transformación posterior (Real Decreto 1021/2022, BOE-A-2022-21681, art. 5).</w:t>
      </w:r>
    </w:p>
    <w:p>
      <w:pPr>
        <w:pStyle w:val="Heading2"/>
      </w:pPr>
      <w:r>
        <w:t>El criterio con el que se decide</w:t>
      </w:r>
    </w:p>
    <w:p>
      <w:r>
        <w:rPr>
          <w:b w:val="0"/>
          <w:i w:val="0"/>
        </w:rPr>
        <w:t>Antes de mirar precios ni normas hay una regla física que separa el problema en dos, y no es opinable: el chocolate sin relleno y sin contaminar se puede refundir sin restricción; el que lleva ganache, fruta o cualquier relleno húmedo va directo a residuo, porque ya ha dejado de ser chocolate limpio. Esta frontera decide, antes que nada, qué parte de lo sobrante puede aspirar a la opción A y qué parte sólo tiene delante la C o la D.</w:t>
      </w:r>
    </w:p>
    <w:p>
      <w:r>
        <w:rPr>
          <w:b w:val="0"/>
          <w:i w:val="0"/>
        </w:rPr>
        <w:t>Hay una segunda regla, de negocio y no de oficio: la merma por caducidad no se arregla al final, se arregla ajustando el tamaño de la tanda al principio. Lo que caduca en la vitrina es, casi siempre, lo que se produjo de más. La recomendación por defecto es donar mientras el producto siga siendo apto -conserva mejor el valor de marca que cualquier otra salida- y reservar el refundido para cuando la donación no llegue a tiempo o la referencia, por llevar relleno, no lo permita. Tirar queda para lo que no cumple ninguna de las dos condiciones.</w:t>
      </w:r>
    </w:p>
    <w:p>
      <w:pPr>
        <w:pStyle w:val="Heading2"/>
      </w:pPr>
      <w:r>
        <w:t>La celda que lo resuelve</w:t>
      </w:r>
    </w:p>
    <w:p>
      <w:r>
        <w:rPr>
          <w:b w:val="0"/>
          <w:i w:val="0"/>
        </w:rPr>
        <w:t>Esto no se decide a ojo. La hoja «Lote y Merma por Caducidad» de vida-util-rellenos-y-rotacion.xlsx da la merma anual en euros y señala, referencia por referencia, cuáles llevan una tanda demasiado grande: son los 768 € y las 2 referencias de las que hablábamos antes, y también el peso de esa merma sobre el coste (costo) de materia del año, que se queda en el 1,6 %. Es la hoja que hay que abrir antes de tocar el tamaño de ninguna tanda.</w:t>
      </w:r>
    </w:p>
    <w:p>
      <w:r>
        <w:rPr>
          <w:b w:val="0"/>
          <w:i w:val="0"/>
        </w:rPr>
        <w:t>La segunda pieza está en el libro de la carta: la hoja «Merma de Templado y Recortes» de carta-de-apertura-y-escandallo-chocolate.xlsx separa lo que vuelve a la cuba de lo que va a residuo, y pone precio a cada lado. En esta carta de ejemplo son 86,4 kilos al año que vuelven a producción casi sin coste, frente a 719 € de merma irrecuperable. Cruzar estas dos hojas con la fecha de caducidad de cada referencia -la más corta son 10 días- dice si el tamaño de tanda que planeas es el que tu vitrina puede vender a tiempo.</w:t>
      </w:r>
    </w:p>
    <w:p>
      <w:pPr>
        <w:pStyle w:val="Heading2"/>
      </w:pPr>
      <w:r>
        <w:t>La norma que aplica cuando la hay</w:t>
      </w:r>
    </w:p>
    <w:p>
      <w:r>
        <w:rPr>
          <w:b w:val="0"/>
          <w:i w:val="0"/>
        </w:rPr>
        <w:t>La norma que gobierna esta decisión es la «Ley 1/2025, de 1 de abril, de prevención de las pérdidas y el desperdicio alimentario» (BOE-A-2025-6597), comprobada el 12 de septiembre de 2026, y conviene leerla despacio porque no dice del todo lo que parece a primera vista. Si tu chocolatería es microempresa, el apartado 6 del artículo 6 te deja fuera de todo el resto del artículo: fuera del plan de prevención de pérdidas, de los convenios de donación y de las jerarquías de destino que impone a los negocios más grandes. Lo único que sigue en pie, seas microempresa o no, es que cualquier cláusula de un contrato con tu proveedor que prohíba donar es nula de pleno derecho.</w:t>
      </w:r>
    </w:p>
    <w:p>
      <w:r>
        <w:rPr>
          <w:b w:val="0"/>
          <w:i w:val="0"/>
        </w:rPr>
        <w:t>Y hay una segunda cara de la misma ley que casi nadie cuenta, porque vive en otro artículo: la obligación de facilitar que el cliente se lleve lo que no ha consumido está en el artículo 8, no en el 6, así que la exclusión de la microempresa no llega hasta ahí. Si en tu chocolatería se sirve chocolate a la taza y hay mesas, ese artículo 8 te obliga igual que a cualquier otro negocio de hostelería, seas del tamaño que seas. Fuera de estos dos puntos no hay más norma que aplicar: refundir, descontar, donar o tirar es, a partir de aquí, una decisión de negocio, con los números de tu propia carta delante.</w:t>
      </w:r>
    </w:p>
    <w:p>
      <w:r>
        <w:rPr>
          <w:b/>
          <w:i w:val="0"/>
        </w:rPr>
        <w:t>Las cuatro salidas del producto que sobra, y qué obliga cada una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Salida</w:t>
            </w:r>
          </w:p>
        </w:tc>
        <w:tc>
          <w:tcPr>
            <w:tcW w:type="dxa" w:w="2436"/>
          </w:tcPr>
          <w:p>
            <w:r/>
            <w:r>
              <w:rPr>
                <w:b/>
                <w:i w:val="0"/>
              </w:rPr>
              <w:t>Qué producto admite</w:t>
            </w:r>
          </w:p>
        </w:tc>
        <w:tc>
          <w:tcPr>
            <w:tcW w:type="dxa" w:w="2436"/>
          </w:tcPr>
          <w:p>
            <w:r/>
            <w:r>
              <w:rPr>
                <w:b/>
                <w:i w:val="0"/>
              </w:rPr>
              <w:t>Qué recuperas</w:t>
            </w:r>
          </w:p>
        </w:tc>
        <w:tc>
          <w:tcPr>
            <w:tcW w:type="dxa" w:w="2436"/>
          </w:tcPr>
          <w:p>
            <w:r/>
            <w:r>
              <w:rPr>
                <w:b/>
                <w:i w:val="0"/>
              </w:rPr>
              <w:t>Qué tienes que tener en cuenta</w:t>
            </w:r>
          </w:p>
        </w:tc>
      </w:tr>
      <w:tr>
        <w:tc>
          <w:tcPr>
            <w:tcW w:type="dxa" w:w="2436"/>
          </w:tcPr>
          <w:p>
            <w:r/>
            <w:r>
              <w:rPr>
                <w:b w:val="0"/>
                <w:i w:val="0"/>
              </w:rPr>
              <w:t>Refundir</w:t>
            </w:r>
          </w:p>
        </w:tc>
        <w:tc>
          <w:tcPr>
            <w:tcW w:type="dxa" w:w="2436"/>
          </w:tcPr>
          <w:p>
            <w:r/>
            <w:r>
              <w:rPr>
                <w:b w:val="0"/>
                <w:i w:val="0"/>
              </w:rPr>
              <w:t>Chocolate sin relleno y sin contaminar, recortes limpios de templado</w:t>
            </w:r>
          </w:p>
        </w:tc>
        <w:tc>
          <w:tcPr>
            <w:tcW w:type="dxa" w:w="2436"/>
          </w:tcPr>
          <w:p>
            <w:r/>
            <w:r>
              <w:rPr>
                <w:b w:val="0"/>
                <w:i w:val="0"/>
              </w:rPr>
              <w:t>Casi todo el valor de la materia</w:t>
            </w:r>
          </w:p>
        </w:tc>
        <w:tc>
          <w:tcPr>
            <w:tcW w:type="dxa" w:w="2436"/>
          </w:tcPr>
          <w:p>
            <w:r/>
            <w:r>
              <w:rPr>
                <w:b w:val="0"/>
                <w:i w:val="0"/>
              </w:rPr>
              <w:t>Es una regla física, no legal: el que lleva ganache o fruta no vuelve a la cuba</w:t>
            </w:r>
          </w:p>
        </w:tc>
      </w:tr>
      <w:tr>
        <w:tc>
          <w:tcPr>
            <w:tcW w:type="dxa" w:w="2436"/>
          </w:tcPr>
          <w:p>
            <w:r/>
            <w:r>
              <w:rPr>
                <w:b w:val="0"/>
                <w:i w:val="0"/>
              </w:rPr>
              <w:t>Vender con descuento antes de la fecha</w:t>
            </w:r>
          </w:p>
        </w:tc>
        <w:tc>
          <w:tcPr>
            <w:tcW w:type="dxa" w:w="2436"/>
          </w:tcPr>
          <w:p>
            <w:r/>
            <w:r>
              <w:rPr>
                <w:b w:val="0"/>
                <w:i w:val="0"/>
              </w:rPr>
              <w:t>Cualquier referencia apta, dentro de su vida útil declarada</w:t>
            </w:r>
          </w:p>
        </w:tc>
        <w:tc>
          <w:tcPr>
            <w:tcW w:type="dxa" w:w="2436"/>
          </w:tcPr>
          <w:p>
            <w:r/>
            <w:r>
              <w:rPr>
                <w:b w:val="0"/>
                <w:i w:val="0"/>
              </w:rPr>
              <w:t>Parte del margen</w:t>
            </w:r>
          </w:p>
        </w:tc>
        <w:tc>
          <w:tcPr>
            <w:tcW w:type="dxa" w:w="2436"/>
          </w:tcPr>
          <w:p>
            <w:r/>
            <w:r>
              <w:rPr>
                <w:b w:val="0"/>
                <w:i w:val="0"/>
              </w:rPr>
              <w:t>La regla del precio anterior condiciona cómo se anuncia un precio tachado</w:t>
            </w:r>
          </w:p>
        </w:tc>
      </w:tr>
      <w:tr>
        <w:tc>
          <w:tcPr>
            <w:tcW w:type="dxa" w:w="2436"/>
          </w:tcPr>
          <w:p>
            <w:r/>
            <w:r>
              <w:rPr>
                <w:b w:val="0"/>
                <w:i w:val="0"/>
              </w:rPr>
              <w:t>Donar</w:t>
            </w:r>
          </w:p>
        </w:tc>
        <w:tc>
          <w:tcPr>
            <w:tcW w:type="dxa" w:w="2436"/>
          </w:tcPr>
          <w:p>
            <w:r/>
            <w:r>
              <w:rPr>
                <w:b w:val="0"/>
                <w:i w:val="0"/>
              </w:rPr>
              <w:t>Producto apto para el consumo, dentro de su vida útil</w:t>
            </w:r>
          </w:p>
        </w:tc>
        <w:tc>
          <w:tcPr>
            <w:tcW w:type="dxa" w:w="2436"/>
          </w:tcPr>
          <w:p>
            <w:r/>
            <w:r>
              <w:rPr>
                <w:b w:val="0"/>
                <w:i w:val="0"/>
              </w:rPr>
              <w:t>Nada en caja, sí en destino</w:t>
            </w:r>
          </w:p>
        </w:tc>
        <w:tc>
          <w:tcPr>
            <w:tcW w:type="dxa" w:w="2436"/>
          </w:tcPr>
          <w:p>
            <w:r/>
            <w:r>
              <w:rPr>
                <w:b w:val="0"/>
                <w:i w:val="0"/>
              </w:rPr>
              <w:t>Si eres microempresa, el artículo del plan de prevención NO te obliga; y ninguna cláusula puede prohibirte donar</w:t>
            </w:r>
          </w:p>
        </w:tc>
      </w:tr>
      <w:tr>
        <w:tc>
          <w:tcPr>
            <w:tcW w:type="dxa" w:w="2436"/>
          </w:tcPr>
          <w:p>
            <w:r/>
            <w:r>
              <w:rPr>
                <w:b w:val="0"/>
                <w:i w:val="0"/>
              </w:rPr>
              <w:t>Residuo</w:t>
            </w:r>
          </w:p>
        </w:tc>
        <w:tc>
          <w:tcPr>
            <w:tcW w:type="dxa" w:w="2436"/>
          </w:tcPr>
          <w:p>
            <w:r/>
            <w:r>
              <w:rPr>
                <w:b w:val="0"/>
                <w:i w:val="0"/>
              </w:rPr>
              <w:t>Lo que lleva relleno, fruta o está fuera de fecha</w:t>
            </w:r>
          </w:p>
        </w:tc>
        <w:tc>
          <w:tcPr>
            <w:tcW w:type="dxa" w:w="2436"/>
          </w:tcPr>
          <w:p>
            <w:r/>
            <w:r>
              <w:rPr>
                <w:b w:val="0"/>
                <w:i w:val="0"/>
              </w:rPr>
              <w:t>Nada</w:t>
            </w:r>
          </w:p>
        </w:tc>
        <w:tc>
          <w:tcPr>
            <w:tcW w:type="dxa" w:w="2436"/>
          </w:tcPr>
          <w:p>
            <w:r/>
            <w:r>
              <w:rPr>
                <w:b w:val="0"/>
                <w:i w:val="0"/>
              </w:rPr>
              <w:t>Es el coste que la hoja de merma cuantifica, y el que se baja ajustando el tamaño de tanda</w:t>
            </w:r>
          </w:p>
        </w:tc>
      </w:tr>
    </w:tbl>
    <w:p/>
    <w:p>
      <w:pPr>
        <w:jc w:val="center"/>
      </w:pPr>
      <w:r>
        <w:rPr>
          <w:i/>
          <w:color w:val="444444"/>
        </w:rPr>
        <w:t>Si sirves chocolate a la taza y tienes mesas, hay un artículo de la misma ley que SÍ te obliga aunque seas microempresa: facilitar que el cliente se lleve lo que no ha consumido.</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aichef.pro/guia-chocolateria-obrador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Diari Oficial de la Generalitat de Catalunya, el registro de convenios colectivos del Ministerio de Trabajo y la guía informativa del registro sanitario- el 12 de septiembre de 2026: cada afirmación legal lleva su norma y su artículo para que puedas comprobarla y para que sepas dónde mirar cuando cambie. La norma del cacao que llega de la Unión Europea acumula dos modificaciones y una corrección de errores en doce meses, así que el anexo trae la fecha en la que toca volver a mirarla. Lo que depende de tu ayuntamiento -la licencia de obra, el planeamiento urbanístico, las tasas- cambia en cada uno de los municipios de España y aquí se trata como una pregunta que tienes que hacer, nunca como un dato. Las superficies, importes, precios, gramajes, márgenes y plazos del caso que recorre el documento son valores de ejemplo de una bombonería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aceptar un pedido de empresa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Decisiones de Apertura Resueltas</dc:title>
  <dc:subject>Bonus del pack Cómo Montar una Chocolatería Boutique &amp; Atelier · Versión 1.0 · septiembre 2026</dc:subject>
  <dc:creator>AI Chef Pro</dc:creator>
  <cp:keywords/>
  <dc:description>AI Chef Pro · aichef.pro</dc:description>
  <cp:lastModifiedBy>AI Chef Pro</cp:lastModifiedBy>
  <cp:revision>1</cp:revision>
  <dcterms:created xsi:type="dcterms:W3CDTF">2026-09-19T15:36:33Z</dcterms:created>
  <dcterms:modified xsi:type="dcterms:W3CDTF">2026-09-19T15:36:33Z</dcterms:modified>
  <cp:category>Guía profesional</cp:category>
</cp:coreProperties>
</file>