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Restaurante Casual · España ↔ Hispanoamérica, EE. UU. y Brasil</w:t>
      </w:r>
    </w:p>
    <w:p>
      <w:pPr>
        <w:spacing w:before="120"/>
        <w:jc w:val="center"/>
      </w:pPr>
      <w:r>
        <w:rPr>
          <w:rFonts w:ascii="Calibri" w:hAnsi="Calibri"/>
          <w:b/>
          <w:color w:val="1A1A1A"/>
          <w:sz w:val="24"/>
        </w:rPr>
        <w:t>Incluida con tu Guía Restaurante Casual</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Restaurante Casual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caña</w:t>
            </w:r>
          </w:p>
        </w:tc>
        <w:tc>
          <w:tcPr>
            <w:tcW w:type="dxa" w:w="504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shd w:val="clear" w:color="auto" w:fill="FAF7F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shd w:val="clear" w:color="auto" w:fill="FAF7F0"/>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shd w:val="clear" w:color="auto" w:fill="FAF7F0"/>
          </w:tcPr>
          <w:p>
            <w:pPr>
              <w:spacing w:before="0" w:after="0" w:line="240" w:lineRule="auto"/>
            </w:pPr>
            <w:r>
              <w:rPr>
                <w:color w:val="1A1A1A"/>
                <w:sz w:val="16"/>
              </w:rPr>
              <w:t>«Sous chef» es universal en cocina profesional; «segundo de cocina» se oye más en AR, PE y CO.</w:t>
            </w:r>
          </w:p>
        </w:tc>
      </w:tr>
      <w:tr>
        <w:trPr>
          <w:cantSplit/>
        </w:trPr>
        <w:tc>
          <w:tcPr>
            <w:tcW w:type="dxa" w:w="2016"/>
            <w:shd w:val="clear" w:color="auto" w:fill="F3EBD8"/>
          </w:tcPr>
          <w:p>
            <w:pPr>
              <w:spacing w:before="0" w:after="0" w:line="240" w:lineRule="auto"/>
            </w:pPr>
            <w:r>
              <w:rPr>
                <w:b/>
                <w:color w:val="1A1A1A"/>
                <w:sz w:val="16"/>
              </w:rPr>
              <w:t>partida (de cocina)</w:t>
            </w:r>
          </w:p>
        </w:tc>
        <w:tc>
          <w:tcPr>
            <w:tcW w:type="dxa" w:w="5040"/>
          </w:tcPr>
          <w:p>
            <w:pPr>
              <w:spacing w:before="0" w:after="0" w:line="240" w:lineRule="auto"/>
            </w:pPr>
            <w:r>
              <w:rPr>
                <w:b/>
                <w:color w:val="1A1A1A"/>
                <w:sz w:val="16"/>
              </w:rPr>
              <w:t>estación</w:t>
            </w:r>
            <w:r>
              <w:rPr>
                <w:color w:val="1A1A1A"/>
                <w:sz w:val="16"/>
              </w:rPr>
              <w:t xml:space="preserve"> (MX, GT, HN, SV, NI, CR, PA, DO, PR, CO, VE, US) · </w:t>
            </w:r>
            <w:r>
              <w:rPr>
                <w:b/>
                <w:color w:val="1A1A1A"/>
                <w:sz w:val="16"/>
              </w:rPr>
              <w:t>partida</w:t>
            </w:r>
            <w:r>
              <w:rPr>
                <w:color w:val="1A1A1A"/>
                <w:sz w:val="16"/>
              </w:rPr>
              <w:t xml:space="preserve"> (CU, EC, PE, BO) · </w:t>
            </w:r>
            <w:r>
              <w:rPr>
                <w:b/>
                <w:color w:val="1A1A1A"/>
                <w:sz w:val="16"/>
              </w:rPr>
              <w:t>sector, partida</w:t>
            </w:r>
            <w:r>
              <w:rPr>
                <w:color w:val="1A1A1A"/>
                <w:sz w:val="16"/>
              </w:rPr>
              <w:t xml:space="preserve"> (CL, AR, UY, PY) · Brasil (pt): </w:t>
            </w:r>
            <w:r>
              <w:rPr>
                <w:b/>
                <w:color w:val="1A1A1A"/>
                <w:sz w:val="16"/>
              </w:rPr>
              <w:t>praça</w:t>
            </w:r>
          </w:p>
        </w:tc>
        <w:tc>
          <w:tcPr>
            <w:tcW w:type="dxa" w:w="2016"/>
          </w:tcPr>
          <w:p>
            <w:pPr>
              <w:spacing w:before="0" w:after="0" w:line="240" w:lineRule="auto"/>
            </w:pPr>
            <w:r>
              <w:rPr>
                <w:color w:val="1A1A1A"/>
                <w:sz w:val="16"/>
              </w:rPr>
              <w:t>En EE. UU. se dice «station» o «línea» (line); en AR y CL el «sector» es la partida de cocina.</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primer plato</w:t>
            </w:r>
          </w:p>
        </w:tc>
        <w:tc>
          <w:tcPr>
            <w:tcW w:type="dxa" w:w="5040"/>
            <w:shd w:val="clear" w:color="auto" w:fill="FAF7F0"/>
          </w:tcPr>
          <w:p>
            <w:pPr>
              <w:spacing w:before="0" w:after="0" w:line="240" w:lineRule="auto"/>
            </w:pPr>
            <w:r>
              <w:rPr>
                <w:b/>
                <w:color w:val="1A1A1A"/>
                <w:sz w:val="16"/>
              </w:rPr>
              <w:t>entrada</w:t>
            </w:r>
            <w:r>
              <w:rPr>
                <w:color w:val="1A1A1A"/>
                <w:sz w:val="16"/>
              </w:rPr>
              <w:t xml:space="preserve"> (CU, DO, PR, CO, VE, EC, PE, BO, CL, AR, UY, PY) · </w:t>
            </w:r>
            <w:r>
              <w:rPr>
                <w:b/>
                <w:color w:val="1A1A1A"/>
                <w:sz w:val="16"/>
              </w:rPr>
              <w:t>sopa / primer tiempo</w:t>
            </w:r>
            <w:r>
              <w:rPr>
                <w:color w:val="1A1A1A"/>
                <w:sz w:val="16"/>
              </w:rPr>
              <w:t xml:space="preserve"> (MX) · Igual que en España: GT, HN, SV, NI, CR, PA, US · Brasil (pt): </w:t>
            </w:r>
            <w:r>
              <w:rPr>
                <w:b/>
                <w:color w:val="1A1A1A"/>
                <w:sz w:val="16"/>
              </w:rPr>
              <w:t>entrada</w:t>
            </w:r>
          </w:p>
        </w:tc>
        <w:tc>
          <w:tcPr>
            <w:tcW w:type="dxa" w:w="2016"/>
            <w:shd w:val="clear" w:color="auto" w:fill="FAF7F0"/>
          </w:tcPr>
          <w:p>
            <w:pPr>
              <w:spacing w:before="0" w:after="0" w:line="240" w:lineRule="auto"/>
            </w:pPr>
            <w:r>
              <w:rPr>
                <w:color w:val="1A1A1A"/>
                <w:sz w:val="16"/>
              </w:rPr>
              <w:t>En MX la comida tradicional abre con «sopa»; «primer tiempo» se usa en restaurantes con menú.</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economato</w:t>
            </w:r>
          </w:p>
        </w:tc>
        <w:tc>
          <w:tcPr>
            <w:tcW w:type="dxa" w:w="5040"/>
            <w:shd w:val="clear" w:color="auto" w:fill="FAF7F0"/>
          </w:tcPr>
          <w:p>
            <w:pPr>
              <w:spacing w:before="0" w:after="0" w:line="240" w:lineRule="auto"/>
            </w:pPr>
            <w:r>
              <w:rPr>
                <w:b/>
                <w:color w:val="1A1A1A"/>
                <w:sz w:val="16"/>
              </w:rPr>
              <w:t>despensa</w:t>
            </w:r>
            <w:r>
              <w:rPr>
                <w:color w:val="1A1A1A"/>
                <w:sz w:val="16"/>
              </w:rPr>
              <w:t xml:space="preserve"> (MX, GT, HN, SV, NI, CR, PA, CU, DO, PR, CO, VE, EC) · </w:t>
            </w:r>
            <w:r>
              <w:rPr>
                <w:b/>
                <w:color w:val="1A1A1A"/>
                <w:sz w:val="16"/>
              </w:rPr>
              <w:t>bodega o almacén de secos</w:t>
            </w:r>
            <w:r>
              <w:rPr>
                <w:color w:val="1A1A1A"/>
                <w:sz w:val="16"/>
              </w:rPr>
              <w:t xml:space="preserve"> (PE, BO, CL, AR, UY, PY) · </w:t>
            </w:r>
            <w:r>
              <w:rPr>
                <w:b/>
                <w:color w:val="1A1A1A"/>
                <w:sz w:val="16"/>
              </w:rPr>
              <w:t>dry storage</w:t>
            </w:r>
            <w:r>
              <w:rPr>
                <w:color w:val="1A1A1A"/>
                <w:sz w:val="16"/>
              </w:rPr>
              <w:t xml:space="preserve"> (US) · Brasil (pt): </w:t>
            </w:r>
            <w:r>
              <w:rPr>
                <w:b/>
                <w:color w:val="1A1A1A"/>
                <w:sz w:val="16"/>
              </w:rPr>
              <w:t>despensa</w:t>
            </w:r>
          </w:p>
        </w:tc>
        <w:tc>
          <w:tcPr>
            <w:tcW w:type="dxa" w:w="2016"/>
            <w:shd w:val="clear" w:color="auto" w:fill="FAF7F0"/>
          </w:tcPr>
          <w:p>
            <w:pPr>
              <w:spacing w:before="0" w:after="0" w:line="240" w:lineRule="auto"/>
            </w:pPr>
            <w:r>
              <w:rPr>
                <w:color w:val="1A1A1A"/>
                <w:sz w:val="16"/>
              </w:rPr>
              <w:t>En MX «despensa» es también la caja de víveres; en la cocina es el cuarto de secos.</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shd w:val="clear" w:color="auto" w:fill="FAF7F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shd w:val="clear" w:color="auto" w:fill="FAF7F0"/>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cocina de gas</w:t>
            </w:r>
          </w:p>
        </w:tc>
        <w:tc>
          <w:tcPr>
            <w:tcW w:type="dxa" w:w="5040"/>
            <w:shd w:val="clear" w:color="auto" w:fill="FAF7F0"/>
          </w:tcPr>
          <w:p>
            <w:pPr>
              <w:spacing w:before="0" w:after="0" w:line="240" w:lineRule="auto"/>
            </w:pPr>
            <w:r>
              <w:rPr>
                <w:b/>
                <w:color w:val="1A1A1A"/>
                <w:sz w:val="16"/>
              </w:rPr>
              <w:t>estufa (de gas)</w:t>
            </w:r>
            <w:r>
              <w:rPr>
                <w:color w:val="1A1A1A"/>
                <w:sz w:val="16"/>
              </w:rPr>
              <w:t xml:space="preserve"> (MX, GT, HN, SV, NI, PA, DO, PR, CO, US) · </w:t>
            </w:r>
            <w:r>
              <w:rPr>
                <w:b/>
                <w:color w:val="1A1A1A"/>
                <w:sz w:val="16"/>
              </w:rPr>
              <w:t>cocina a gas</w:t>
            </w:r>
            <w:r>
              <w:rPr>
                <w:color w:val="1A1A1A"/>
                <w:sz w:val="16"/>
              </w:rPr>
              <w:t xml:space="preserve"> (CR, CU, VE, EC, PE, BO, CL, AR, UY, PY) · Brasil (pt): </w:t>
            </w:r>
            <w:r>
              <w:rPr>
                <w:b/>
                <w:color w:val="1A1A1A"/>
                <w:sz w:val="16"/>
              </w:rPr>
              <w:t>fogão a gás</w:t>
            </w:r>
          </w:p>
        </w:tc>
        <w:tc>
          <w:tcPr>
            <w:tcW w:type="dxa" w:w="2016"/>
            <w:shd w:val="clear" w:color="auto" w:fill="FAF7F0"/>
          </w:tcPr>
          <w:p>
            <w:pPr>
              <w:spacing w:before="0" w:after="0" w:line="240" w:lineRule="auto"/>
            </w:pPr>
            <w:r>
              <w:rPr>
                <w:color w:val="1A1A1A"/>
                <w:sz w:val="16"/>
              </w:rPr>
              <w:t>Falso amigo: en AR, CL y UY «estufa» es un calefactor. En MX y CO «cocina» no es el aparato.</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shd w:val="clear" w:color="auto" w:fill="FAF7F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shd w:val="clear" w:color="auto" w:fill="FAF7F0"/>
          </w:tcPr>
          <w:p>
            <w:pPr>
              <w:spacing w:before="0" w:after="0" w:line="240" w:lineRule="auto"/>
            </w:pPr>
            <w:r>
              <w:rPr>
                <w:color w:val="1A1A1A"/>
                <w:sz w:val="16"/>
              </w:rPr>
              <w:t>En CL se habla de «emprender»; en CO y VE «montar» es muy natural.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Restaurante Casual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Restaurante Casual</dc:title>
  <dc:subject>Vocabulario, impuestos, sanidad, normas laborales y unidades de 20 países para adaptar tu producto</dc:subject>
  <dc:creator>AI Chef Pro</dc:creator>
  <cp:keywords>equivalencias, hostelería, vocabulario, Hispanoamérica, Guía Restaurante Casual</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