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Gestión de Personal · España ↔ Hispanoamérica, EE. UU. y Brasil</w:t>
      </w:r>
    </w:p>
    <w:p>
      <w:pPr>
        <w:spacing w:before="120"/>
        <w:jc w:val="center"/>
      </w:pPr>
      <w:r>
        <w:rPr>
          <w:rFonts w:ascii="Calibri" w:hAnsi="Calibri"/>
          <w:b/>
          <w:color w:val="1A1A1A"/>
          <w:sz w:val="24"/>
        </w:rPr>
        <w:t>Incluida con tu Kit de Gestión de Personal</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Gestión de Personal en tu país</w:t>
      </w:r>
    </w:p>
    <w:p>
      <w:pPr>
        <w:keepNext/>
      </w:pPr>
      <w:r>
        <w:rPr>
          <w:color w:val="C6A664"/>
          <w:sz w:val="16"/>
        </w:rPr>
        <w:t>━━━━━━━━━━━━━━━━━━━━━━━━━━━━━━━━━━━━━━━━━━━━━━━━━━</w:t>
      </w:r>
    </w:p>
    <w:p>
      <w:pPr>
        <w:spacing w:line="288" w:lineRule="auto"/>
      </w:pPr>
      <w:r>
        <w:t>Tu kit de Excel funciona con parámetros que debes ajustar a tu país: tasa de impuesto, costes de seguridad social, moneda y unidades. Cámbialos en las celdas verdes y todo el libro recalcula. Las recetas están en g, kg y l; si en tu mercado compras por libra u otra unidad local, conviértela con la tabla de la sección 3. Renombra también los encabezados con las palabras que usa tu equipo. La tabla siguiente recoge los términos del kit y cómo se dicen en tu país.</w:t>
      </w: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shd w:val="clear" w:color="auto" w:fill="FAF7F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shd w:val="clear" w:color="auto" w:fill="FAF7F0"/>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shd w:val="clear" w:color="auto" w:fill="FAF7F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shd w:val="clear" w:color="auto" w:fill="FAF7F0"/>
          </w:tcPr>
          <w:p>
            <w:pPr>
              <w:spacing w:before="0" w:after="0" w:line="240" w:lineRule="auto"/>
            </w:pPr>
            <w:r>
              <w:rPr>
                <w:color w:val="1A1A1A"/>
                <w:sz w:val="16"/>
              </w:rPr>
              <w:t>«Jefe de sala» se entiende en la región andina y Chile; en el Río de la Plata dicen «salón».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shd w:val="clear" w:color="auto" w:fill="FAF7F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shd w:val="clear" w:color="auto" w:fill="FAF7F0"/>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pase</w:t>
            </w:r>
          </w:p>
        </w:tc>
        <w:tc>
          <w:tcPr>
            <w:tcW w:type="dxa" w:w="5040"/>
            <w:shd w:val="clear" w:color="auto" w:fill="FAF7F0"/>
          </w:tcPr>
          <w:p>
            <w:pPr>
              <w:spacing w:before="0" w:after="0" w:line="240" w:lineRule="auto"/>
            </w:pPr>
            <w:r>
              <w:rPr>
                <w:b/>
                <w:color w:val="1A1A1A"/>
                <w:sz w:val="16"/>
              </w:rPr>
              <w:t>ventanilla / ventana</w:t>
            </w:r>
            <w:r>
              <w:rPr>
                <w:color w:val="1A1A1A"/>
                <w:sz w:val="16"/>
              </w:rPr>
              <w:t xml:space="preserve"> (CL) · </w:t>
            </w:r>
            <w:r>
              <w:rPr>
                <w:b/>
                <w:color w:val="1A1A1A"/>
                <w:sz w:val="16"/>
              </w:rPr>
              <w:t>pass / expo</w:t>
            </w:r>
            <w:r>
              <w:rPr>
                <w:color w:val="1A1A1A"/>
                <w:sz w:val="16"/>
              </w:rPr>
              <w:t xml:space="preserve"> (US) · Igual que en España: MX, GT, HN, SV, NI, CR, PA, CU, DO, PR, CO, VE, EC, PE, BO, AR, UY, PY · Brasil (pt): </w:t>
            </w:r>
            <w:r>
              <w:rPr>
                <w:b/>
                <w:color w:val="1A1A1A"/>
                <w:sz w:val="16"/>
              </w:rPr>
              <w:t>passe</w:t>
            </w:r>
          </w:p>
        </w:tc>
        <w:tc>
          <w:tcPr>
            <w:tcW w:type="dxa" w:w="2016"/>
            <w:shd w:val="clear" w:color="auto" w:fill="FAF7F0"/>
          </w:tcPr>
          <w:p>
            <w:pPr>
              <w:spacing w:before="0" w:after="0" w:line="240" w:lineRule="auto"/>
            </w:pPr>
            <w:r>
              <w:rPr>
                <w:color w:val="1A1A1A"/>
                <w:sz w:val="16"/>
              </w:rPr>
              <w:t>En brigadas de EE. UU. «expo» es quien canta el pase.</w:t>
            </w:r>
          </w:p>
        </w:tc>
      </w:tr>
      <w:tr>
        <w:trPr>
          <w:cantSplit/>
        </w:trPr>
        <w:tc>
          <w:tcPr>
            <w:tcW w:type="dxa" w:w="2016"/>
            <w:shd w:val="clear" w:color="auto" w:fill="F3EBD8"/>
          </w:tcPr>
          <w:p>
            <w:pPr>
              <w:spacing w:before="0" w:after="0" w:line="240" w:lineRule="auto"/>
            </w:pPr>
            <w:r>
              <w:rPr>
                <w:b/>
                <w:color w:val="1A1A1A"/>
                <w:sz w:val="16"/>
              </w:rPr>
              <w:t>turno partido</w:t>
            </w:r>
          </w:p>
        </w:tc>
        <w:tc>
          <w:tcPr>
            <w:tcW w:type="dxa" w:w="5040"/>
          </w:tcPr>
          <w:p>
            <w:pPr>
              <w:spacing w:before="0" w:after="0" w:line="240" w:lineRule="auto"/>
            </w:pPr>
            <w:r>
              <w:rPr>
                <w:b/>
                <w:color w:val="1A1A1A"/>
                <w:sz w:val="16"/>
              </w:rPr>
              <w:t>turno cortado, horario cortado</w:t>
            </w:r>
            <w:r>
              <w:rPr>
                <w:color w:val="1A1A1A"/>
                <w:sz w:val="16"/>
              </w:rPr>
              <w:t xml:space="preserve"> (MX, CO, VE, EC, PE, BO, CL, AR, UY, PY) · </w:t>
            </w:r>
            <w:r>
              <w:rPr>
                <w:b/>
                <w:color w:val="1A1A1A"/>
                <w:sz w:val="16"/>
              </w:rPr>
              <w:t>split shift</w:t>
            </w:r>
            <w:r>
              <w:rPr>
                <w:color w:val="1A1A1A"/>
                <w:sz w:val="16"/>
              </w:rPr>
              <w:t xml:space="preserve"> (US) · Igual que en España: GT, HN, SV, NI, CR, PA, CU, DO, PR · Brasil (pt): </w:t>
            </w:r>
            <w:r>
              <w:rPr>
                <w:b/>
                <w:color w:val="1A1A1A"/>
                <w:sz w:val="16"/>
              </w:rPr>
              <w:t>turno dividido / intervalo</w:t>
            </w:r>
          </w:p>
        </w:tc>
        <w:tc>
          <w:tcPr>
            <w:tcW w:type="dxa" w:w="2016"/>
          </w:tcPr>
          <w:p>
            <w:pPr>
              <w:spacing w:before="0" w:after="0" w:line="240" w:lineRule="auto"/>
            </w:pPr>
            <w:r>
              <w:rPr>
                <w:color w:val="1A1A1A"/>
                <w:sz w:val="16"/>
              </w:rPr>
              <w:t>En MX, «turno» puede ser el tramo (matutino/vespertino), no el horario con pausa.</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pedido a proveedor</w:t>
            </w:r>
          </w:p>
        </w:tc>
        <w:tc>
          <w:tcPr>
            <w:tcW w:type="dxa" w:w="5040"/>
            <w:shd w:val="clear" w:color="auto" w:fill="FAF7F0"/>
          </w:tcPr>
          <w:p>
            <w:pPr>
              <w:spacing w:before="0" w:after="0" w:line="240" w:lineRule="auto"/>
            </w:pPr>
            <w:r>
              <w:rPr>
                <w:b/>
                <w:color w:val="1A1A1A"/>
                <w:sz w:val="16"/>
              </w:rPr>
              <w:t>orden de compra</w:t>
            </w:r>
            <w:r>
              <w:rPr>
                <w:color w:val="1A1A1A"/>
                <w:sz w:val="16"/>
              </w:rPr>
              <w:t xml:space="preserve"> (MX, GT, HN, SV, NI, CR, PA, CO, VE, EC, PE, BO, CL, US) · </w:t>
            </w:r>
            <w:r>
              <w:rPr>
                <w:b/>
                <w:color w:val="1A1A1A"/>
                <w:sz w:val="16"/>
              </w:rPr>
              <w:t>pedido a proveedor, nota de pedido</w:t>
            </w:r>
            <w:r>
              <w:rPr>
                <w:color w:val="1A1A1A"/>
                <w:sz w:val="16"/>
              </w:rPr>
              <w:t xml:space="preserve"> (CU, DO, PR, AR, UY, PY) · Brasil (pt): </w:t>
            </w:r>
            <w:r>
              <w:rPr>
                <w:b/>
                <w:color w:val="1A1A1A"/>
                <w:sz w:val="16"/>
              </w:rPr>
              <w:t>pedido de compra</w:t>
            </w:r>
          </w:p>
        </w:tc>
        <w:tc>
          <w:tcPr>
            <w:tcW w:type="dxa" w:w="2016"/>
            <w:shd w:val="clear" w:color="auto" w:fill="FAF7F0"/>
          </w:tcPr>
          <w:p>
            <w:pPr>
              <w:spacing w:before="0" w:after="0" w:line="240" w:lineRule="auto"/>
            </w:pPr>
            <w:r>
              <w:rPr>
                <w:color w:val="1A1A1A"/>
                <w:sz w:val="16"/>
              </w:rPr>
              <w:t>«Orden de compra» es el documento formal; en el día a día la cocina dice «el pedido».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horas extra</w:t>
            </w:r>
          </w:p>
        </w:tc>
        <w:tc>
          <w:tcPr>
            <w:tcW w:type="dxa" w:w="5040"/>
            <w:shd w:val="clear" w:color="auto" w:fill="FAF7F0"/>
          </w:tcPr>
          <w:p>
            <w:pPr>
              <w:spacing w:before="0" w:after="0" w:line="240" w:lineRule="auto"/>
            </w:pPr>
            <w:r>
              <w:rPr>
                <w:b/>
                <w:color w:val="1A1A1A"/>
                <w:sz w:val="16"/>
              </w:rPr>
              <w:t>sobretiempo</w:t>
            </w:r>
            <w:r>
              <w:rPr>
                <w:color w:val="1A1A1A"/>
                <w:sz w:val="16"/>
              </w:rPr>
              <w:t xml:space="preserve"> (PE) · </w:t>
            </w:r>
            <w:r>
              <w:rPr>
                <w:b/>
                <w:color w:val="1A1A1A"/>
                <w:sz w:val="16"/>
              </w:rPr>
              <w:t>horas suplementarias y extraordinarias</w:t>
            </w:r>
            <w:r>
              <w:rPr>
                <w:color w:val="1A1A1A"/>
                <w:sz w:val="16"/>
              </w:rPr>
              <w:t xml:space="preserve"> (EC) · </w:t>
            </w:r>
            <w:r>
              <w:rPr>
                <w:b/>
                <w:color w:val="1A1A1A"/>
                <w:sz w:val="16"/>
              </w:rPr>
              <w:t>overtime, tiempo extra</w:t>
            </w:r>
            <w:r>
              <w:rPr>
                <w:color w:val="1A1A1A"/>
                <w:sz w:val="16"/>
              </w:rPr>
              <w:t xml:space="preserve"> (US) · Igual que en España: MX, GT, HN, SV, NI, CR, PA, CU, DO, PR, CO, VE, BO, CL, AR, UY, PY · Brasil (pt): </w:t>
            </w:r>
            <w:r>
              <w:rPr>
                <w:b/>
                <w:color w:val="1A1A1A"/>
                <w:sz w:val="16"/>
              </w:rPr>
              <w:t>horas extras</w:t>
            </w:r>
          </w:p>
        </w:tc>
        <w:tc>
          <w:tcPr>
            <w:tcW w:type="dxa" w:w="2016"/>
            <w:shd w:val="clear" w:color="auto" w:fill="FAF7F0"/>
          </w:tcPr>
          <w:p>
            <w:pPr>
              <w:spacing w:before="0" w:after="0" w:line="240" w:lineRule="auto"/>
            </w:pPr>
            <w:r>
              <w:rPr>
                <w:color w:val="1A1A1A"/>
                <w:sz w:val="16"/>
              </w:rPr>
              <w:t>En MX se oye también «tiempo extra»; en CR «tiempo extraordinario». Recargos: 50 % y 100 % en AR; 25 % + 25 % en CO.</w:t>
            </w:r>
          </w:p>
        </w:tc>
      </w:tr>
      <w:tr>
        <w:trPr>
          <w:cantSplit/>
        </w:trPr>
        <w:tc>
          <w:tcPr>
            <w:tcW w:type="dxa" w:w="2016"/>
            <w:shd w:val="clear" w:color="auto" w:fill="F3EBD8"/>
          </w:tcPr>
          <w:p>
            <w:pPr>
              <w:spacing w:before="0" w:after="0" w:line="240" w:lineRule="auto"/>
            </w:pPr>
            <w:r>
              <w:rPr>
                <w:b/>
                <w:color w:val="1A1A1A"/>
                <w:sz w:val="16"/>
              </w:rPr>
              <w:t>cotización</w:t>
            </w:r>
          </w:p>
        </w:tc>
        <w:tc>
          <w:tcPr>
            <w:tcW w:type="dxa" w:w="5040"/>
          </w:tcPr>
          <w:p>
            <w:pPr>
              <w:spacing w:before="0" w:after="0" w:line="240" w:lineRule="auto"/>
            </w:pPr>
            <w:r>
              <w:rPr>
                <w:b/>
                <w:color w:val="1A1A1A"/>
                <w:sz w:val="16"/>
              </w:rPr>
              <w:t>cuotas obrero-patronales</w:t>
            </w:r>
            <w:r>
              <w:rPr>
                <w:color w:val="1A1A1A"/>
                <w:sz w:val="16"/>
              </w:rPr>
              <w:t xml:space="preserve"> (MX) · </w:t>
            </w:r>
            <w:r>
              <w:rPr>
                <w:b/>
                <w:color w:val="1A1A1A"/>
                <w:sz w:val="16"/>
              </w:rPr>
              <w:t>aportes</w:t>
            </w:r>
            <w:r>
              <w:rPr>
                <w:color w:val="1A1A1A"/>
                <w:sz w:val="16"/>
              </w:rPr>
              <w:t xml:space="preserve"> (GT, HN, SV, NI, CR, PA, CU, DO, CO, VE, EC, PE, BO, AR, UY, PY) · </w:t>
            </w:r>
            <w:r>
              <w:rPr>
                <w:b/>
                <w:color w:val="1A1A1A"/>
                <w:sz w:val="16"/>
              </w:rPr>
              <w:t>cotizaciones previsionales</w:t>
            </w:r>
            <w:r>
              <w:rPr>
                <w:color w:val="1A1A1A"/>
                <w:sz w:val="16"/>
              </w:rPr>
              <w:t xml:space="preserve"> (CL) · </w:t>
            </w:r>
            <w:r>
              <w:rPr>
                <w:b/>
                <w:color w:val="1A1A1A"/>
                <w:sz w:val="16"/>
              </w:rPr>
              <w:t>payroll taxes (FICA)</w:t>
            </w:r>
            <w:r>
              <w:rPr>
                <w:color w:val="1A1A1A"/>
                <w:sz w:val="16"/>
              </w:rPr>
              <w:t xml:space="preserve"> (PR, US) · Brasil (pt): </w:t>
            </w:r>
            <w:r>
              <w:rPr>
                <w:b/>
                <w:color w:val="1A1A1A"/>
                <w:sz w:val="16"/>
              </w:rPr>
              <w:t>contribuições previdenciárias</w:t>
            </w:r>
          </w:p>
        </w:tc>
        <w:tc>
          <w:tcPr>
            <w:tcW w:type="dxa" w:w="2016"/>
          </w:tcPr>
          <w:p>
            <w:pPr>
              <w:spacing w:before="0" w:after="0" w:line="240" w:lineRule="auto"/>
            </w:pPr>
            <w:r>
              <w:rPr>
                <w:color w:val="1A1A1A"/>
                <w:sz w:val="16"/>
              </w:rPr>
              <w:t>Se paga a la institución local (IMSS, IGSS, BPS...); en CL «cotización» se mantiene igual que en España.</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shd w:val="clear" w:color="auto" w:fill="FAF7F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shd w:val="clear" w:color="auto" w:fill="FAF7F0"/>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DNI</w:t>
            </w:r>
          </w:p>
        </w:tc>
        <w:tc>
          <w:tcPr>
            <w:tcW w:type="dxa" w:w="504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shd w:val="clear" w:color="auto" w:fill="FAF7F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shd w:val="clear" w:color="auto" w:fill="FAF7F0"/>
          </w:tcPr>
          <w:p>
            <w:pPr>
              <w:spacing w:before="0" w:after="0" w:line="240" w:lineRule="auto"/>
            </w:pPr>
            <w:r>
              <w:rPr>
                <w:color w:val="1A1A1A"/>
                <w:sz w:val="16"/>
              </w:rPr>
              <w:t>El trámite es de la institución local; en AR el organismo antes era AFIP y hoy es ARCA.</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shd w:val="clear" w:color="auto" w:fill="FAF7F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shd w:val="clear" w:color="auto" w:fill="FAF7F0"/>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contrato temporal</w:t>
            </w:r>
          </w:p>
        </w:tc>
        <w:tc>
          <w:tcPr>
            <w:tcW w:type="dxa" w:w="5040"/>
            <w:shd w:val="clear" w:color="auto" w:fill="FAF7F0"/>
          </w:tcPr>
          <w:p>
            <w:pPr>
              <w:spacing w:before="0" w:after="0" w:line="240" w:lineRule="auto"/>
            </w:pPr>
            <w:r>
              <w:rPr>
                <w:b/>
                <w:color w:val="1A1A1A"/>
                <w:sz w:val="16"/>
              </w:rPr>
              <w:t>contrato por tiempo determinado</w:t>
            </w:r>
            <w:r>
              <w:rPr>
                <w:color w:val="1A1A1A"/>
                <w:sz w:val="16"/>
              </w:rPr>
              <w:t xml:space="preserve"> (MX, GT, HN, SV, NI, CR, PA, CU, DO, VE, BO, PY) · </w:t>
            </w:r>
            <w:r>
              <w:rPr>
                <w:b/>
                <w:color w:val="1A1A1A"/>
                <w:sz w:val="16"/>
              </w:rPr>
              <w:t>contrato a término fijo</w:t>
            </w:r>
            <w:r>
              <w:rPr>
                <w:color w:val="1A1A1A"/>
                <w:sz w:val="16"/>
              </w:rPr>
              <w:t xml:space="preserve"> (CO) · </w:t>
            </w:r>
            <w:r>
              <w:rPr>
                <w:b/>
                <w:color w:val="1A1A1A"/>
                <w:sz w:val="16"/>
              </w:rPr>
              <w:t>contrato a plazo fijo</w:t>
            </w:r>
            <w:r>
              <w:rPr>
                <w:color w:val="1A1A1A"/>
                <w:sz w:val="16"/>
              </w:rPr>
              <w:t xml:space="preserve"> (EC, PE, CL, AR, UY) · </w:t>
            </w:r>
            <w:r>
              <w:rPr>
                <w:b/>
                <w:color w:val="1A1A1A"/>
                <w:sz w:val="16"/>
              </w:rPr>
              <w:t>contrato temporero</w:t>
            </w:r>
            <w:r>
              <w:rPr>
                <w:color w:val="1A1A1A"/>
                <w:sz w:val="16"/>
              </w:rPr>
              <w:t xml:space="preserve"> (PR) · </w:t>
            </w:r>
            <w:r>
              <w:rPr>
                <w:b/>
                <w:color w:val="1A1A1A"/>
                <w:sz w:val="16"/>
              </w:rPr>
              <w:t>temporary o seasonal worker</w:t>
            </w:r>
            <w:r>
              <w:rPr>
                <w:color w:val="1A1A1A"/>
                <w:sz w:val="16"/>
              </w:rPr>
              <w:t xml:space="preserve"> (US) · Brasil (pt): </w:t>
            </w:r>
            <w:r>
              <w:rPr>
                <w:b/>
                <w:color w:val="1A1A1A"/>
                <w:sz w:val="16"/>
              </w:rPr>
              <w:t>contrato por prazo determinado</w:t>
            </w:r>
          </w:p>
        </w:tc>
        <w:tc>
          <w:tcPr>
            <w:tcW w:type="dxa" w:w="2016"/>
            <w:shd w:val="clear" w:color="auto" w:fill="FAF7F0"/>
          </w:tcPr>
          <w:p>
            <w:pPr>
              <w:spacing w:before="0" w:after="0" w:line="240" w:lineRule="auto"/>
            </w:pPr>
            <w:r>
              <w:rPr>
                <w:color w:val="1A1A1A"/>
                <w:sz w:val="16"/>
              </w:rPr>
              <w:t>En AR el eventual para temporadas altas es «contrato eventual»; en PE hay «contratos modales».</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shd w:val="clear" w:color="auto" w:fill="FAF7F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shd w:val="clear" w:color="auto" w:fill="FAF7F0"/>
          </w:tcPr>
          <w:p>
            <w:pPr>
              <w:spacing w:before="0" w:after="0" w:line="240" w:lineRule="auto"/>
            </w:pPr>
            <w:r>
              <w:rPr>
                <w:color w:val="1A1A1A"/>
                <w:sz w:val="16"/>
              </w:rPr>
              <w:t>En AR «llave» o «fondo de comercio» es el valor del negocio en marcha; en MX «traspaso» se usa tanto en anuncios de local como en venta de negocio.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APPCC</w:t>
            </w:r>
          </w:p>
        </w:tc>
        <w:tc>
          <w:tcPr>
            <w:tcW w:type="dxa" w:w="5040"/>
            <w:shd w:val="clear" w:color="auto" w:fill="FAF7F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shd w:val="clear" w:color="auto" w:fill="FAF7F0"/>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tcPr>
          <w:p>
            <w:pPr>
              <w:spacing w:before="0" w:after="0" w:line="240" w:lineRule="auto"/>
            </w:pPr>
            <w:r>
              <w:rPr>
                <w:color w:val="1A1A1A"/>
                <w:sz w:val="16"/>
              </w:rPr>
              <w:t>El documento varía: en MX, el curso del Distintivo H; en PE el carné de sanidad ya no es exigible; en EE. UU., el food handler card.</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shd w:val="clear" w:color="auto" w:fill="FAF7F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shd w:val="clear" w:color="auto" w:fill="FAF7F0"/>
          </w:tcPr>
          <w:p>
            <w:pPr>
              <w:spacing w:before="0" w:after="0" w:line="240" w:lineRule="auto"/>
            </w:pPr>
            <w:r>
              <w:rPr>
                <w:color w:val="1A1A1A"/>
                <w:sz w:val="16"/>
              </w:rPr>
              <w:t>En EE. UU. se dice «el walk-in» (cooler para frío, freezer para congelado).</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shd w:val="clear" w:color="auto" w:fill="FAF7F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shd w:val="clear" w:color="auto" w:fill="FAF7F0"/>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aseos</w:t>
            </w:r>
          </w:p>
        </w:tc>
        <w:tc>
          <w:tcPr>
            <w:tcW w:type="dxa" w:w="504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gorro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shd w:val="clear" w:color="auto" w:fill="FAF7F0"/>
          </w:tcPr>
          <w:p>
            <w:pPr>
              <w:spacing w:before="0" w:after="0" w:line="240" w:lineRule="auto"/>
            </w:pPr>
            <w:r>
              <w:rPr>
                <w:color w:val="1A1A1A"/>
                <w:sz w:val="16"/>
              </w:rPr>
              <w:t>La red del pelo es la «cofia» en MX, CO y AR; «toca» es de España.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bodega</w:t>
            </w:r>
          </w:p>
        </w:tc>
        <w:tc>
          <w:tcPr>
            <w:tcW w:type="dxa" w:w="5040"/>
            <w:shd w:val="clear" w:color="auto" w:fill="FAF7F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shd w:val="clear" w:color="auto" w:fill="FAF7F0"/>
          </w:tcPr>
          <w:p>
            <w:pPr>
              <w:spacing w:before="0" w:after="0" w:line="240" w:lineRule="auto"/>
            </w:pPr>
            <w:r>
              <w:rPr>
                <w:color w:val="1A1A1A"/>
                <w:sz w:val="16"/>
              </w:rPr>
              <w:t>Falso amigo: «bodega» es tienda de barrio en PR, DO, CU, PE y NY; en CO y MX también almacén.</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tcPr>
          <w:p>
            <w:pPr>
              <w:spacing w:before="0" w:after="0" w:line="240" w:lineRule="auto"/>
            </w:pPr>
            <w:r>
              <w:rPr>
                <w:color w:val="1A1A1A"/>
                <w:sz w:val="16"/>
              </w:rPr>
              <w:t>En AR «confitería» es el local con pastelería; en US el local de café es «coffee shop» o «cafecito».</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shd w:val="clear" w:color="auto" w:fill="FAF7F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shd w:val="clear" w:color="auto" w:fill="FAF7F0"/>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tcPr>
          <w:p>
            <w:pPr>
              <w:spacing w:before="0" w:after="0" w:line="240" w:lineRule="auto"/>
            </w:pPr>
            <w:r>
              <w:rPr>
                <w:color w:val="1A1A1A"/>
                <w:sz w:val="16"/>
              </w:rPr>
              <w:t>Falso amigo: «pastel» es tarta en MX pero pastel salado en CL.</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Gestión de Personal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Gestión de Personal</dc:title>
  <dc:subject>Vocabulario, impuestos, sanidad, normas laborales y unidades de 20 países para adaptar tu producto</dc:subject>
  <dc:creator>AI Chef Pro</dc:creator>
  <cp:keywords>equivalencias, hostelería, vocabulario, Hispanoamérica, Kit de Gestión de Personal</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