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Kit de Tareas Chef Privado · España ↔ Hispanoamérica, EE. UU. y Brasil</w:t>
      </w:r>
    </w:p>
    <w:p>
      <w:pPr>
        <w:spacing w:before="120"/>
        <w:jc w:val="center"/>
      </w:pPr>
      <w:r>
        <w:rPr>
          <w:rFonts w:ascii="Calibri" w:hAnsi="Calibri"/>
          <w:b/>
          <w:color w:val="1A1A1A"/>
          <w:sz w:val="24"/>
        </w:rPr>
        <w:t>Incluida con tu Kit de Tareas Chef Privado</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Kit de Tareas Chef Privado en tu país</w:t>
      </w:r>
    </w:p>
    <w:p>
      <w:pPr>
        <w:keepNext/>
      </w:pPr>
      <w:r>
        <w:rPr>
          <w:color w:val="C6A664"/>
          <w:sz w:val="16"/>
        </w:rPr>
        <w:t>━━━━━━━━━━━━━━━━━━━━━━━━━━━━━━━━━━━━━━━━━━━━━━━━━━</w:t>
      </w:r>
    </w:p>
    <w:p>
      <w:pPr>
        <w:spacing w:line="288" w:lineRule="auto"/>
      </w:pPr>
      <w:r>
        <w:t>Tu kit de tareas está pensado con los puestos, los equipos y las tareas de limpieza y seguridad alimentaria tal como se nombran en España. En tu país muchas palabras cambian: el mismo puesto o la misma tarea puede llamarse de otra forma. Renombra las columnas y las tareas con tus términos locales y deja que tu equipo reconozca cada línea a la primera. Revisa también los controles de higiene: alinéalos con la norma sanitaria de tu país, que encontrarás en tu ficha de la sección 4. La tabla siguiente te muestra los términos de tu kit y sus equivalentes.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mantequilla</w:t>
            </w:r>
          </w:p>
        </w:tc>
        <w:tc>
          <w:tcPr>
            <w:tcW w:type="dxa" w:w="5040"/>
          </w:tcPr>
          <w:p>
            <w:pPr>
              <w:spacing w:before="0" w:after="0" w:line="240" w:lineRule="auto"/>
            </w:pPr>
            <w:r>
              <w:rPr>
                <w:b/>
                <w:color w:val="1A1A1A"/>
                <w:sz w:val="16"/>
              </w:rPr>
              <w:t>manteca</w:t>
            </w:r>
            <w:r>
              <w:rPr>
                <w:color w:val="1A1A1A"/>
                <w:sz w:val="16"/>
              </w:rPr>
              <w:t xml:space="preserve"> (AR, UY, PY) · Igual que en España: MX, GT, HN, SV, NI, CR, PA, CU, DO, PR, CO, VE, EC, PE, BO, CL, US · Brasil (pt): </w:t>
            </w:r>
            <w:r>
              <w:rPr>
                <w:b/>
                <w:color w:val="1A1A1A"/>
                <w:sz w:val="16"/>
              </w:rPr>
              <w:t>manteiga</w:t>
            </w:r>
          </w:p>
        </w:tc>
        <w:tc>
          <w:tcPr>
            <w:tcW w:type="dxa" w:w="2016"/>
          </w:tcPr>
          <w:p>
            <w:pPr>
              <w:spacing w:before="0" w:after="0" w:line="240" w:lineRule="auto"/>
            </w:pPr>
            <w:r>
              <w:rPr>
                <w:color w:val="1A1A1A"/>
                <w:sz w:val="16"/>
              </w:rPr>
              <w:t>Falso amigo: «manteca» en MX, CU o VE es grasa de cerdo; en AR/UY/PY es la mantequilla.</w:t>
            </w:r>
          </w:p>
        </w:tc>
      </w:tr>
      <w:tr>
        <w:trPr>
          <w:cantSplit/>
        </w:trPr>
        <w:tc>
          <w:tcPr>
            <w:tcW w:type="dxa" w:w="2016"/>
            <w:shd w:val="clear" w:color="auto" w:fill="F3EBD8"/>
          </w:tcPr>
          <w:p>
            <w:pPr>
              <w:spacing w:before="0" w:after="0" w:line="240" w:lineRule="auto"/>
            </w:pPr>
            <w:r>
              <w:rPr>
                <w:b/>
                <w:color w:val="1A1A1A"/>
                <w:sz w:val="16"/>
              </w:rPr>
              <w:t>pimentón</w:t>
            </w:r>
          </w:p>
        </w:tc>
        <w:tc>
          <w:tcPr>
            <w:tcW w:type="dxa" w:w="5040"/>
            <w:shd w:val="clear" w:color="auto" w:fill="FAF7F0"/>
          </w:tcPr>
          <w:p>
            <w:pPr>
              <w:spacing w:before="0" w:after="0" w:line="240" w:lineRule="auto"/>
            </w:pPr>
            <w:r>
              <w:rPr>
                <w:b/>
                <w:color w:val="1A1A1A"/>
                <w:sz w:val="16"/>
              </w:rPr>
              <w:t>paprika</w:t>
            </w:r>
            <w:r>
              <w:rPr>
                <w:color w:val="1A1A1A"/>
                <w:sz w:val="16"/>
              </w:rPr>
              <w:t xml:space="preserve"> (CO, VE, PE, CL, US) · Igual que en España: MX, GT, HN, SV, NI, CR, PA, CU, DO, PR, EC, BO, AR, UY, PY · Brasil (pt): </w:t>
            </w:r>
            <w:r>
              <w:rPr>
                <w:b/>
                <w:color w:val="1A1A1A"/>
                <w:sz w:val="16"/>
              </w:rPr>
              <w:t>páprica</w:t>
            </w:r>
          </w:p>
        </w:tc>
        <w:tc>
          <w:tcPr>
            <w:tcW w:type="dxa" w:w="2016"/>
            <w:shd w:val="clear" w:color="auto" w:fill="FAF7F0"/>
          </w:tcPr>
          <w:p>
            <w:pPr>
              <w:spacing w:before="0" w:after="0" w:line="240" w:lineRule="auto"/>
            </w:pPr>
            <w:r>
              <w:rPr>
                <w:color w:val="1A1A1A"/>
                <w:sz w:val="16"/>
              </w:rPr>
              <w:t>Falso amigo grave: «pimentón» en CO, VE y CL es el pimiento (hortaliza); el polvo se pide «paprika».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shd w:val="clear" w:color="auto" w:fill="FAF7F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shd w:val="clear" w:color="auto" w:fill="FAF7F0"/>
          </w:tcPr>
          <w:p>
            <w:pPr>
              <w:spacing w:before="0" w:after="0" w:line="240" w:lineRule="auto"/>
            </w:pPr>
            <w:r>
              <w:rPr>
                <w:color w:val="1A1A1A"/>
                <w:sz w:val="16"/>
              </w:rPr>
              <w:t>En MX se pide «una orden de tacos»; «ración» suena a cuartel o comedor popular.</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tcPr>
          <w:p>
            <w:pPr>
              <w:spacing w:before="0" w:after="0" w:line="240" w:lineRule="auto"/>
            </w:pPr>
            <w:r>
              <w:rPr>
                <w:color w:val="1A1A1A"/>
                <w:sz w:val="16"/>
              </w:rPr>
              <w:t>En MX conviven «tarja» (la más usual) y «fregadero». En CL y CO «lavaplatos» es también la máquina o quien friega.</w:t>
            </w:r>
          </w:p>
        </w:tc>
      </w:tr>
      <w:tr>
        <w:trPr>
          <w:cantSplit/>
        </w:trPr>
        <w:tc>
          <w:tcPr>
            <w:tcW w:type="dxa" w:w="2016"/>
            <w:shd w:val="clear" w:color="auto" w:fill="F3EBD8"/>
          </w:tcPr>
          <w:p>
            <w:pPr>
              <w:spacing w:before="0" w:after="0" w:line="240" w:lineRule="auto"/>
            </w:pPr>
            <w:r>
              <w:rPr>
                <w:b/>
                <w:color w:val="1A1A1A"/>
                <w:sz w:val="16"/>
              </w:rPr>
              <w:t>menú del día</w:t>
            </w:r>
          </w:p>
        </w:tc>
        <w:tc>
          <w:tcPr>
            <w:tcW w:type="dxa" w:w="5040"/>
            <w:shd w:val="clear" w:color="auto" w:fill="FAF7F0"/>
          </w:tcPr>
          <w:p>
            <w:pPr>
              <w:spacing w:before="0" w:after="0" w:line="240" w:lineRule="auto"/>
            </w:pPr>
            <w:r>
              <w:rPr>
                <w:b/>
                <w:color w:val="1A1A1A"/>
                <w:sz w:val="16"/>
              </w:rPr>
              <w:t>comida corrida</w:t>
            </w:r>
            <w:r>
              <w:rPr>
                <w:color w:val="1A1A1A"/>
                <w:sz w:val="16"/>
              </w:rPr>
              <w:t xml:space="preserve"> (MX) · </w:t>
            </w:r>
            <w:r>
              <w:rPr>
                <w:b/>
                <w:color w:val="1A1A1A"/>
                <w:sz w:val="16"/>
              </w:rPr>
              <w:t>almuerzo / menú ejecutivo</w:t>
            </w:r>
            <w:r>
              <w:rPr>
                <w:color w:val="1A1A1A"/>
                <w:sz w:val="16"/>
              </w:rPr>
              <w:t xml:space="preserve"> (GT, HN, SV, NI, CR, PA, CO, VE, EC, BO, CL, AR, UY, PY) · </w:t>
            </w:r>
            <w:r>
              <w:rPr>
                <w:b/>
                <w:color w:val="1A1A1A"/>
                <w:sz w:val="16"/>
              </w:rPr>
              <w:t>menú</w:t>
            </w:r>
            <w:r>
              <w:rPr>
                <w:color w:val="1A1A1A"/>
                <w:sz w:val="16"/>
              </w:rPr>
              <w:t xml:space="preserve"> (PE) · </w:t>
            </w:r>
            <w:r>
              <w:rPr>
                <w:b/>
                <w:color w:val="1A1A1A"/>
                <w:sz w:val="16"/>
              </w:rPr>
              <w:t>plato del día / especial del día</w:t>
            </w:r>
            <w:r>
              <w:rPr>
                <w:color w:val="1A1A1A"/>
                <w:sz w:val="16"/>
              </w:rPr>
              <w:t xml:space="preserve"> (CU, DO, PR, US) · Brasil (pt): </w:t>
            </w:r>
            <w:r>
              <w:rPr>
                <w:b/>
                <w:color w:val="1A1A1A"/>
                <w:sz w:val="16"/>
              </w:rPr>
              <w:t>prato feito (PF) / executivo</w:t>
            </w:r>
          </w:p>
        </w:tc>
        <w:tc>
          <w:tcPr>
            <w:tcW w:type="dxa" w:w="2016"/>
            <w:shd w:val="clear" w:color="auto" w:fill="FAF7F0"/>
          </w:tcPr>
          <w:p>
            <w:pPr>
              <w:spacing w:before="0" w:after="0" w:line="240" w:lineRule="auto"/>
            </w:pPr>
            <w:r>
              <w:rPr>
                <w:color w:val="1A1A1A"/>
                <w:sz w:val="16"/>
              </w:rPr>
              <w:t>«Menú» en MX es la carta, no el precio fijo. En CO el «corrientazo» es el almuerzo económico.</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shd w:val="clear" w:color="auto" w:fill="FAF7F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shd w:val="clear" w:color="auto" w:fill="FAF7F0"/>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shd w:val="clear" w:color="auto" w:fill="FAF7F0"/>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pedido a proveedor</w:t>
            </w:r>
          </w:p>
        </w:tc>
        <w:tc>
          <w:tcPr>
            <w:tcW w:type="dxa" w:w="5040"/>
          </w:tcPr>
          <w:p>
            <w:pPr>
              <w:spacing w:before="0" w:after="0" w:line="240" w:lineRule="auto"/>
            </w:pPr>
            <w:r>
              <w:rPr>
                <w:b/>
                <w:color w:val="1A1A1A"/>
                <w:sz w:val="16"/>
              </w:rPr>
              <w:t>orden de compra</w:t>
            </w:r>
            <w:r>
              <w:rPr>
                <w:color w:val="1A1A1A"/>
                <w:sz w:val="16"/>
              </w:rPr>
              <w:t xml:space="preserve"> (MX, GT, HN, SV, NI, CR, PA, CO, VE, EC, PE, BO, CL, US) · </w:t>
            </w:r>
            <w:r>
              <w:rPr>
                <w:b/>
                <w:color w:val="1A1A1A"/>
                <w:sz w:val="16"/>
              </w:rPr>
              <w:t>pedido a proveedor, nota de pedido</w:t>
            </w:r>
            <w:r>
              <w:rPr>
                <w:color w:val="1A1A1A"/>
                <w:sz w:val="16"/>
              </w:rPr>
              <w:t xml:space="preserve"> (CU, DO, PR, AR, UY, PY) · Brasil (pt): </w:t>
            </w:r>
            <w:r>
              <w:rPr>
                <w:b/>
                <w:color w:val="1A1A1A"/>
                <w:sz w:val="16"/>
              </w:rPr>
              <w:t>pedido de compra</w:t>
            </w:r>
          </w:p>
        </w:tc>
        <w:tc>
          <w:tcPr>
            <w:tcW w:type="dxa" w:w="2016"/>
          </w:tcPr>
          <w:p>
            <w:pPr>
              <w:spacing w:before="0" w:after="0" w:line="240" w:lineRule="auto"/>
            </w:pPr>
            <w:r>
              <w:rPr>
                <w:color w:val="1A1A1A"/>
                <w:sz w:val="16"/>
              </w:rPr>
              <w:t>«Orden de compra» es el documento formal; en el día a día la cocina dice «el pedido».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shd w:val="clear" w:color="auto" w:fill="FAF7F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shd w:val="clear" w:color="auto" w:fill="FAF7F0"/>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IRPF</w:t>
            </w:r>
          </w:p>
        </w:tc>
        <w:tc>
          <w:tcPr>
            <w:tcW w:type="dxa" w:w="5040"/>
          </w:tcPr>
          <w:p>
            <w:pPr>
              <w:spacing w:before="0" w:after="0" w:line="240" w:lineRule="auto"/>
            </w:pPr>
            <w:r>
              <w:rPr>
                <w:b/>
                <w:color w:val="1A1A1A"/>
                <w:sz w:val="16"/>
              </w:rPr>
              <w:t>ISR (impuesto sobre la renta)</w:t>
            </w:r>
            <w:r>
              <w:rPr>
                <w:color w:val="1A1A1A"/>
                <w:sz w:val="16"/>
              </w:rPr>
              <w:t xml:space="preserve"> (MX, GT, HN, SV, PA, DO) · </w:t>
            </w:r>
            <w:r>
              <w:rPr>
                <w:b/>
                <w:color w:val="1A1A1A"/>
                <w:sz w:val="16"/>
              </w:rPr>
              <w:t>impuesto sobre la renta</w:t>
            </w:r>
            <w:r>
              <w:rPr>
                <w:color w:val="1A1A1A"/>
                <w:sz w:val="16"/>
              </w:rPr>
              <w:t xml:space="preserve"> (NI, CR, CU) · </w:t>
            </w:r>
            <w:r>
              <w:rPr>
                <w:b/>
                <w:color w:val="1A1A1A"/>
                <w:sz w:val="16"/>
              </w:rPr>
              <w:t>impuesto de renta</w:t>
            </w:r>
            <w:r>
              <w:rPr>
                <w:color w:val="1A1A1A"/>
                <w:sz w:val="16"/>
              </w:rPr>
              <w:t xml:space="preserve"> (CO) · </w:t>
            </w:r>
            <w:r>
              <w:rPr>
                <w:b/>
                <w:color w:val="1A1A1A"/>
                <w:sz w:val="16"/>
              </w:rPr>
              <w:t>ISLR</w:t>
            </w:r>
            <w:r>
              <w:rPr>
                <w:color w:val="1A1A1A"/>
                <w:sz w:val="16"/>
              </w:rPr>
              <w:t xml:space="preserve"> (VE) · </w:t>
            </w:r>
            <w:r>
              <w:rPr>
                <w:b/>
                <w:color w:val="1A1A1A"/>
                <w:sz w:val="16"/>
              </w:rPr>
              <w:t>impuesto a la renta</w:t>
            </w:r>
            <w:r>
              <w:rPr>
                <w:color w:val="1A1A1A"/>
                <w:sz w:val="16"/>
              </w:rPr>
              <w:t xml:space="preserve"> (EC, PE) · </w:t>
            </w:r>
            <w:r>
              <w:rPr>
                <w:b/>
                <w:color w:val="1A1A1A"/>
                <w:sz w:val="16"/>
              </w:rPr>
              <w:t>RC-IVA</w:t>
            </w:r>
            <w:r>
              <w:rPr>
                <w:color w:val="1A1A1A"/>
                <w:sz w:val="16"/>
              </w:rPr>
              <w:t xml:space="preserve"> (BO) · </w:t>
            </w:r>
            <w:r>
              <w:rPr>
                <w:b/>
                <w:color w:val="1A1A1A"/>
                <w:sz w:val="16"/>
              </w:rPr>
              <w:t>impuesto único de segunda categoría</w:t>
            </w:r>
            <w:r>
              <w:rPr>
                <w:color w:val="1A1A1A"/>
                <w:sz w:val="16"/>
              </w:rPr>
              <w:t xml:space="preserve"> (CL) · </w:t>
            </w:r>
            <w:r>
              <w:rPr>
                <w:b/>
                <w:color w:val="1A1A1A"/>
                <w:sz w:val="16"/>
              </w:rPr>
              <w:t>impuesto a las ganancias</w:t>
            </w:r>
            <w:r>
              <w:rPr>
                <w:color w:val="1A1A1A"/>
                <w:sz w:val="16"/>
              </w:rPr>
              <w:t xml:space="preserve"> (AR) · </w:t>
            </w:r>
            <w:r>
              <w:rPr>
                <w:b/>
                <w:color w:val="1A1A1A"/>
                <w:sz w:val="16"/>
              </w:rPr>
              <w:t>IRP</w:t>
            </w:r>
            <w:r>
              <w:rPr>
                <w:color w:val="1A1A1A"/>
                <w:sz w:val="16"/>
              </w:rPr>
              <w:t xml:space="preserve"> (PY) · </w:t>
            </w:r>
            <w:r>
              <w:rPr>
                <w:b/>
                <w:color w:val="1A1A1A"/>
                <w:sz w:val="16"/>
              </w:rPr>
              <w:t>federal income tax withholding</w:t>
            </w:r>
            <w:r>
              <w:rPr>
                <w:color w:val="1A1A1A"/>
                <w:sz w:val="16"/>
              </w:rPr>
              <w:t xml:space="preserve"> (US) · </w:t>
            </w:r>
            <w:r>
              <w:rPr>
                <w:b/>
                <w:color w:val="1A1A1A"/>
                <w:sz w:val="16"/>
              </w:rPr>
              <w:t>contribución sobre ingresos</w:t>
            </w:r>
            <w:r>
              <w:rPr>
                <w:color w:val="1A1A1A"/>
                <w:sz w:val="16"/>
              </w:rPr>
              <w:t xml:space="preserve"> (PR) · Igual que en España: UY · Brasil (pt): </w:t>
            </w:r>
            <w:r>
              <w:rPr>
                <w:b/>
                <w:color w:val="1A1A1A"/>
                <w:sz w:val="16"/>
              </w:rPr>
              <w:t>IRRF</w:t>
            </w:r>
          </w:p>
        </w:tc>
        <w:tc>
          <w:tcPr>
            <w:tcW w:type="dxa" w:w="2016"/>
          </w:tcPr>
          <w:p>
            <w:pPr>
              <w:spacing w:before="0" w:after="0" w:line="240" w:lineRule="auto"/>
            </w:pPr>
            <w:r>
              <w:rPr>
                <w:color w:val="1A1A1A"/>
                <w:sz w:val="16"/>
              </w:rPr>
              <w:t>La retención sobre el sueldo del empleado: depende del régimen del país; en UY se llama igual, IRPF.</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shd w:val="clear" w:color="auto" w:fill="FAF7F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shd w:val="clear" w:color="auto" w:fill="FAF7F0"/>
          </w:tcPr>
          <w:p>
            <w:pPr>
              <w:spacing w:before="0" w:after="0" w:line="240" w:lineRule="auto"/>
            </w:pPr>
            <w:r>
              <w:rPr>
                <w:color w:val="1A1A1A"/>
                <w:sz w:val="16"/>
              </w:rPr>
              <w:t>El documento varía: en MX, el curso del Distintivo H; en PE el carné de sanidad ya no es exigible; en EE. UU., el food handler card.</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tcPr>
          <w:p>
            <w:pPr>
              <w:spacing w:before="0" w:after="0" w:line="240" w:lineRule="auto"/>
            </w:pPr>
            <w:r>
              <w:rPr>
                <w:color w:val="1A1A1A"/>
                <w:sz w:val="16"/>
              </w:rPr>
              <w:t>«Vence» es lo que dicen la cocina y el etiquetado en la mayoría de países sudamericanos.</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batidora</w:t>
            </w:r>
          </w:p>
        </w:tc>
        <w:tc>
          <w:tcPr>
            <w:tcW w:type="dxa" w:w="5040"/>
            <w:shd w:val="clear" w:color="auto" w:fill="FAF7F0"/>
          </w:tcPr>
          <w:p>
            <w:pPr>
              <w:spacing w:before="0" w:after="0" w:line="240" w:lineRule="auto"/>
            </w:pPr>
            <w:r>
              <w:rPr>
                <w:b/>
                <w:color w:val="1A1A1A"/>
                <w:sz w:val="16"/>
              </w:rPr>
              <w:t>licuadora (de vaso); batidora (de pie)</w:t>
            </w:r>
            <w:r>
              <w:rPr>
                <w:color w:val="1A1A1A"/>
                <w:sz w:val="16"/>
              </w:rPr>
              <w:t xml:space="preserve"> (MX, GT, HN, SV, NI, CR, PA, CU, DO, PR, CO, VE, EC, PE, BO, CL, US) · </w:t>
            </w:r>
            <w:r>
              <w:rPr>
                <w:b/>
                <w:color w:val="1A1A1A"/>
                <w:sz w:val="16"/>
              </w:rPr>
              <w:t>minipimer, mixer (de mano); licuadora (de vaso)</w:t>
            </w:r>
            <w:r>
              <w:rPr>
                <w:color w:val="1A1A1A"/>
                <w:sz w:val="16"/>
              </w:rPr>
              <w:t xml:space="preserve"> (AR, UY, PY) · Brasil (pt): </w:t>
            </w:r>
            <w:r>
              <w:rPr>
                <w:b/>
                <w:color w:val="1A1A1A"/>
                <w:sz w:val="16"/>
              </w:rPr>
              <w:t>batedeira (de pé); liquidificador (de copo)</w:t>
            </w:r>
          </w:p>
        </w:tc>
        <w:tc>
          <w:tcPr>
            <w:tcW w:type="dxa" w:w="2016"/>
            <w:shd w:val="clear" w:color="auto" w:fill="FAF7F0"/>
          </w:tcPr>
          <w:p>
            <w:pPr>
              <w:spacing w:before="0" w:after="0" w:line="240" w:lineRule="auto"/>
            </w:pPr>
            <w:r>
              <w:rPr>
                <w:color w:val="1A1A1A"/>
                <w:sz w:val="16"/>
              </w:rPr>
              <w:t>Falso amigo: en España «batidora» es la de mano o vaso; en LatAm «batidora» es la de pie (mixer) y la de vaso es «licuadora».</w:t>
            </w:r>
          </w:p>
        </w:tc>
      </w:tr>
      <w:tr>
        <w:trPr>
          <w:cantSplit/>
        </w:trPr>
        <w:tc>
          <w:tcPr>
            <w:tcW w:type="dxa" w:w="2016"/>
            <w:shd w:val="clear" w:color="auto" w:fill="F3EBD8"/>
          </w:tcPr>
          <w:p>
            <w:pPr>
              <w:spacing w:before="0" w:after="0" w:line="240" w:lineRule="auto"/>
            </w:pPr>
            <w:r>
              <w:rPr>
                <w:b/>
                <w:color w:val="1A1A1A"/>
                <w:sz w:val="16"/>
              </w:rPr>
              <w:t>fogón</w:t>
            </w:r>
          </w:p>
        </w:tc>
        <w:tc>
          <w:tcPr>
            <w:tcW w:type="dxa" w:w="504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tcPr>
          <w:p>
            <w:pPr>
              <w:spacing w:before="0" w:after="0" w:line="240" w:lineRule="auto"/>
            </w:pPr>
            <w:r>
              <w:rPr>
                <w:color w:val="1A1A1A"/>
                <w:sz w:val="16"/>
              </w:rPr>
              <w:t>En MX «fogón» es la cocina rústica de leña; en BR «fogão» es la cocina entera.</w:t>
            </w:r>
          </w:p>
        </w:tc>
      </w:tr>
      <w:tr>
        <w:trPr>
          <w:cantSplit/>
        </w:trPr>
        <w:tc>
          <w:tcPr>
            <w:tcW w:type="dxa" w:w="2016"/>
            <w:shd w:val="clear" w:color="auto" w:fill="F3EBD8"/>
          </w:tcPr>
          <w:p>
            <w:pPr>
              <w:spacing w:before="0" w:after="0" w:line="240" w:lineRule="auto"/>
            </w:pPr>
            <w:r>
              <w:rPr>
                <w:b/>
                <w:color w:val="1A1A1A"/>
                <w:sz w:val="16"/>
              </w:rPr>
              <w:t>gorro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touca</w:t>
            </w:r>
          </w:p>
        </w:tc>
        <w:tc>
          <w:tcPr>
            <w:tcW w:type="dxa" w:w="2016"/>
            <w:shd w:val="clear" w:color="auto" w:fill="FAF7F0"/>
          </w:tcPr>
          <w:p>
            <w:pPr>
              <w:spacing w:before="0" w:after="0" w:line="240" w:lineRule="auto"/>
            </w:pPr>
            <w:r>
              <w:rPr>
                <w:color w:val="1A1A1A"/>
                <w:sz w:val="16"/>
              </w:rPr>
              <w:t>La red del pelo es la «cofia» en MX, CO y AR; «toca» es de España.</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paño de cocina</w:t>
            </w:r>
          </w:p>
        </w:tc>
        <w:tc>
          <w:tcPr>
            <w:tcW w:type="dxa" w:w="5040"/>
            <w:shd w:val="clear" w:color="auto" w:fill="FAF7F0"/>
          </w:tcPr>
          <w:p>
            <w:pPr>
              <w:spacing w:before="0" w:after="0" w:line="240" w:lineRule="auto"/>
            </w:pPr>
            <w:r>
              <w:rPr>
                <w:b/>
                <w:color w:val="1A1A1A"/>
                <w:sz w:val="16"/>
              </w:rPr>
              <w:t>paño de cocina, trapo de cocina</w:t>
            </w:r>
            <w:r>
              <w:rPr>
                <w:color w:val="1A1A1A"/>
                <w:sz w:val="16"/>
              </w:rPr>
              <w:t xml:space="preserve"> (MX, GT, HN, SV, NI, CR, PA, CU, DO, PR, EC, PE, BO, CL) · </w:t>
            </w:r>
            <w:r>
              <w:rPr>
                <w:b/>
                <w:color w:val="1A1A1A"/>
                <w:sz w:val="16"/>
              </w:rPr>
              <w:t>repasador</w:t>
            </w:r>
            <w:r>
              <w:rPr>
                <w:color w:val="1A1A1A"/>
                <w:sz w:val="16"/>
              </w:rPr>
              <w:t xml:space="preserve"> (AR, UY, PY) · </w:t>
            </w:r>
            <w:r>
              <w:rPr>
                <w:b/>
                <w:color w:val="1A1A1A"/>
                <w:sz w:val="16"/>
              </w:rPr>
              <w:t>limpión</w:t>
            </w:r>
            <w:r>
              <w:rPr>
                <w:color w:val="1A1A1A"/>
                <w:sz w:val="16"/>
              </w:rPr>
              <w:t xml:space="preserve"> (CO, VE) · </w:t>
            </w:r>
            <w:r>
              <w:rPr>
                <w:b/>
                <w:color w:val="1A1A1A"/>
                <w:sz w:val="16"/>
              </w:rPr>
              <w:t>kitchen towel, toalla de cocina</w:t>
            </w:r>
            <w:r>
              <w:rPr>
                <w:color w:val="1A1A1A"/>
                <w:sz w:val="16"/>
              </w:rPr>
              <w:t xml:space="preserve"> (US) · Brasil (pt): </w:t>
            </w:r>
            <w:r>
              <w:rPr>
                <w:b/>
                <w:color w:val="1A1A1A"/>
                <w:sz w:val="16"/>
              </w:rPr>
              <w:t>pano de prato</w:t>
            </w:r>
          </w:p>
        </w:tc>
        <w:tc>
          <w:tcPr>
            <w:tcW w:type="dxa" w:w="2016"/>
            <w:shd w:val="clear" w:color="auto" w:fill="FAF7F0"/>
          </w:tcPr>
          <w:p>
            <w:pPr>
              <w:spacing w:before="0" w:after="0" w:line="240" w:lineRule="auto"/>
            </w:pPr>
            <w:r>
              <w:rPr>
                <w:color w:val="1A1A1A"/>
                <w:sz w:val="16"/>
              </w:rPr>
              <w:t>«Repasador» es muy argentino y uruguayo; «limpión» se oye en CO y VE.</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r>
        <w:trPr>
          <w:cantSplit/>
        </w:trPr>
        <w:tc>
          <w:tcPr>
            <w:tcW w:type="dxa" w:w="2016"/>
            <w:shd w:val="clear" w:color="auto" w:fill="F3EBD8"/>
          </w:tcPr>
          <w:p>
            <w:pPr>
              <w:spacing w:before="0" w:after="0" w:line="240" w:lineRule="auto"/>
            </w:pPr>
            <w:r>
              <w:rPr>
                <w:b/>
                <w:color w:val="1A1A1A"/>
                <w:sz w:val="16"/>
              </w:rPr>
              <w:t>desechable</w:t>
            </w:r>
          </w:p>
        </w:tc>
        <w:tc>
          <w:tcPr>
            <w:tcW w:type="dxa" w:w="5040"/>
            <w:shd w:val="clear" w:color="auto" w:fill="FAF7F0"/>
          </w:tcPr>
          <w:p>
            <w:pPr>
              <w:spacing w:before="0" w:after="0" w:line="240" w:lineRule="auto"/>
            </w:pPr>
            <w:r>
              <w:rPr>
                <w:b/>
                <w:color w:val="1A1A1A"/>
                <w:sz w:val="16"/>
              </w:rPr>
              <w:t>descartable</w:t>
            </w:r>
            <w:r>
              <w:rPr>
                <w:color w:val="1A1A1A"/>
                <w:sz w:val="16"/>
              </w:rPr>
              <w:t xml:space="preserve"> (PE, BO, AR, UY, PY) · Igual que en España: MX, GT, HN, SV, NI, CR, PA, CU, DO, PR, CO, VE, EC, CL, US · Brasil (pt): </w:t>
            </w:r>
            <w:r>
              <w:rPr>
                <w:b/>
                <w:color w:val="1A1A1A"/>
                <w:sz w:val="16"/>
              </w:rPr>
              <w:t>descartável</w:t>
            </w:r>
          </w:p>
        </w:tc>
        <w:tc>
          <w:tcPr>
            <w:tcW w:type="dxa" w:w="2016"/>
            <w:shd w:val="clear" w:color="auto" w:fill="FAF7F0"/>
          </w:tcPr>
          <w:p>
            <w:pPr>
              <w:spacing w:before="0" w:after="0" w:line="240" w:lineRule="auto"/>
            </w:pP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shd w:val="clear" w:color="auto" w:fill="FAF7F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shd w:val="clear" w:color="auto" w:fill="FAF7F0"/>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Kit de Tareas Chef Privado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Kit de Tareas Chef Privado</dc:title>
  <dc:subject>Vocabulario, impuestos, sanidad, normas laborales y unidades de 20 países para adaptar tu producto</dc:subject>
  <dc:creator>AI Chef Pro</dc:creator>
  <cp:keywords>equivalencias, hostelería, vocabulario, Hispanoamérica, Kit de Tareas Chef Privado</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