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Pizzería Napolitana · España ↔ Hispanoamérica, EE. UU. y Brasil</w:t>
      </w:r>
    </w:p>
    <w:p>
      <w:pPr>
        <w:spacing w:before="120"/>
        <w:jc w:val="center"/>
      </w:pPr>
      <w:r>
        <w:rPr>
          <w:rFonts w:ascii="Calibri" w:hAnsi="Calibri"/>
          <w:b/>
          <w:color w:val="1A1A1A"/>
          <w:sz w:val="24"/>
        </w:rPr>
        <w:t>Incluida con tu Plan de Negocio: Pizzería Napolitana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Pizzería Napolitana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napolitana</w:t>
            </w:r>
          </w:p>
        </w:tc>
        <w:tc>
          <w:tcPr>
            <w:tcW w:type="dxa" w:w="5040"/>
          </w:tcPr>
          <w:p>
            <w:pPr>
              <w:spacing w:before="0" w:after="0" w:line="240" w:lineRule="auto"/>
            </w:pPr>
            <w:r>
              <w:rPr>
                <w:b/>
                <w:color w:val="1A1A1A"/>
                <w:sz w:val="16"/>
              </w:rPr>
              <w:t>pan de chocolate</w:t>
            </w:r>
            <w:r>
              <w:rPr>
                <w:color w:val="1A1A1A"/>
                <w:sz w:val="16"/>
              </w:rPr>
              <w:t xml:space="preserve"> (MX, GT, HN, SV, NI, CR, PA, CU, DO, PR, CO, VE, EC, PE, BO, CL, US) · </w:t>
            </w:r>
            <w:r>
              <w:rPr>
                <w:b/>
                <w:color w:val="1A1A1A"/>
                <w:sz w:val="16"/>
              </w:rPr>
              <w:t>medialuna / factura de chocolate</w:t>
            </w:r>
            <w:r>
              <w:rPr>
                <w:color w:val="1A1A1A"/>
                <w:sz w:val="16"/>
              </w:rPr>
              <w:t xml:space="preserve"> (AR, PY) · Igual que en España: UY · Brasil (pt): </w:t>
            </w:r>
            <w:r>
              <w:rPr>
                <w:b/>
                <w:color w:val="1A1A1A"/>
                <w:sz w:val="16"/>
              </w:rPr>
              <w:t>pão de chocolate (folhado)</w:t>
            </w:r>
          </w:p>
        </w:tc>
        <w:tc>
          <w:tcPr>
            <w:tcW w:type="dxa" w:w="2016"/>
          </w:tcPr>
          <w:p>
            <w:pPr>
              <w:spacing w:before="0" w:after="0" w:line="240" w:lineRule="auto"/>
            </w:pPr>
            <w:r>
              <w:rPr>
                <w:color w:val="1A1A1A"/>
                <w:sz w:val="16"/>
              </w:rPr>
              <w:t>Falso amigo: en AR «napolitana» es la milanesa o pizza napolitana; en UY es un hojaldre dulce.</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shd w:val="clear" w:color="auto" w:fill="FAF7F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shd w:val="clear" w:color="auto" w:fill="FAF7F0"/>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levadura fresca / prensada</w:t>
            </w:r>
          </w:p>
        </w:tc>
        <w:tc>
          <w:tcPr>
            <w:tcW w:type="dxa" w:w="5040"/>
            <w:shd w:val="clear" w:color="auto" w:fill="FAF7F0"/>
          </w:tcPr>
          <w:p>
            <w:pPr>
              <w:spacing w:before="0" w:after="0" w:line="240" w:lineRule="auto"/>
            </w:pPr>
            <w:r>
              <w:rPr>
                <w:b/>
                <w:color w:val="1A1A1A"/>
                <w:sz w:val="16"/>
              </w:rPr>
              <w:t>levadura fresca</w:t>
            </w:r>
            <w:r>
              <w:rPr>
                <w:color w:val="1A1A1A"/>
                <w:sz w:val="16"/>
              </w:rPr>
              <w:t xml:space="preserve"> (MX, GT, HN, SV, NI, CR, PA, CU, DO, PR, CO, VE, EC, PE, BO, CL, AR, UY, PY, US) · Brasil (pt): </w:t>
            </w:r>
            <w:r>
              <w:rPr>
                <w:b/>
                <w:color w:val="1A1A1A"/>
                <w:sz w:val="16"/>
              </w:rPr>
              <w:t>fermento biológico fresco</w:t>
            </w:r>
          </w:p>
        </w:tc>
        <w:tc>
          <w:tcPr>
            <w:tcW w:type="dxa" w:w="2016"/>
            <w:shd w:val="clear" w:color="auto" w:fill="FAF7F0"/>
          </w:tcPr>
          <w:p>
            <w:pPr>
              <w:spacing w:before="0" w:after="0" w:line="240" w:lineRule="auto"/>
            </w:pPr>
            <w:r>
              <w:rPr>
                <w:color w:val="1A1A1A"/>
                <w:sz w:val="16"/>
              </w:rPr>
              <w:t>«Prensada» casi no se usa; se pide «levadura fresca».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jamón York</w:t>
            </w:r>
          </w:p>
        </w:tc>
        <w:tc>
          <w:tcPr>
            <w:tcW w:type="dxa" w:w="5040"/>
            <w:shd w:val="clear" w:color="auto" w:fill="FAF7F0"/>
          </w:tcPr>
          <w:p>
            <w:pPr>
              <w:spacing w:before="0" w:after="0" w:line="240" w:lineRule="auto"/>
            </w:pPr>
            <w:r>
              <w:rPr>
                <w:b/>
                <w:color w:val="1A1A1A"/>
                <w:sz w:val="16"/>
              </w:rPr>
              <w:t>jamón cocido</w:t>
            </w:r>
            <w:r>
              <w:rPr>
                <w:color w:val="1A1A1A"/>
                <w:sz w:val="16"/>
              </w:rPr>
              <w:t xml:space="preserve"> (CU, DO, PR, CO, VE, EC, PE, BO, CL, AR, UY, PY) · </w:t>
            </w:r>
            <w:r>
              <w:rPr>
                <w:b/>
                <w:color w:val="1A1A1A"/>
                <w:sz w:val="16"/>
              </w:rPr>
              <w:t>jamón de pierna / jamón</w:t>
            </w:r>
            <w:r>
              <w:rPr>
                <w:color w:val="1A1A1A"/>
                <w:sz w:val="16"/>
              </w:rPr>
              <w:t xml:space="preserve"> (MX, GT, HN, SV, NI, CR, PA, US) · Brasil (pt): </w:t>
            </w:r>
            <w:r>
              <w:rPr>
                <w:b/>
                <w:color w:val="1A1A1A"/>
                <w:sz w:val="16"/>
              </w:rPr>
              <w:t>presunto cozido</w:t>
            </w:r>
          </w:p>
        </w:tc>
        <w:tc>
          <w:tcPr>
            <w:tcW w:type="dxa" w:w="2016"/>
            <w:shd w:val="clear" w:color="auto" w:fill="FAF7F0"/>
          </w:tcPr>
          <w:p>
            <w:pPr>
              <w:spacing w:before="0" w:after="0" w:line="240" w:lineRule="auto"/>
            </w:pPr>
            <w:r>
              <w:rPr>
                <w:color w:val="1A1A1A"/>
                <w:sz w:val="16"/>
              </w:rPr>
              <w:t>El «jamón York» como nombre solo se entiende en mercado con carta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repartidor</w:t>
            </w:r>
          </w:p>
        </w:tc>
        <w:tc>
          <w:tcPr>
            <w:tcW w:type="dxa" w:w="5040"/>
            <w:shd w:val="clear" w:color="auto" w:fill="FAF7F0"/>
          </w:tcPr>
          <w:p>
            <w:pPr>
              <w:spacing w:before="0" w:after="0" w:line="240" w:lineRule="auto"/>
            </w:pPr>
            <w:r>
              <w:rPr>
                <w:b/>
                <w:color w:val="1A1A1A"/>
                <w:sz w:val="16"/>
              </w:rPr>
              <w:t>domiciliario, domiciliaria</w:t>
            </w:r>
            <w:r>
              <w:rPr>
                <w:color w:val="1A1A1A"/>
                <w:sz w:val="16"/>
              </w:rPr>
              <w:t xml:space="preserve"> (CO) · </w:t>
            </w:r>
            <w:r>
              <w:rPr>
                <w:b/>
                <w:color w:val="1A1A1A"/>
                <w:sz w:val="16"/>
              </w:rPr>
              <w:t>motorizado</w:t>
            </w:r>
            <w:r>
              <w:rPr>
                <w:color w:val="1A1A1A"/>
                <w:sz w:val="16"/>
              </w:rPr>
              <w:t xml:space="preserve"> (VE, EC, PE, BO) · </w:t>
            </w:r>
            <w:r>
              <w:rPr>
                <w:b/>
                <w:color w:val="1A1A1A"/>
                <w:sz w:val="16"/>
              </w:rPr>
              <w:t>cadete, repartidor</w:t>
            </w:r>
            <w:r>
              <w:rPr>
                <w:color w:val="1A1A1A"/>
                <w:sz w:val="16"/>
              </w:rPr>
              <w:t xml:space="preserve"> (AR, UY, PY) · Igual que en España: MX, GT, HN, SV, NI, CR, PA, CU, DO, PR, CL, US · Brasil (pt): </w:t>
            </w:r>
            <w:r>
              <w:rPr>
                <w:b/>
                <w:color w:val="1A1A1A"/>
                <w:sz w:val="16"/>
              </w:rPr>
              <w:t>entregador</w:t>
            </w:r>
          </w:p>
        </w:tc>
        <w:tc>
          <w:tcPr>
            <w:tcW w:type="dxa" w:w="2016"/>
            <w:shd w:val="clear" w:color="auto" w:fill="FAF7F0"/>
          </w:tcPr>
          <w:p>
            <w:pPr>
              <w:spacing w:before="0" w:after="0" w:line="240" w:lineRule="auto"/>
            </w:pPr>
            <w:r>
              <w:rPr>
                <w:color w:val="1A1A1A"/>
                <w:sz w:val="16"/>
              </w:rPr>
              <w:t>En PE y BO también se oye «delivery» a secas.</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shd w:val="clear" w:color="auto" w:fill="FAF7F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shd w:val="clear" w:color="auto" w:fill="FAF7F0"/>
          </w:tcPr>
          <w:p>
            <w:pPr>
              <w:spacing w:before="0" w:after="0" w:line="240" w:lineRule="auto"/>
            </w:pPr>
            <w:r>
              <w:rPr>
                <w:color w:val="1A1A1A"/>
                <w:sz w:val="16"/>
              </w:rPr>
              <w:t>En CL conviven «ayudante» y «auxiliar»; en CO se oye casi solo «auxiliar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shd w:val="clear" w:color="auto" w:fill="FAF7F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shd w:val="clear" w:color="auto" w:fill="FAF7F0"/>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shd w:val="clear" w:color="auto" w:fill="FAF7F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shd w:val="clear" w:color="auto" w:fill="FAF7F0"/>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shd w:val="clear" w:color="auto" w:fill="FAF7F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shd w:val="clear" w:color="auto" w:fill="FAF7F0"/>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shd w:val="clear" w:color="auto" w:fill="FAF7F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shd w:val="clear" w:color="auto" w:fill="FAF7F0"/>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shd w:val="clear" w:color="auto" w:fill="FAF7F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shd w:val="clear" w:color="auto" w:fill="FAF7F0"/>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shd w:val="clear" w:color="auto" w:fill="FAF7F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shd w:val="clear" w:color="auto" w:fill="FAF7F0"/>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IRPF</w:t>
            </w:r>
          </w:p>
        </w:tc>
        <w:tc>
          <w:tcPr>
            <w:tcW w:type="dxa" w:w="504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alta en la Seguridad Social</w:t>
            </w:r>
          </w:p>
        </w:tc>
        <w:tc>
          <w:tcPr>
            <w:tcW w:type="dxa" w:w="5040"/>
            <w:shd w:val="clear" w:color="auto" w:fill="FAF7F0"/>
          </w:tcPr>
          <w:p>
            <w:pPr>
              <w:spacing w:before="0" w:after="0" w:line="240" w:lineRule="auto"/>
            </w:pPr>
            <w:r>
              <w:rPr>
                <w:b/>
                <w:color w:val="1A1A1A"/>
                <w:sz w:val="16"/>
              </w:rPr>
              <w:t>alta en el IMSS</w:t>
            </w:r>
            <w:r>
              <w:rPr>
                <w:color w:val="1A1A1A"/>
                <w:sz w:val="16"/>
              </w:rPr>
              <w:t xml:space="preserve"> (MX) · </w:t>
            </w:r>
            <w:r>
              <w:rPr>
                <w:b/>
                <w:color w:val="1A1A1A"/>
                <w:sz w:val="16"/>
              </w:rPr>
              <w:t>afiliación a la seguridad social</w:t>
            </w:r>
            <w:r>
              <w:rPr>
                <w:color w:val="1A1A1A"/>
                <w:sz w:val="16"/>
              </w:rPr>
              <w:t xml:space="preserve"> (GT, HN, SV, NI, DO, CO, VE, BO, UY, PY) · </w:t>
            </w:r>
            <w:r>
              <w:rPr>
                <w:b/>
                <w:color w:val="1A1A1A"/>
                <w:sz w:val="16"/>
              </w:rPr>
              <w:t>aviso de entrada al IESS</w:t>
            </w:r>
            <w:r>
              <w:rPr>
                <w:color w:val="1A1A1A"/>
                <w:sz w:val="16"/>
              </w:rPr>
              <w:t xml:space="preserve"> (EC) · </w:t>
            </w:r>
            <w:r>
              <w:rPr>
                <w:b/>
                <w:color w:val="1A1A1A"/>
                <w:sz w:val="16"/>
              </w:rPr>
              <w:t>alta en T-Registro (SUNAT/EsSalud)</w:t>
            </w:r>
            <w:r>
              <w:rPr>
                <w:color w:val="1A1A1A"/>
                <w:sz w:val="16"/>
              </w:rPr>
              <w:t xml:space="preserve"> (PE) · </w:t>
            </w:r>
            <w:r>
              <w:rPr>
                <w:b/>
                <w:color w:val="1A1A1A"/>
                <w:sz w:val="16"/>
              </w:rPr>
              <w:t>registro de la relación laboral (ARCA)</w:t>
            </w:r>
            <w:r>
              <w:rPr>
                <w:color w:val="1A1A1A"/>
                <w:sz w:val="16"/>
              </w:rPr>
              <w:t xml:space="preserve"> (AR) · </w:t>
            </w:r>
            <w:r>
              <w:rPr>
                <w:b/>
                <w:color w:val="1A1A1A"/>
                <w:sz w:val="16"/>
              </w:rPr>
              <w:t>inscripción del contrato (Dirección del Trabajo)</w:t>
            </w:r>
            <w:r>
              <w:rPr>
                <w:color w:val="1A1A1A"/>
                <w:sz w:val="16"/>
              </w:rPr>
              <w:t xml:space="preserve"> (CL) · </w:t>
            </w:r>
            <w:r>
              <w:rPr>
                <w:b/>
                <w:color w:val="1A1A1A"/>
                <w:sz w:val="16"/>
              </w:rPr>
              <w:t>inscripción en CCSS / CSS</w:t>
            </w:r>
            <w:r>
              <w:rPr>
                <w:color w:val="1A1A1A"/>
                <w:sz w:val="16"/>
              </w:rPr>
              <w:t xml:space="preserve"> (CR, PA) · </w:t>
            </w:r>
            <w:r>
              <w:rPr>
                <w:b/>
                <w:color w:val="1A1A1A"/>
                <w:sz w:val="16"/>
              </w:rPr>
              <w:t>paperwork de nuevo empleado (W-4, I-9)</w:t>
            </w:r>
            <w:r>
              <w:rPr>
                <w:color w:val="1A1A1A"/>
                <w:sz w:val="16"/>
              </w:rPr>
              <w:t xml:space="preserve"> (PR, US) · Igual que en España: CU · Brasil (pt): </w:t>
            </w:r>
            <w:r>
              <w:rPr>
                <w:b/>
                <w:color w:val="1A1A1A"/>
                <w:sz w:val="16"/>
              </w:rPr>
              <w:t>registro em carteira (CTPS), eSocial</w:t>
            </w:r>
          </w:p>
        </w:tc>
        <w:tc>
          <w:tcPr>
            <w:tcW w:type="dxa" w:w="2016"/>
            <w:shd w:val="clear" w:color="auto" w:fill="FAF7F0"/>
          </w:tcPr>
          <w:p>
            <w:pPr>
              <w:spacing w:before="0" w:after="0" w:line="240" w:lineRule="auto"/>
            </w:pPr>
            <w:r>
              <w:rPr>
                <w:color w:val="1A1A1A"/>
                <w:sz w:val="16"/>
              </w:rPr>
              <w:t>El trámite es de la institución local; en AR el organismo antes era AFIP y hoy es ARCA.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shd w:val="clear" w:color="auto" w:fill="FAF7F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shd w:val="clear" w:color="auto" w:fill="FAF7F0"/>
          </w:tcPr>
          <w:p>
            <w:pPr>
              <w:spacing w:before="0" w:after="0" w:line="240" w:lineRule="auto"/>
            </w:pPr>
            <w:r>
              <w:rPr>
                <w:color w:val="1A1A1A"/>
                <w:sz w:val="16"/>
              </w:rPr>
              <w:t>En MX se oye también «tiempo extra»; en CR «tiempo extraordinario». Recargos: 50 % y 100 % en AR; 25 % + 25 % en CO.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tcPr>
          <w:p>
            <w:pPr>
              <w:spacing w:before="0" w:after="0" w:line="240" w:lineRule="auto"/>
            </w:pPr>
            <w:r>
              <w:rPr>
                <w:color w:val="1A1A1A"/>
                <w:sz w:val="16"/>
              </w:rPr>
              <w:t>El conducto de la campana al exterior; en AR «conducto» y en el resto «ducto».</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shd w:val="clear" w:color="auto" w:fill="FAF7F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shd w:val="clear" w:color="auto" w:fill="FAF7F0"/>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fogón</w:t>
            </w:r>
          </w:p>
        </w:tc>
        <w:tc>
          <w:tcPr>
            <w:tcW w:type="dxa" w:w="5040"/>
            <w:shd w:val="clear" w:color="auto" w:fill="FAF7F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shd w:val="clear" w:color="auto" w:fill="FAF7F0"/>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encimera</w:t>
            </w:r>
          </w:p>
        </w:tc>
        <w:tc>
          <w:tcPr>
            <w:tcW w:type="dxa" w:w="5040"/>
          </w:tcPr>
          <w:p>
            <w:pPr>
              <w:spacing w:before="0" w:after="0" w:line="240" w:lineRule="auto"/>
            </w:pPr>
            <w:r>
              <w:rPr>
                <w:b/>
                <w:color w:val="1A1A1A"/>
                <w:sz w:val="16"/>
              </w:rPr>
              <w:t>mesada</w:t>
            </w:r>
            <w:r>
              <w:rPr>
                <w:color w:val="1A1A1A"/>
                <w:sz w:val="16"/>
              </w:rPr>
              <w:t xml:space="preserve"> (AR, UY, PY) · </w:t>
            </w:r>
            <w:r>
              <w:rPr>
                <w:b/>
                <w:color w:val="1A1A1A"/>
                <w:sz w:val="16"/>
              </w:rPr>
              <w:t>mesón</w:t>
            </w:r>
            <w:r>
              <w:rPr>
                <w:color w:val="1A1A1A"/>
                <w:sz w:val="16"/>
              </w:rPr>
              <w:t xml:space="preserve"> (NI, CR, PA, CO, VE, EC, PE, BO, CL) · </w:t>
            </w:r>
            <w:r>
              <w:rPr>
                <w:b/>
                <w:color w:val="1A1A1A"/>
                <w:sz w:val="16"/>
              </w:rPr>
              <w:t>cubierta, encimera</w:t>
            </w:r>
            <w:r>
              <w:rPr>
                <w:color w:val="1A1A1A"/>
                <w:sz w:val="16"/>
              </w:rPr>
              <w:t xml:space="preserve"> (MX, GT, HN, SV) · </w:t>
            </w:r>
            <w:r>
              <w:rPr>
                <w:b/>
                <w:color w:val="1A1A1A"/>
                <w:sz w:val="16"/>
              </w:rPr>
              <w:t>countertop, mesón de trabajo</w:t>
            </w:r>
            <w:r>
              <w:rPr>
                <w:color w:val="1A1A1A"/>
                <w:sz w:val="16"/>
              </w:rPr>
              <w:t xml:space="preserve"> (US) · </w:t>
            </w:r>
            <w:r>
              <w:rPr>
                <w:b/>
                <w:color w:val="1A1A1A"/>
                <w:sz w:val="16"/>
              </w:rPr>
              <w:t>mesón, encimera</w:t>
            </w:r>
            <w:r>
              <w:rPr>
                <w:color w:val="1A1A1A"/>
                <w:sz w:val="16"/>
              </w:rPr>
              <w:t xml:space="preserve"> (CU, DO, PR) · Brasil (pt): </w:t>
            </w:r>
            <w:r>
              <w:rPr>
                <w:b/>
                <w:color w:val="1A1A1A"/>
                <w:sz w:val="16"/>
              </w:rPr>
              <w:t>bancada, bancada de trabalho</w:t>
            </w:r>
          </w:p>
        </w:tc>
        <w:tc>
          <w:tcPr>
            <w:tcW w:type="dxa" w:w="2016"/>
          </w:tcPr>
          <w:p>
            <w:pPr>
              <w:spacing w:before="0" w:after="0" w:line="240" w:lineRule="auto"/>
            </w:pPr>
            <w:r>
              <w:rPr>
                <w:color w:val="1A1A1A"/>
                <w:sz w:val="16"/>
              </w:rPr>
              <w:t>En MX «mesón» y «encimera» son la cubierta de la cocina; en el Río de la Plata es «mesada» y la pileta, «bacha».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bodega</w:t>
            </w:r>
          </w:p>
        </w:tc>
        <w:tc>
          <w:tcPr>
            <w:tcW w:type="dxa" w:w="504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tcPr>
          <w:p>
            <w:pPr>
              <w:spacing w:before="0" w:after="0" w:line="240" w:lineRule="auto"/>
            </w:pPr>
            <w:r>
              <w:rPr>
                <w:color w:val="1A1A1A"/>
                <w:sz w:val="16"/>
              </w:rPr>
              <w:t>Falso amigo: «bodega» es tienda de barrio en PR, DO, CU, PE y NY; en CO y MX también almacén.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garrafa</w:t>
            </w:r>
          </w:p>
        </w:tc>
        <w:tc>
          <w:tcPr>
            <w:tcW w:type="dxa" w:w="5040"/>
            <w:shd w:val="clear" w:color="auto" w:fill="FAF7F0"/>
          </w:tcPr>
          <w:p>
            <w:pPr>
              <w:spacing w:before="0" w:after="0" w:line="240" w:lineRule="auto"/>
            </w:pPr>
            <w:r>
              <w:rPr>
                <w:b/>
                <w:color w:val="1A1A1A"/>
                <w:sz w:val="16"/>
              </w:rPr>
              <w:t>garrafón</w:t>
            </w:r>
            <w:r>
              <w:rPr>
                <w:color w:val="1A1A1A"/>
                <w:sz w:val="16"/>
              </w:rPr>
              <w:t xml:space="preserve"> (MX, GT, HN, SV, NI, CR, US) · </w:t>
            </w:r>
            <w:r>
              <w:rPr>
                <w:b/>
                <w:color w:val="1A1A1A"/>
                <w:sz w:val="16"/>
              </w:rPr>
              <w:t>bidón</w:t>
            </w:r>
            <w:r>
              <w:rPr>
                <w:color w:val="1A1A1A"/>
                <w:sz w:val="16"/>
              </w:rPr>
              <w:t xml:space="preserve"> (EC, PE, BO, CL, AR, UY, PY) · </w:t>
            </w:r>
            <w:r>
              <w:rPr>
                <w:b/>
                <w:color w:val="1A1A1A"/>
                <w:sz w:val="16"/>
              </w:rPr>
              <w:t>botellón</w:t>
            </w:r>
            <w:r>
              <w:rPr>
                <w:color w:val="1A1A1A"/>
                <w:sz w:val="16"/>
              </w:rPr>
              <w:t xml:space="preserve"> (PA, CU, DO, PR, CO, VE) · Brasil (pt): </w:t>
            </w:r>
            <w:r>
              <w:rPr>
                <w:b/>
                <w:color w:val="1A1A1A"/>
                <w:sz w:val="16"/>
              </w:rPr>
              <w:t>garrafão / galão</w:t>
            </w:r>
          </w:p>
        </w:tc>
        <w:tc>
          <w:tcPr>
            <w:tcW w:type="dxa" w:w="2016"/>
            <w:shd w:val="clear" w:color="auto" w:fill="FAF7F0"/>
          </w:tcPr>
          <w:p>
            <w:pPr>
              <w:spacing w:before="0" w:after="0" w:line="240" w:lineRule="auto"/>
            </w:pPr>
            <w:r>
              <w:rPr>
                <w:color w:val="1A1A1A"/>
                <w:sz w:val="16"/>
              </w:rPr>
              <w:t>Falso amigo: en AR, UY y BO «garrafa» es la bombona de gas; el agua va en «bidón».</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Pizzería Napolitana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Pizzería Napolitana</dc:title>
  <dc:subject>Vocabulario, impuestos, sanidad, normas laborales y unidades de 20 países para adaptar tu producto</dc:subject>
  <dc:creator>AI Chef Pro</dc:creator>
  <cp:keywords>equivalencias, hostelería, vocabulario, Hispanoamérica, Plan de Negocio: Pizzería Napolitana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