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rPr>
          <w:rFonts w:ascii="Fira Sans Condensed" w:cs="Fira Sans Condensed" w:hAnsi="Fira Sans Condensed" w:eastAsia="Fira Sans Condensed"/>
        </w:rPr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1976244</wp:posOffset>
                </wp:positionH>
                <wp:positionV relativeFrom="page">
                  <wp:posOffset>711007</wp:posOffset>
                </wp:positionV>
                <wp:extent cx="12700" cy="12700"/>
                <wp:effectExtent l="0" t="0" r="0" b="0"/>
                <wp:wrapThrough wrapText="bothSides" distL="57150" distR="57150">
                  <wp:wrapPolygon edited="1">
                    <wp:start x="5728" y="-5728"/>
                    <wp:lineTo x="-5728" y="5728"/>
                    <wp:lineTo x="15751" y="27206"/>
                    <wp:lineTo x="27206" y="15751"/>
                    <wp:lineTo x="5728" y="-5728"/>
                  </wp:wrapPolygon>
                </wp:wrapThrough>
                <wp:docPr id="1073741825" name="officeArt object" descr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5.6pt;margin-top:56.0pt;width:1.0pt;height: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drawing>
          <wp:anchor distT="28733" distB="28733" distL="28733" distR="28733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071245" cy="304165"/>
            <wp:effectExtent l="0" t="0" r="0" b="0"/>
            <wp:wrapSquare wrapText="bothSides" distL="28733" distR="28733" distT="28733" distB="28733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04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Fira Sans Condensed Medium" w:cs="Fira Sans Condensed Medium" w:hAnsi="Fira Sans Condensed Medium" w:eastAsia="Fira Sans Condensed Medium"/>
          <w:sz w:val="21"/>
          <w:szCs w:val="21"/>
          <w:rtl w:val="0"/>
        </w:rPr>
        <w:t>СОГЛАШЕНИЕ</w:t>
      </w:r>
      <w:r>
        <w:rPr>
          <w:rFonts w:ascii="Fira Sans Condensed" w:cs="Fira Sans Condensed" w:hAnsi="Fira Sans Condensed" w:eastAsia="Fira Sans Condensed"/>
          <w:sz w:val="21"/>
          <w:szCs w:val="21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о корпоративной безопасности </w:t>
      </w:r>
    </w:p>
    <w:p>
      <w:pPr>
        <w:pStyle w:val="Header"/>
      </w:pPr>
      <w:r>
        <w:rPr>
          <w:rFonts w:ascii="Fira Sans Condensed ExtraLight" w:cs="Fira Sans Condensed ExtraLight" w:hAnsi="Fira Sans Condensed ExtraLight" w:eastAsia="Fira Sans Condensed ExtraLight"/>
          <w:sz w:val="19"/>
          <w:szCs w:val="19"/>
          <w:lang w:val="ru-RU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OD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-25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A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| 10-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янв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-20</w:t>
      </w: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Товарищество с ограниченной ответственностью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(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ТОО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)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AIVA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One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в дальнейшем именуемое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Раскрывающая сторона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 лице Директора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Курмашева М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.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действующего на основании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Устава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с одной стороны и </w:t>
      </w:r>
    </w:p>
    <w:p>
      <w:pPr>
        <w:pStyle w:val="Основной текст"/>
        <w:spacing w:line="240" w:lineRule="auto"/>
        <w:ind w:firstLine="567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Гражданин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Республики Казахстан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{{r last_name}} {{r first_name}} {{r father_name}}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{{birth_day}}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уд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личности №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{{udv_number}}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от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{{udv_date}}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выданное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{{udv_place}}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ИИН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{{iin}}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адрес проживания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: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{{address}}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,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ый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в дальнейшем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Исполнитель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 другой 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а вместе и далее по тексту —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заключили настоящий Договор возмездного оказания услуг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именуемый в дальнейшем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Договор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о нижеследующем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:</w:t>
      </w:r>
    </w:p>
    <w:p>
      <w:pPr>
        <w:pStyle w:val="Подпукнт"/>
      </w:pPr>
    </w:p>
    <w:p>
      <w:pPr>
        <w:pStyle w:val="Главный пунк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ПРЕДМЕТ СОГЛАШЕНИЯ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пришли к соглашению о проведении видео и звукового контроля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далее —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rtl w:val="0"/>
          <w:lang w:val="ru-RU"/>
        </w:rPr>
        <w:t>Контроль</w:t>
      </w:r>
      <w:r>
        <w:rPr>
          <w:rtl w:val="0"/>
          <w:lang w:val="ru-RU"/>
        </w:rPr>
        <w:t>» в помещении по адресу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Алматы</w:t>
      </w:r>
      <w:r>
        <w:rPr>
          <w:rtl w:val="0"/>
          <w:lang w:val="ru-RU"/>
        </w:rPr>
        <w:t xml:space="preserve">, 050059, </w:t>
      </w:r>
      <w:r>
        <w:rPr>
          <w:rtl w:val="0"/>
          <w:lang w:val="ru-RU"/>
        </w:rPr>
        <w:t>мкр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</w:t>
      </w:r>
      <w:r>
        <w:rPr>
          <w:rtl w:val="0"/>
          <w:lang w:val="ru-RU"/>
        </w:rPr>
        <w:t>-2, 58/19.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В рамках данного соглашения Раскрывающая сторона применяются следующие способы Контроля</w:t>
      </w:r>
      <w:r>
        <w:rPr>
          <w:rtl w:val="0"/>
          <w:lang w:val="ru-RU"/>
        </w:rPr>
        <w:t>:</w:t>
      </w:r>
      <w:r>
        <w:br w:type="textWrapping"/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использование системы видеонаблюдения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запись разговоров по корпоративным телефонам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запись действий на компьютере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проверка корпоративной почты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7"/>
        </w:numPr>
        <w:jc w:val="left"/>
        <w:rPr>
          <w:lang w:val="ru-RU"/>
        </w:rPr>
      </w:pPr>
      <w:r>
        <w:rPr>
          <w:rtl w:val="0"/>
          <w:lang w:val="ru-RU"/>
        </w:rPr>
        <w:t>Целями Контроля являются</w:t>
      </w:r>
      <w:r>
        <w:rPr>
          <w:rtl w:val="0"/>
          <w:lang w:val="ru-RU"/>
        </w:rPr>
        <w:t>:</w:t>
      </w:r>
      <w:r>
        <w:br w:type="textWrapping"/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контроль за качеством обслуживания клиентов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обеспечение сохранности имущества Раскрывающей стороны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предупреждение недобросовестного исполнения Получающей стороны функциональных обязанностей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соблюдение правил трудового распорядка компаний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контроль неразглашения Получающей стороны конфиденциальной информации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8"/>
        </w:numPr>
        <w:jc w:val="left"/>
        <w:rPr>
          <w:lang w:val="ru-RU"/>
        </w:rPr>
      </w:pPr>
      <w:r>
        <w:rPr>
          <w:rtl w:val="0"/>
          <w:lang w:val="ru-RU"/>
        </w:rPr>
        <w:t>Стороны обязуются сохранять строгую конфиденциальность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полученной в ходе проведения Контроля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принять все возможные меры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предохранить полученную информацию от разглашения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настоящим Соглашением подтверждают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действия Раскрывающей стороны по проведению Контроля не нарушают гражданских прав Получающей стороны на охрану тайны личной жизни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тайны переписки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телефонных переговоров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дневников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записок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предусмотренных п</w:t>
      </w:r>
      <w:r>
        <w:rPr>
          <w:rtl w:val="0"/>
          <w:lang w:val="ru-RU"/>
        </w:rPr>
        <w:t xml:space="preserve">.1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.144 </w:t>
      </w:r>
      <w:r>
        <w:rPr>
          <w:u w:val="single"/>
          <w:rtl w:val="0"/>
          <w:lang w:val="ru-RU"/>
        </w:rPr>
        <w:t>Гражданского кодекса РК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настоящим Соглашением подтверждают отсутствие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претензий друг к другу в связи с проведением видео и звукового контроля и заверяют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 будут предъявлять друг к другу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имущественных и не имущественных требований в судебном и не судебном порядке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обращаться в государственные и негосударственные органы и организации с жалобами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требованиями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иными письмами и документами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Настоящее Соглашение вступает в силу с момента его подписания Сторонами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Настоящее Соглашение составлено на русском языке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двух подлинных экземплярах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имеющих одинаковую юридическую силу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одному экземпляру для каждой из Сторон</w:t>
      </w:r>
      <w:r>
        <w:rPr>
          <w:rtl w:val="0"/>
          <w:lang w:val="ru-RU"/>
        </w:rPr>
        <w:t>.</w:t>
      </w:r>
    </w:p>
    <w:p>
      <w:pPr>
        <w:pStyle w:val="Подпукнт"/>
      </w:pPr>
    </w:p>
    <w:p>
      <w:pPr>
        <w:pStyle w:val="Главный пункт"/>
        <w:numPr>
          <w:ilvl w:val="0"/>
          <w:numId w:val="9"/>
        </w:numPr>
        <w:bidi w:val="0"/>
        <w:ind w:right="0"/>
        <w:jc w:val="left"/>
        <w:rPr>
          <w:rFonts w:ascii="Fira Sans Condensed ExtraLight" w:cs="Fira Sans Condensed ExtraLight" w:hAnsi="Fira Sans Condensed ExtraLight" w:eastAsia="Fira Sans Condensed ExtraLight"/>
          <w:rtl w:val="0"/>
          <w:lang w:val="ru-RU"/>
        </w:rPr>
      </w:pP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 АДРЕСА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, 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РЕКВИЗИТЫ И ПОДПИСИ СТОРОН</w:t>
      </w:r>
    </w:p>
    <w:tbl>
      <w:tblPr>
        <w:tblW w:w="8905" w:type="dxa"/>
        <w:jc w:val="left"/>
        <w:tblInd w:w="1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8"/>
        <w:gridCol w:w="450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  Раскрывающая сторона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Получающая сторона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Гражданин РК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{{r last_name}} {{r first_name}} {{r father_name}}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БИН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 100140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00221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ИИН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{{iin}}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Юр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адрес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Алматы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мкр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Самал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-2/58-19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Банк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fr-FR"/>
              </w:rPr>
              <w:t>АО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Kaspi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Bank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»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Адрес проживания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{{address}}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Удостоверение №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{{udv_number}}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от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{{udv_date}}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БИК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CASPKZKA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выданное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{{udv_place}}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KZ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74722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S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000002183435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Кбе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: 17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{{iban}}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Сайт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www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Контактный номер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{{contact_phone}}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let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 {{email_address}}</w:t>
            </w:r>
          </w:p>
        </w:tc>
      </w:tr>
    </w:tbl>
    <w:p>
      <w:pPr>
        <w:pStyle w:val="Главный пункт"/>
        <w:numPr>
          <w:ilvl w:val="0"/>
          <w:numId w:val="10"/>
        </w:numPr>
      </w:pPr>
    </w:p>
    <w:p>
      <w:pPr>
        <w:pStyle w:val="Основной текст"/>
        <w:spacing w:after="0" w:line="240" w:lineRule="auto"/>
        <w:jc w:val="cent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tbl>
      <w:tblPr>
        <w:tblW w:w="9206" w:type="dxa"/>
        <w:jc w:val="left"/>
        <w:tblInd w:w="53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414"/>
        <w:gridCol w:w="2692"/>
        <w:gridCol w:w="211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gridSpan w:val="2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Директор</w:t>
            </w:r>
          </w:p>
        </w:tc>
        <w:tc>
          <w:tcPr>
            <w:tcW w:type="dxa" w:w="4807"/>
            <w:gridSpan w:val="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Гражданин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lang w:val="ru-RU"/>
              </w:rPr>
              <w:tab/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jc w:val="right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Курмашев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  <w:tc>
          <w:tcPr>
            <w:tcW w:type="dxa" w:w="269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Республики Казахстан</w:t>
            </w:r>
          </w:p>
        </w:tc>
        <w:tc>
          <w:tcPr>
            <w:tcW w:type="dxa" w:w="21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er"/>
              <w:tabs>
                <w:tab w:val="clear" w:pos="4677"/>
                <w:tab w:val="clear" w:pos="9355"/>
              </w:tabs>
              <w:jc w:val="right"/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{{last_name}} {{first_name_f</w:t>
            </w:r>
          </w:p>
          <w:p>
            <w:pPr>
              <w:pStyle w:val="Footer"/>
              <w:tabs>
                <w:tab w:val="clear" w:pos="4677"/>
                <w:tab w:val="clear" w:pos="9355"/>
              </w:tabs>
              <w:bidi w:val="0"/>
              <w:ind w:left="0" w:right="0" w:firstLine="0"/>
              <w:jc w:val="right"/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}}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{{father_name_f</w:t>
            </w:r>
          </w:p>
          <w:p>
            <w:pPr>
              <w:pStyle w:val="Footer"/>
              <w:tabs>
                <w:tab w:val="clear" w:pos="4677"/>
                <w:tab w:val="clear" w:pos="9355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}}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.</w:t>
            </w:r>
          </w:p>
        </w:tc>
      </w:tr>
    </w:tbl>
    <w:p>
      <w:pPr>
        <w:pStyle w:val="Основной текст"/>
        <w:widowControl w:val="0"/>
        <w:spacing w:after="0" w:line="240" w:lineRule="auto"/>
        <w:ind w:left="422" w:hanging="422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</w:pPr>
      <w:r>
        <w:rPr>
          <w:lang w:val="en-US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1134" w:bottom="1418" w:left="1134" w:header="0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Fira Sans Condensed ExtraLight">
    <w:charset w:val="00"/>
    <w:family w:val="roman"/>
    <w:pitch w:val="default"/>
  </w:font>
  <w:font w:name="Roboto Condensed">
    <w:charset w:val="00"/>
    <w:family w:val="roman"/>
    <w:pitch w:val="default"/>
  </w:font>
  <w:font w:name="Fira Sans Condensed">
    <w:charset w:val="00"/>
    <w:family w:val="roman"/>
    <w:pitch w:val="default"/>
  </w:font>
  <w:font w:name="Fira Sans Condensed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  <w:r>
      <w:rPr>
        <w:rtl w:val="0"/>
        <w:lang w:val="ru-RU"/>
      </w:rPr>
      <w:fldChar w:fldCharType="begin" w:fldLock="0"/>
    </w:r>
    <w:r>
      <w:rPr>
        <w:rtl w:val="0"/>
        <w:lang w:val="ru-RU"/>
      </w:rPr>
      <w:instrText xml:space="preserve"> PAGE </w:instrText>
    </w:r>
    <w:r>
      <w:rPr>
        <w:rtl w:val="0"/>
        <w:lang w:val="ru-RU"/>
      </w:rPr>
      <w:fldChar w:fldCharType="separate" w:fldLock="0"/>
    </w:r>
    <w:r>
      <w:rPr>
        <w:rtl w:val="0"/>
        <w:lang w:val="ru-RU"/>
      </w:rPr>
    </w:r>
    <w:r>
      <w:rPr>
        <w:rtl w:val="0"/>
        <w:lang w:val="ru-RU"/>
      </w:rPr>
      <w:fldChar w:fldCharType="end" w:fldLock="0"/>
    </w: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14:textFill>
          <w14:solidFill>
            <w14:srgbClr w14:val="404040"/>
          </w14:solidFill>
        </w14:textFill>
      </w:rPr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 xml:space="preserve">©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2009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—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2019 </w:t>
    </w:r>
    <w:r>
      <w:rPr>
        <w:rFonts w:ascii="Fira Sans Condensed" w:cs="Fira Sans Condensed" w:hAnsi="Fira Sans Condensed" w:eastAsia="Fira Sans Condensed"/>
        <w:outline w:val="0"/>
        <w:color w:val="0d95ec"/>
        <w:sz w:val="10"/>
        <w:szCs w:val="10"/>
        <w:u w:color="0d95ec"/>
        <w:rtl w:val="0"/>
        <w:lang w:val="en-US"/>
        <w14:textFill>
          <w14:solidFill>
            <w14:srgbClr w14:val="0D95EC"/>
          </w14:solidFill>
        </w14:textFill>
      </w:rPr>
      <w:t>AIVA One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7f7f7f"/>
        <w:sz w:val="10"/>
        <w:szCs w:val="10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.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ALL RIGHTS RESERVED.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lang w:val="en-US"/>
        <w14:textFill>
          <w14:solidFill>
            <w14:srgbClr w14:val="404040"/>
          </w14:solidFill>
        </w14:textFill>
      </w:rPr>
      <w:br w:type="textWrapping"/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58/19 SAMAL-2 DIST., ALMATY, A25C9K9, QAZAQSTAN</w:t>
    </w:r>
  </w:p>
  <w:p>
    <w:pPr>
      <w:pStyle w:val="Default"/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www.aiva.one | let@aiva.one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673" w:hanging="6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¾"/>
      <w:lvlJc w:val="left"/>
      <w:pPr>
        <w:ind w:left="1134" w:hanging="56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5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7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94" w:hanging="56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01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3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54" w:hanging="56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7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9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1">
      <w:startOverride w:val="3"/>
    </w:lvlOverride>
  </w:num>
  <w:num w:numId="8">
    <w:abstractNumId w:val="2"/>
    <w:lvlOverride w:ilvl="1">
      <w:startOverride w:val="4"/>
    </w:lvlOverride>
  </w:num>
  <w:num w:numId="9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6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2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8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5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7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1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3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7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9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дпукнт">
    <w:name w:val="Подпукнт"/>
    <w:next w:val="Подпукн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1" w:after="0" w:line="240" w:lineRule="auto"/>
      <w:ind w:left="0" w:right="102" w:firstLine="0"/>
      <w:jc w:val="both"/>
      <w:outlineLvl w:val="9"/>
    </w:pPr>
    <w:rPr>
      <w:rFonts w:ascii="Fira Sans Condensed ExtraLight" w:cs="Fira Sans Condensed ExtraLight" w:hAnsi="Fira Sans Condensed ExtraLight" w:eastAsia="Fira Sans Condensed Ex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Главный пункт">
    <w:name w:val="Главный пункт"/>
    <w:next w:val="Главный пунк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Fira Sans Condensed Medium" w:cs="Fira Sans Condensed Medium" w:hAnsi="Fira Sans Condensed Medium" w:eastAsia="Fira Sans Condensed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