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1976244</wp:posOffset>
                </wp:positionH>
                <wp:positionV relativeFrom="page">
                  <wp:posOffset>711007</wp:posOffset>
                </wp:positionV>
                <wp:extent cx="12700" cy="12700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15751" y="27206"/>
                    <wp:lineTo x="27206" y="15751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6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корпоративной безопасности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Чегреев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Данияр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Маратович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1234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000519500014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г.Алматы , ул. Розыбакиева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Исполнитель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возмездного оказания услуг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пришли к соглашению о проведении видео и звукового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далее —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rtl w:val="0"/>
          <w:lang w:val="ru-RU"/>
        </w:rPr>
        <w:t>Контроль</w:t>
      </w:r>
      <w:r>
        <w:rPr>
          <w:rtl w:val="0"/>
          <w:lang w:val="ru-RU"/>
        </w:rPr>
        <w:t>» в помещении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Алматы</w:t>
      </w:r>
      <w:r>
        <w:rPr>
          <w:rtl w:val="0"/>
          <w:lang w:val="ru-RU"/>
        </w:rPr>
        <w:t xml:space="preserve">, 050059, </w:t>
      </w:r>
      <w:r>
        <w:rPr>
          <w:rtl w:val="0"/>
          <w:lang w:val="ru-RU"/>
        </w:rPr>
        <w:t>мкр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</w:t>
      </w:r>
      <w:r>
        <w:rPr>
          <w:rtl w:val="0"/>
          <w:lang w:val="ru-RU"/>
        </w:rPr>
        <w:t>-2, 58/19.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рамках данного соглашения Раскрывающая сторона применяются следующие способы Контроля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использование системы видеонаблюдения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разговоров по корпоративным телефонам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действий на компьютере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проверка корпоративной почты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7"/>
        </w:numPr>
        <w:jc w:val="left"/>
        <w:rPr>
          <w:lang w:val="ru-RU"/>
        </w:rPr>
      </w:pPr>
      <w:r>
        <w:rPr>
          <w:rtl w:val="0"/>
          <w:lang w:val="ru-RU"/>
        </w:rPr>
        <w:t>Целями Контроля являются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за качеством обслуживания клиентов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обеспечение сохранности имущества Раскрывающей стороны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предупреждение недобросовестного исполнения Получающей стороны функциональных обязанностей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соблюдение правил трудового распорядка компаний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неразглашения Получающей стороны конфиденциальной информации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8"/>
        </w:numPr>
        <w:jc w:val="left"/>
        <w:rPr>
          <w:lang w:val="ru-RU"/>
        </w:rPr>
      </w:pPr>
      <w:r>
        <w:rPr>
          <w:rtl w:val="0"/>
          <w:lang w:val="ru-RU"/>
        </w:rPr>
        <w:t>Стороны обязуются сохранять строгую конфиденциальность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в ходе проведения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принять все возможные меры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предохранить полученную информацию от разглашения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действия Раскрывающей стороны по проведению Контроля не нарушают гражданских прав Получающей стороны на охрану тайны личной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тайны переписки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телефонных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дневников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предусмотренных п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.144 </w:t>
      </w:r>
      <w:r>
        <w:rPr>
          <w:u w:val="single"/>
          <w:rtl w:val="0"/>
          <w:lang w:val="ru-RU"/>
        </w:rPr>
        <w:t>Гражданского кодекса РК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 отсутствие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претензий друг к другу в связи с проведением видео и звукового контроля и заверяют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будут предъявлять друг к другу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имущественных и не имущественных требований в судебном и не судебном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обращаться в государственные и негосударственные органы и организации с жалобами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требованиями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иными письмами и документами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одинаковую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9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 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8905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5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 Раскрывающая сторона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Чегреев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Данияр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Маратович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000519500014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г.Алматы , ул. Розыбакиева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1234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19.05.2000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KZ83722C000012774429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87022465104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mail@gmail.com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10"/>
        </w:numPr>
      </w:pPr>
    </w:p>
    <w:p>
      <w:pPr>
        <w:pStyle w:val="Основной текст"/>
        <w:spacing w:after="0" w:line="240" w:lineRule="auto"/>
        <w:jc w:val="cent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lang w:val="ru-RU"/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Чегреев</w:t>
                </w:r>
                 Д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2" w:hanging="422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  <w:r>
        <w:rPr>
          <w:lang w:val="en-US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rtl w:val="0"/>
        <w:lang w:val="ru-RU"/>
      </w:rPr>
      <w:fldChar w:fldCharType="begin" w:fldLock="0"/>
    </w:r>
    <w:r>
      <w:rPr>
        <w:rtl w:val="0"/>
        <w:lang w:val="ru-RU"/>
      </w:rPr>
      <w:instrText xml:space="preserve"> PAGE </w:instrText>
    </w:r>
    <w:r>
      <w:rPr>
        <w:rtl w:val="0"/>
        <w:lang w:val="ru-RU"/>
      </w:rPr>
      <w:fldChar w:fldCharType="separate" w:fldLock="0"/>
    </w:r>
    <w:r>
      <w:rPr>
        <w:rtl w:val="0"/>
        <w:lang w:val="ru-RU"/>
      </w:rPr>
    </w:r>
    <w:r>
      <w:rPr>
        <w:rtl w:val="0"/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ind w:left="113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3"/>
    </w:lvlOverride>
  </w:num>
  <w:num w:numId="8">
    <w:abstractNumId w:val="2"/>
    <w:lvlOverride w:ilvl="1">
      <w:startOverride w:val="4"/>
    </w:lvlOverride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7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1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3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7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9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