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DEA9"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1. Purpose</w:t>
      </w:r>
    </w:p>
    <w:p w14:paraId="6D7EBFD3"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a) Lay Summary</w:t>
      </w:r>
    </w:p>
    <w:p w14:paraId="3291F7F7"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We aim to study whether continuous home monitoring of urine flow and symptoms using a smartphone application can measure recovery after prostate surgery. Participants will use a home uroflow device and answer brief daily symptom questions through their iPhone. We will compare these digital measures to standard symptom questionnaires over time.</w:t>
      </w:r>
    </w:p>
    <w:p w14:paraId="24E29161"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b) What We Hope to Learn</w:t>
      </w:r>
    </w:p>
    <w:p w14:paraId="22EFF721"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We aim to determine whether passive home uroflowmetry combined with daily symptom tracking can serve as a reliable digital biomarker of treatment response after bladder outlet surgery. These data could reduce reliance on clinic-based testing and improve monitoring of recovery.</w:t>
      </w:r>
    </w:p>
    <w:p w14:paraId="6AE86C00"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c) Why Human Subjects Are Required</w:t>
      </w:r>
    </w:p>
    <w:p w14:paraId="718432FC"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The relationship between urinary flow patterns, symptoms, and surgical outcomes must be studied directly in patients undergoing bladder outlet procedures. These physiologic and subjective outcomes cannot be modeled without human participation.</w:t>
      </w:r>
    </w:p>
    <w:p w14:paraId="77A4D877"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2CD46A95">
          <v:rect id="_x0000_i1031" alt="" style="width:468pt;height:.05pt;mso-width-percent:0;mso-height-percent:0;mso-width-percent:0;mso-height-percent:0" o:hralign="center" o:hrstd="t" o:hr="t" fillcolor="#a0a0a0" stroked="f"/>
        </w:pict>
      </w:r>
    </w:p>
    <w:p w14:paraId="0A11553B"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2. Study Procedures</w:t>
      </w:r>
    </w:p>
    <w:p w14:paraId="55FF5F9F"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a) Summary of Research Procedures</w:t>
      </w:r>
    </w:p>
    <w:p w14:paraId="5B8FD94A" w14:textId="77777777" w:rsidR="00AC173C" w:rsidRDefault="00AC173C" w:rsidP="00AC173C">
      <w:pPr>
        <w:pStyle w:val="NormalWeb"/>
      </w:pPr>
      <w:r>
        <w:rPr>
          <w:rStyle w:val="Strong"/>
          <w:rFonts w:eastAsiaTheme="majorEastAsia"/>
        </w:rPr>
        <w:t>Identification of Eligible Patients</w:t>
      </w:r>
      <w:r>
        <w:br/>
        <w:t>Patients will be identified by their treating urologist at the time a bladder outlet procedure is planned. The physician will confirm basic eligibility (e.g., adult patient with LUTS/BPH, scheduled for procedure, owns an Apple iPhone capable of running the StreamSync application) and introduce the study during routine clinical care.</w:t>
      </w:r>
    </w:p>
    <w:p w14:paraId="388FD7DB" w14:textId="77777777" w:rsidR="00AC173C" w:rsidRDefault="00AC173C" w:rsidP="00AC173C">
      <w:pPr>
        <w:pStyle w:val="NormalWeb"/>
      </w:pPr>
      <w:r>
        <w:rPr>
          <w:rStyle w:val="Strong"/>
          <w:rFonts w:eastAsiaTheme="majorEastAsia"/>
        </w:rPr>
        <w:t>Initial Contact and Study Information</w:t>
      </w:r>
      <w:r>
        <w:br/>
        <w:t>Interested patients will be provided with a secure study link via MyHealth message, email, or printed QR code. This link will direct patients to download the StreamSync iPhone application and review study information, including consent materials.</w:t>
      </w:r>
    </w:p>
    <w:p w14:paraId="0158BC96" w14:textId="187FCE9F" w:rsidR="00AC173C" w:rsidRDefault="00AC173C" w:rsidP="00AC173C">
      <w:pPr>
        <w:pStyle w:val="NormalWeb"/>
      </w:pPr>
      <w:r>
        <w:rPr>
          <w:rStyle w:val="Strong"/>
          <w:rFonts w:eastAsiaTheme="majorEastAsia"/>
        </w:rPr>
        <w:t>Consent and App Setup</w:t>
      </w:r>
      <w:r>
        <w:br/>
        <w:t>Through the application, patients will review the electronic consent form and complete enrollment questionnaires. Upon consent, participants will create a study account and link Apple Health within the application.</w:t>
      </w:r>
      <w:r w:rsidR="00B75880">
        <w:t xml:space="preserve"> Patients will give authorization to access medical records </w:t>
      </w:r>
    </w:p>
    <w:p w14:paraId="3E310DB6" w14:textId="0F6DBD1F" w:rsidR="00AC173C" w:rsidRDefault="00AC173C" w:rsidP="00AC173C">
      <w:pPr>
        <w:pStyle w:val="NormalWeb"/>
      </w:pPr>
      <w:r>
        <w:rPr>
          <w:rStyle w:val="Strong"/>
          <w:rFonts w:eastAsiaTheme="majorEastAsia"/>
        </w:rPr>
        <w:lastRenderedPageBreak/>
        <w:t>Preoperative Visit and Device Distribution</w:t>
      </w:r>
      <w:r>
        <w:br/>
        <w:t xml:space="preserve">During </w:t>
      </w:r>
      <w:r>
        <w:t>a</w:t>
      </w:r>
      <w:r>
        <w:t xml:space="preserve"> standard preoperative clinic visit, participants will receive:</w:t>
      </w:r>
    </w:p>
    <w:p w14:paraId="7AE7C4F2" w14:textId="77777777" w:rsidR="00AC173C" w:rsidRDefault="00AC173C" w:rsidP="00AC173C">
      <w:pPr>
        <w:pStyle w:val="NormalWeb"/>
        <w:numPr>
          <w:ilvl w:val="0"/>
          <w:numId w:val="11"/>
        </w:numPr>
      </w:pPr>
      <w:r>
        <w:t>A Throne home uroflow device</w:t>
      </w:r>
    </w:p>
    <w:p w14:paraId="287B8335" w14:textId="77777777" w:rsidR="00AC173C" w:rsidRDefault="00AC173C" w:rsidP="00AC173C">
      <w:pPr>
        <w:pStyle w:val="NormalWeb"/>
        <w:numPr>
          <w:ilvl w:val="0"/>
          <w:numId w:val="11"/>
        </w:numPr>
      </w:pPr>
      <w:r>
        <w:t>An Apple Watch for activity and health monitoring</w:t>
      </w:r>
    </w:p>
    <w:p w14:paraId="7CDECE0C" w14:textId="3D1D269D" w:rsidR="00AC173C" w:rsidRDefault="00AC173C" w:rsidP="00AC173C">
      <w:pPr>
        <w:pStyle w:val="NormalWeb"/>
      </w:pPr>
      <w:r>
        <w:t>Study staff will provide</w:t>
      </w:r>
      <w:r>
        <w:t xml:space="preserve"> </w:t>
      </w:r>
      <w:r>
        <w:t>instruction on device setup and use. Participants will have the opportunity to pair their devices with the StreamSync app with assistance from research staff to ensure successful activation and data syncing.</w:t>
      </w:r>
    </w:p>
    <w:p w14:paraId="7C33C8AA"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b/>
          <w:bCs/>
          <w:kern w:val="0"/>
          <w14:ligatures w14:val="none"/>
        </w:rPr>
        <w:t>Baseline</w:t>
      </w:r>
    </w:p>
    <w:p w14:paraId="7424849F" w14:textId="3099B82E" w:rsidR="00AC173C" w:rsidRDefault="00B75880" w:rsidP="000003ED">
      <w:pPr>
        <w:spacing w:before="100" w:beforeAutospacing="1" w:after="100" w:afterAutospacing="1" w:line="240" w:lineRule="auto"/>
      </w:pPr>
      <w:r>
        <w:t>A</w:t>
      </w:r>
      <w:r w:rsidR="00AC173C">
        <w:t>fter enrollment, baseline demographic and clinical data will be recorded, and the patient will begin baseline digital monitoring prior to surgery.</w:t>
      </w:r>
    </w:p>
    <w:p w14:paraId="0BC68B11" w14:textId="0AFED070" w:rsidR="00B75880" w:rsidRDefault="00B75880" w:rsidP="000003ED">
      <w:pPr>
        <w:spacing w:before="100" w:beforeAutospacing="1" w:after="100" w:afterAutospacing="1" w:line="240" w:lineRule="auto"/>
      </w:pPr>
      <w:r>
        <w:t>P</w:t>
      </w:r>
      <w:r w:rsidRPr="00B75880">
        <w:t xml:space="preserve">atients will be monitored and receive reminders from </w:t>
      </w:r>
      <w:r>
        <w:t>S</w:t>
      </w:r>
      <w:r w:rsidRPr="00B75880">
        <w:t>treamsync if they have not synced data in the last 48 hours. If they do not sync data for 96 hours they will be contacted by study team member to assist with pairing Throne and Apple watch devices.</w:t>
      </w:r>
    </w:p>
    <w:p w14:paraId="4DDC5F7A" w14:textId="3F567DCA"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b/>
          <w:bCs/>
          <w:kern w:val="0"/>
          <w14:ligatures w14:val="none"/>
        </w:rPr>
        <w:t>Digital Monitoring</w:t>
      </w:r>
    </w:p>
    <w:p w14:paraId="1A47B366" w14:textId="77777777" w:rsidR="000003ED" w:rsidRPr="000003ED" w:rsidRDefault="000003ED" w:rsidP="000003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Continuous passive uroflow data collection using Throne device</w:t>
      </w:r>
    </w:p>
    <w:p w14:paraId="4BBA0EFE" w14:textId="77777777" w:rsidR="000003ED" w:rsidRPr="000003ED" w:rsidRDefault="000003ED" w:rsidP="000003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Daily symptom tracking via StreamSync app</w:t>
      </w:r>
    </w:p>
    <w:p w14:paraId="3BDE164B" w14:textId="54452C79" w:rsidR="000003ED" w:rsidRPr="000003ED" w:rsidRDefault="000003ED" w:rsidP="000003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 xml:space="preserve">Data synced to secure </w:t>
      </w:r>
      <w:r w:rsidR="004D2C05">
        <w:rPr>
          <w:rFonts w:ascii="Times New Roman" w:eastAsia="Times New Roman" w:hAnsi="Times New Roman" w:cs="Times New Roman"/>
          <w:kern w:val="0"/>
          <w14:ligatures w14:val="none"/>
        </w:rPr>
        <w:t>research</w:t>
      </w:r>
      <w:r w:rsidRPr="000003ED">
        <w:rPr>
          <w:rFonts w:ascii="Times New Roman" w:eastAsia="Times New Roman" w:hAnsi="Times New Roman" w:cs="Times New Roman"/>
          <w:kern w:val="0"/>
          <w14:ligatures w14:val="none"/>
        </w:rPr>
        <w:t xml:space="preserve"> servers</w:t>
      </w:r>
    </w:p>
    <w:p w14:paraId="520A03ED"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b/>
          <w:bCs/>
          <w:kern w:val="0"/>
          <w14:ligatures w14:val="none"/>
        </w:rPr>
        <w:t>Follow-up</w:t>
      </w:r>
    </w:p>
    <w:p w14:paraId="65457C47" w14:textId="77777777" w:rsidR="000003ED" w:rsidRPr="000003ED" w:rsidRDefault="000003ED" w:rsidP="000003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IPSS surveys at 1, 3, 6, and 12 months</w:t>
      </w:r>
    </w:p>
    <w:p w14:paraId="35BDA030" w14:textId="1874310F" w:rsidR="000003ED" w:rsidRDefault="000003ED" w:rsidP="000003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 xml:space="preserve">Continuous symptom and uroflow monitoring for </w:t>
      </w:r>
      <w:r w:rsidR="00AC173C">
        <w:rPr>
          <w:rFonts w:ascii="Times New Roman" w:eastAsia="Times New Roman" w:hAnsi="Times New Roman" w:cs="Times New Roman"/>
          <w:kern w:val="0"/>
          <w14:ligatures w14:val="none"/>
        </w:rPr>
        <w:t xml:space="preserve">at least </w:t>
      </w:r>
      <w:r w:rsidRPr="000003ED">
        <w:rPr>
          <w:rFonts w:ascii="Times New Roman" w:eastAsia="Times New Roman" w:hAnsi="Times New Roman" w:cs="Times New Roman"/>
          <w:kern w:val="0"/>
          <w14:ligatures w14:val="none"/>
        </w:rPr>
        <w:t>90 days post-procedure</w:t>
      </w:r>
    </w:p>
    <w:p w14:paraId="38DB1CFE" w14:textId="55277E52" w:rsidR="00AC173C" w:rsidRDefault="00AC173C" w:rsidP="000003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During the </w:t>
      </w:r>
      <w:r w:rsidR="00B75880">
        <w:rPr>
          <w:rFonts w:ascii="Times New Roman" w:eastAsia="Times New Roman" w:hAnsi="Times New Roman" w:cs="Times New Roman"/>
          <w:kern w:val="0"/>
          <w14:ligatures w14:val="none"/>
        </w:rPr>
        <w:t xml:space="preserve">90 days post procedure patients will be monitored and receive reminders from Streamsync if they have not synced data in the last 48 hours. If they do not sync data for 96 hours they will be contacted by study team member to assist with pairing Throne and Apple watch devices. </w:t>
      </w:r>
    </w:p>
    <w:p w14:paraId="471D3591" w14:textId="14B15A8E" w:rsidR="00B75880" w:rsidRPr="000003ED" w:rsidRDefault="00B75880" w:rsidP="000003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Patients will be able to submit daily symptom tracking through the Streamsync application</w:t>
      </w:r>
    </w:p>
    <w:p w14:paraId="46B71699"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b/>
          <w:bCs/>
          <w:kern w:val="0"/>
          <w14:ligatures w14:val="none"/>
        </w:rPr>
        <w:t>Completion</w:t>
      </w:r>
    </w:p>
    <w:p w14:paraId="78EAB828" w14:textId="0C658A64" w:rsidR="000003ED" w:rsidRPr="000003ED" w:rsidRDefault="00AC173C" w:rsidP="000003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monitoring</w:t>
      </w:r>
      <w:r w:rsidR="000003ED" w:rsidRPr="000003ED">
        <w:rPr>
          <w:rFonts w:ascii="Times New Roman" w:eastAsia="Times New Roman" w:hAnsi="Times New Roman" w:cs="Times New Roman"/>
          <w:kern w:val="0"/>
          <w14:ligatures w14:val="none"/>
        </w:rPr>
        <w:t xml:space="preserve"> at 90 days for primary endpoint</w:t>
      </w:r>
    </w:p>
    <w:p w14:paraId="5FA7C8CC" w14:textId="77777777" w:rsidR="000003ED" w:rsidRPr="000003ED" w:rsidRDefault="000003ED" w:rsidP="000003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Longitudinal IPSS follow-up to 12 months</w:t>
      </w:r>
    </w:p>
    <w:p w14:paraId="42CF1419"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6098BF40">
          <v:rect id="_x0000_i1030" alt="" style="width:468pt;height:.05pt;mso-width-percent:0;mso-height-percent:0;mso-width-percent:0;mso-height-percent:0" o:hralign="center" o:hrstd="t" o:hr="t" fillcolor="#a0a0a0" stroked="f"/>
        </w:pict>
      </w:r>
    </w:p>
    <w:p w14:paraId="1D42E2B1"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b) Least Risky Design</w:t>
      </w:r>
    </w:p>
    <w:p w14:paraId="29FF7173"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lastRenderedPageBreak/>
        <w:t>This is a non-invasive observational digital monitoring study with minimal risk. No treatment decisions are altered by participation.</w:t>
      </w:r>
    </w:p>
    <w:p w14:paraId="47B017C0"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c–f)</w:t>
      </w:r>
    </w:p>
    <w:p w14:paraId="498C0BD3"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No deception, no video/audio capture beyond uroflow signals, no alteration to clinical care, and standard therapy continues.</w:t>
      </w:r>
    </w:p>
    <w:p w14:paraId="1CAE66C9"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g) Study Endpoint and Sample Size</w:t>
      </w:r>
    </w:p>
    <w:p w14:paraId="69A9EB48" w14:textId="0EC620D4"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Primary endpoint: change in uroflow and symptom metrics at 90 days post-procedure.</w:t>
      </w:r>
      <w:r w:rsidR="004D2C05">
        <w:rPr>
          <w:rFonts w:ascii="Times New Roman" w:eastAsia="Times New Roman" w:hAnsi="Times New Roman" w:cs="Times New Roman"/>
          <w:kern w:val="0"/>
          <w14:ligatures w14:val="none"/>
        </w:rPr>
        <w:t xml:space="preserve"> Long term follow up at 6 and 12 months with IPSS</w:t>
      </w:r>
      <w:r w:rsidRPr="000003ED">
        <w:rPr>
          <w:rFonts w:ascii="Times New Roman" w:eastAsia="Times New Roman" w:hAnsi="Times New Roman" w:cs="Times New Roman"/>
          <w:kern w:val="0"/>
          <w14:ligatures w14:val="none"/>
        </w:rPr>
        <w:br/>
        <w:t>Feasibility sample size: 20 participants.</w:t>
      </w:r>
    </w:p>
    <w:p w14:paraId="36B42730"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3DEBB0A9">
          <v:rect id="_x0000_i1029" alt="" style="width:468pt;height:.05pt;mso-width-percent:0;mso-height-percent:0;mso-width-percent:0;mso-height-percent:0" o:hralign="center" o:hrstd="t" o:hr="t" fillcolor="#a0a0a0" stroked="f"/>
        </w:pict>
      </w:r>
    </w:p>
    <w:p w14:paraId="385023D8"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8. Participant Population</w:t>
      </w:r>
    </w:p>
    <w:p w14:paraId="757BF347"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Inclusion Criteria</w:t>
      </w:r>
    </w:p>
    <w:p w14:paraId="2F30D485" w14:textId="77777777" w:rsidR="000003ED" w:rsidRPr="000003ED" w:rsidRDefault="000003ED" w:rsidP="00000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Adult men undergoing bladder outlet procedure</w:t>
      </w:r>
    </w:p>
    <w:p w14:paraId="7F55B12D" w14:textId="77777777" w:rsidR="000003ED" w:rsidRPr="000003ED" w:rsidRDefault="000003ED" w:rsidP="00000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Diagnosis of LUTS/BPH</w:t>
      </w:r>
    </w:p>
    <w:p w14:paraId="157B1AC3" w14:textId="77777777" w:rsidR="000003ED" w:rsidRPr="000003ED" w:rsidRDefault="000003ED" w:rsidP="00000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Ownership of Apple iPhone compatible with StreamSync app</w:t>
      </w:r>
    </w:p>
    <w:p w14:paraId="2EBE77A5" w14:textId="77777777" w:rsidR="000003ED" w:rsidRPr="000003ED" w:rsidRDefault="000003ED" w:rsidP="00000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Ability to provide informed consent</w:t>
      </w:r>
    </w:p>
    <w:p w14:paraId="5C00AF62"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Exclusion Criteria</w:t>
      </w:r>
    </w:p>
    <w:p w14:paraId="21553685" w14:textId="77777777" w:rsidR="000003ED" w:rsidRPr="000003ED" w:rsidRDefault="000003ED" w:rsidP="00000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Neurogenic bladder</w:t>
      </w:r>
    </w:p>
    <w:p w14:paraId="5D193FB7" w14:textId="77777777" w:rsidR="000003ED" w:rsidRPr="000003ED" w:rsidRDefault="000003ED" w:rsidP="00000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Chronic catheterization</w:t>
      </w:r>
    </w:p>
    <w:p w14:paraId="2CAE408C" w14:textId="77777777" w:rsidR="000003ED" w:rsidRPr="000003ED" w:rsidRDefault="000003ED" w:rsidP="00000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Inability to use smartphone app</w:t>
      </w:r>
    </w:p>
    <w:p w14:paraId="33EF185F" w14:textId="77777777" w:rsidR="000003ED" w:rsidRPr="000003ED" w:rsidRDefault="000003ED" w:rsidP="00000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Cognitive impairment</w:t>
      </w:r>
    </w:p>
    <w:p w14:paraId="7686C25C" w14:textId="77777777" w:rsidR="000003ED" w:rsidRPr="000003ED" w:rsidRDefault="000003ED" w:rsidP="00000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3ED">
        <w:rPr>
          <w:rFonts w:ascii="Times New Roman" w:eastAsia="Times New Roman" w:hAnsi="Times New Roman" w:cs="Times New Roman"/>
          <w:b/>
          <w:bCs/>
          <w:kern w:val="0"/>
          <w:sz w:val="27"/>
          <w:szCs w:val="27"/>
          <w14:ligatures w14:val="none"/>
        </w:rPr>
        <w:t>Compensation</w:t>
      </w:r>
    </w:p>
    <w:p w14:paraId="2ADB3910"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Participants will:</w:t>
      </w:r>
    </w:p>
    <w:p w14:paraId="3728D508" w14:textId="77777777" w:rsidR="000003ED" w:rsidRPr="000003ED" w:rsidRDefault="000003ED" w:rsidP="00000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Keep the Throne device</w:t>
      </w:r>
    </w:p>
    <w:p w14:paraId="348172EB" w14:textId="77777777" w:rsidR="000003ED" w:rsidRPr="000003ED" w:rsidRDefault="000003ED" w:rsidP="00000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Receive $100 upon completion of 90-day follow-up</w:t>
      </w:r>
    </w:p>
    <w:p w14:paraId="65226122"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6557D2D4">
          <v:rect id="_x0000_i1028" alt="" style="width:468pt;height:.05pt;mso-width-percent:0;mso-height-percent:0;mso-width-percent:0;mso-height-percent:0" o:hralign="center" o:hrstd="t" o:hr="t" fillcolor="#a0a0a0" stroked="f"/>
        </w:pict>
      </w:r>
    </w:p>
    <w:p w14:paraId="72F5454B"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9. Risks</w:t>
      </w:r>
    </w:p>
    <w:p w14:paraId="46703652"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Risks are minimal and include:</w:t>
      </w:r>
    </w:p>
    <w:p w14:paraId="59E0CD2A" w14:textId="77777777" w:rsidR="000003ED" w:rsidRPr="000003ED" w:rsidRDefault="000003ED" w:rsidP="00000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lastRenderedPageBreak/>
        <w:t>Privacy/confidentiality risks from digital data</w:t>
      </w:r>
    </w:p>
    <w:p w14:paraId="202BBB3F" w14:textId="77777777" w:rsidR="000003ED" w:rsidRPr="000003ED" w:rsidRDefault="000003ED" w:rsidP="00000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Minor inconvenience using device/app</w:t>
      </w:r>
    </w:p>
    <w:p w14:paraId="48BB2472"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No physical risks beyond standard care.</w:t>
      </w:r>
    </w:p>
    <w:p w14:paraId="4E720AF8"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4183F5AA">
          <v:rect id="_x0000_i1027" alt="" style="width:468pt;height:.05pt;mso-width-percent:0;mso-height-percent:0;mso-width-percent:0;mso-height-percent:0" o:hralign="center" o:hrstd="t" o:hr="t" fillcolor="#a0a0a0" stroked="f"/>
        </w:pict>
      </w:r>
    </w:p>
    <w:p w14:paraId="081BB8F8"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10. Benefits</w:t>
      </w:r>
    </w:p>
    <w:p w14:paraId="2A93B2A6"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No direct clinical benefit is guaranteed. The study may improve future monitoring of LUTS treatment outcomes.</w:t>
      </w:r>
    </w:p>
    <w:p w14:paraId="7F3958C0"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4145368F">
          <v:rect id="_x0000_i1026" alt="" style="width:468pt;height:.05pt;mso-width-percent:0;mso-height-percent:0;mso-width-percent:0;mso-height-percent:0" o:hralign="center" o:hrstd="t" o:hr="t" fillcolor="#a0a0a0" stroked="f"/>
        </w:pict>
      </w:r>
    </w:p>
    <w:p w14:paraId="560EC4C5"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11. Privacy and Confidentiality</w:t>
      </w:r>
    </w:p>
    <w:p w14:paraId="0F9F9F8C"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All digital data will be:</w:t>
      </w:r>
    </w:p>
    <w:p w14:paraId="79B87980" w14:textId="77777777" w:rsidR="000003ED" w:rsidRPr="000003ED" w:rsidRDefault="000003ED" w:rsidP="000003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Stored on secure Stanford servers</w:t>
      </w:r>
    </w:p>
    <w:p w14:paraId="351A13D2" w14:textId="77777777" w:rsidR="000003ED" w:rsidRPr="000003ED" w:rsidRDefault="000003ED" w:rsidP="000003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De-identified using study IDs</w:t>
      </w:r>
    </w:p>
    <w:p w14:paraId="44771D8E" w14:textId="77777777" w:rsidR="000003ED" w:rsidRPr="000003ED" w:rsidRDefault="000003ED" w:rsidP="000003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Accessible only to authorized study staff</w:t>
      </w:r>
      <w:r w:rsidRPr="000003ED">
        <w:rPr>
          <w:rFonts w:ascii="Times New Roman" w:eastAsia="Times New Roman" w:hAnsi="Times New Roman" w:cs="Times New Roman"/>
          <w:kern w:val="0"/>
          <w14:ligatures w14:val="none"/>
        </w:rPr>
        <w:br/>
        <w:t xml:space="preserve">Data handling procedures follow institutional standards. </w:t>
      </w:r>
    </w:p>
    <w:p w14:paraId="5C048D05" w14:textId="77777777" w:rsidR="000003ED" w:rsidRPr="000003ED" w:rsidRDefault="000F258E" w:rsidP="000003ED">
      <w:pPr>
        <w:spacing w:after="0" w:line="240" w:lineRule="auto"/>
        <w:rPr>
          <w:rFonts w:ascii="Times New Roman" w:eastAsia="Times New Roman" w:hAnsi="Times New Roman" w:cs="Times New Roman"/>
          <w:kern w:val="0"/>
          <w14:ligatures w14:val="none"/>
        </w:rPr>
      </w:pPr>
      <w:r w:rsidRPr="000F258E">
        <w:rPr>
          <w:rFonts w:ascii="Times New Roman" w:eastAsia="Times New Roman" w:hAnsi="Times New Roman" w:cs="Times New Roman"/>
          <w:noProof/>
          <w:kern w:val="0"/>
        </w:rPr>
        <w:pict w14:anchorId="7066124E">
          <v:rect id="_x0000_i1025" alt="" style="width:468pt;height:.05pt;mso-width-percent:0;mso-height-percent:0;mso-width-percent:0;mso-height-percent:0" o:hralign="center" o:hrstd="t" o:hr="t" fillcolor="#a0a0a0" stroked="f"/>
        </w:pict>
      </w:r>
    </w:p>
    <w:p w14:paraId="35A2D6A1" w14:textId="77777777" w:rsidR="000003ED" w:rsidRPr="000003ED" w:rsidRDefault="000003ED" w:rsidP="000003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3ED">
        <w:rPr>
          <w:rFonts w:ascii="Times New Roman" w:eastAsia="Times New Roman" w:hAnsi="Times New Roman" w:cs="Times New Roman"/>
          <w:b/>
          <w:bCs/>
          <w:kern w:val="0"/>
          <w:sz w:val="36"/>
          <w:szCs w:val="36"/>
          <w14:ligatures w14:val="none"/>
        </w:rPr>
        <w:t>12. Conflict of Interest</w:t>
      </w:r>
    </w:p>
    <w:p w14:paraId="4310A1D9" w14:textId="77777777" w:rsidR="000003ED" w:rsidRPr="000003ED" w:rsidRDefault="000003ED" w:rsidP="000003ED">
      <w:pPr>
        <w:spacing w:before="100" w:beforeAutospacing="1" w:after="100" w:afterAutospacing="1" w:line="240" w:lineRule="auto"/>
        <w:rPr>
          <w:rFonts w:ascii="Times New Roman" w:eastAsia="Times New Roman" w:hAnsi="Times New Roman" w:cs="Times New Roman"/>
          <w:kern w:val="0"/>
          <w14:ligatures w14:val="none"/>
        </w:rPr>
      </w:pPr>
      <w:r w:rsidRPr="000003ED">
        <w:rPr>
          <w:rFonts w:ascii="Times New Roman" w:eastAsia="Times New Roman" w:hAnsi="Times New Roman" w:cs="Times New Roman"/>
          <w:kern w:val="0"/>
          <w14:ligatures w14:val="none"/>
        </w:rPr>
        <w:t>No conflicts are anticipated. Any industry relationships will be disclosed and managed per institutional policy.</w:t>
      </w:r>
    </w:p>
    <w:p w14:paraId="3138F025" w14:textId="3C5E4EEB" w:rsidR="00EF0FCD" w:rsidRDefault="00EF0FCD"/>
    <w:sectPr w:rsidR="00EF0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0F2B"/>
    <w:multiLevelType w:val="multilevel"/>
    <w:tmpl w:val="3272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3F0E"/>
    <w:multiLevelType w:val="multilevel"/>
    <w:tmpl w:val="883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93422"/>
    <w:multiLevelType w:val="multilevel"/>
    <w:tmpl w:val="5D2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232C2"/>
    <w:multiLevelType w:val="multilevel"/>
    <w:tmpl w:val="D20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D2E4F"/>
    <w:multiLevelType w:val="multilevel"/>
    <w:tmpl w:val="ADA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C2321"/>
    <w:multiLevelType w:val="multilevel"/>
    <w:tmpl w:val="B86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A7A02"/>
    <w:multiLevelType w:val="multilevel"/>
    <w:tmpl w:val="F95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23692"/>
    <w:multiLevelType w:val="multilevel"/>
    <w:tmpl w:val="640C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257F8"/>
    <w:multiLevelType w:val="multilevel"/>
    <w:tmpl w:val="271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C4940"/>
    <w:multiLevelType w:val="multilevel"/>
    <w:tmpl w:val="ABC8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F71BF"/>
    <w:multiLevelType w:val="multilevel"/>
    <w:tmpl w:val="FD6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0765">
    <w:abstractNumId w:val="0"/>
  </w:num>
  <w:num w:numId="2" w16cid:durableId="2083142677">
    <w:abstractNumId w:val="10"/>
  </w:num>
  <w:num w:numId="3" w16cid:durableId="580215690">
    <w:abstractNumId w:val="3"/>
  </w:num>
  <w:num w:numId="4" w16cid:durableId="1524972273">
    <w:abstractNumId w:val="9"/>
  </w:num>
  <w:num w:numId="5" w16cid:durableId="216859739">
    <w:abstractNumId w:val="7"/>
  </w:num>
  <w:num w:numId="6" w16cid:durableId="1074814377">
    <w:abstractNumId w:val="5"/>
  </w:num>
  <w:num w:numId="7" w16cid:durableId="1293975467">
    <w:abstractNumId w:val="8"/>
  </w:num>
  <w:num w:numId="8" w16cid:durableId="307327999">
    <w:abstractNumId w:val="1"/>
  </w:num>
  <w:num w:numId="9" w16cid:durableId="110175828">
    <w:abstractNumId w:val="6"/>
  </w:num>
  <w:num w:numId="10" w16cid:durableId="452944674">
    <w:abstractNumId w:val="2"/>
  </w:num>
  <w:num w:numId="11" w16cid:durableId="1794789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ED"/>
    <w:rsid w:val="000003ED"/>
    <w:rsid w:val="00054708"/>
    <w:rsid w:val="000F258E"/>
    <w:rsid w:val="00304B40"/>
    <w:rsid w:val="00423F44"/>
    <w:rsid w:val="004D2C05"/>
    <w:rsid w:val="0051219D"/>
    <w:rsid w:val="00791DFB"/>
    <w:rsid w:val="00AC173C"/>
    <w:rsid w:val="00B75880"/>
    <w:rsid w:val="00E61177"/>
    <w:rsid w:val="00EF0FCD"/>
    <w:rsid w:val="00F16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B54F"/>
  <w15:chartTrackingRefBased/>
  <w15:docId w15:val="{9BA6C73F-773F-4442-BB88-DD3FCD87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3ED"/>
    <w:rPr>
      <w:rFonts w:eastAsiaTheme="majorEastAsia" w:cstheme="majorBidi"/>
      <w:color w:val="272727" w:themeColor="text1" w:themeTint="D8"/>
    </w:rPr>
  </w:style>
  <w:style w:type="paragraph" w:styleId="Title">
    <w:name w:val="Title"/>
    <w:basedOn w:val="Normal"/>
    <w:next w:val="Normal"/>
    <w:link w:val="TitleChar"/>
    <w:uiPriority w:val="10"/>
    <w:qFormat/>
    <w:rsid w:val="00000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3ED"/>
    <w:pPr>
      <w:spacing w:before="160"/>
      <w:jc w:val="center"/>
    </w:pPr>
    <w:rPr>
      <w:i/>
      <w:iCs/>
      <w:color w:val="404040" w:themeColor="text1" w:themeTint="BF"/>
    </w:rPr>
  </w:style>
  <w:style w:type="character" w:customStyle="1" w:styleId="QuoteChar">
    <w:name w:val="Quote Char"/>
    <w:basedOn w:val="DefaultParagraphFont"/>
    <w:link w:val="Quote"/>
    <w:uiPriority w:val="29"/>
    <w:rsid w:val="000003ED"/>
    <w:rPr>
      <w:i/>
      <w:iCs/>
      <w:color w:val="404040" w:themeColor="text1" w:themeTint="BF"/>
    </w:rPr>
  </w:style>
  <w:style w:type="paragraph" w:styleId="ListParagraph">
    <w:name w:val="List Paragraph"/>
    <w:basedOn w:val="Normal"/>
    <w:uiPriority w:val="34"/>
    <w:qFormat/>
    <w:rsid w:val="000003ED"/>
    <w:pPr>
      <w:ind w:left="720"/>
      <w:contextualSpacing/>
    </w:pPr>
  </w:style>
  <w:style w:type="character" w:styleId="IntenseEmphasis">
    <w:name w:val="Intense Emphasis"/>
    <w:basedOn w:val="DefaultParagraphFont"/>
    <w:uiPriority w:val="21"/>
    <w:qFormat/>
    <w:rsid w:val="000003ED"/>
    <w:rPr>
      <w:i/>
      <w:iCs/>
      <w:color w:val="0F4761" w:themeColor="accent1" w:themeShade="BF"/>
    </w:rPr>
  </w:style>
  <w:style w:type="paragraph" w:styleId="IntenseQuote">
    <w:name w:val="Intense Quote"/>
    <w:basedOn w:val="Normal"/>
    <w:next w:val="Normal"/>
    <w:link w:val="IntenseQuoteChar"/>
    <w:uiPriority w:val="30"/>
    <w:qFormat/>
    <w:rsid w:val="00000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3ED"/>
    <w:rPr>
      <w:i/>
      <w:iCs/>
      <w:color w:val="0F4761" w:themeColor="accent1" w:themeShade="BF"/>
    </w:rPr>
  </w:style>
  <w:style w:type="character" w:styleId="IntenseReference">
    <w:name w:val="Intense Reference"/>
    <w:basedOn w:val="DefaultParagraphFont"/>
    <w:uiPriority w:val="32"/>
    <w:qFormat/>
    <w:rsid w:val="000003ED"/>
    <w:rPr>
      <w:b/>
      <w:bCs/>
      <w:smallCaps/>
      <w:color w:val="0F4761" w:themeColor="accent1" w:themeShade="BF"/>
      <w:spacing w:val="5"/>
    </w:rPr>
  </w:style>
  <w:style w:type="paragraph" w:styleId="NormalWeb">
    <w:name w:val="Normal (Web)"/>
    <w:basedOn w:val="Normal"/>
    <w:uiPriority w:val="99"/>
    <w:semiHidden/>
    <w:unhideWhenUsed/>
    <w:rsid w:val="000003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03ED"/>
    <w:rPr>
      <w:b/>
      <w:bCs/>
    </w:rPr>
  </w:style>
  <w:style w:type="character" w:customStyle="1" w:styleId="relative">
    <w:name w:val="relative"/>
    <w:basedOn w:val="DefaultParagraphFont"/>
    <w:rsid w:val="000003ED"/>
  </w:style>
  <w:style w:type="paragraph" w:customStyle="1" w:styleId="not-prose">
    <w:name w:val="not-prose"/>
    <w:basedOn w:val="Normal"/>
    <w:rsid w:val="000003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2026-02-25T06:27:00Z</dcterms:created>
  <dcterms:modified xsi:type="dcterms:W3CDTF">2026-02-26T05:13:00Z</dcterms:modified>
</cp:coreProperties>
</file>