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080"/>
          <w:sz w:val="32"/>
        </w:rPr>
        <w:t>PHYSICS-AWARE PEDESTRIAN AUTOMATIC EMERGENCY BRAKING (AEB) SYSTEM</w:t>
      </w:r>
    </w:p>
    <w:p/>
    <w:p>
      <w:pPr>
        <w:jc w:val="center"/>
      </w:pPr>
      <w:r>
        <w:rPr>
          <w:sz w:val="26"/>
        </w:rPr>
        <w:t>Integrating Deep Learning Detection, Physics-Based Dynamics,</w:t>
        <w:br/>
        <w:t>Brake Thermodynamics, and Biomechanical Impact Analysis</w:t>
      </w:r>
    </w:p>
    <w:p/>
    <w:p>
      <w:pPr>
        <w:jc w:val="center"/>
      </w:pPr>
      <w:r>
        <w:rPr>
          <w:b/>
          <w:sz w:val="24"/>
        </w:rPr>
        <w:t>End-Term Project Report</w:t>
      </w:r>
    </w:p>
    <w:p>
      <w:pPr>
        <w:jc w:val="center"/>
      </w:pPr>
      <w:r>
        <w:rPr>
          <w:sz w:val="24"/>
        </w:rPr>
        <w:t>Course: MIT-115</w:t>
      </w:r>
    </w:p>
    <w:p>
      <w:pPr>
        <w:jc w:val="center"/>
      </w:pPr>
    </w:p>
    <w:p>
      <w:pPr>
        <w:jc w:val="center"/>
      </w:pPr>
      <w:r>
        <w:rPr>
          <w:b/>
          <w:sz w:val="24"/>
        </w:rPr>
        <w:t>Department of Mechanical and Industrial Engineering</w:t>
      </w:r>
    </w:p>
    <w:p>
      <w:pPr>
        <w:jc w:val="center"/>
      </w:pPr>
      <w:r>
        <w:rPr>
          <w:b/>
          <w:sz w:val="24"/>
        </w:rPr>
        <w:t>Indian Institute of Technology Roorkee</w:t>
      </w:r>
    </w:p>
    <w:p>
      <w:pPr>
        <w:jc w:val="center"/>
      </w:pPr>
      <w:r>
        <w:rPr>
          <w:sz w:val="24"/>
        </w:rPr>
        <w:t>May 2026</w:t>
      </w:r>
    </w:p>
    <w:p/>
    <w:p/>
    <w:p>
      <w:pPr>
        <w:jc w:val="center"/>
      </w:pPr>
      <w:r>
        <w:rPr>
          <w:b/>
        </w:rPr>
        <w:t>Submitted by:</w:t>
      </w:r>
    </w:p>
    <w:p>
      <w:pPr>
        <w:jc w:val="center"/>
      </w:pPr>
      <w:r>
        <w:rPr>
          <w:sz w:val="24"/>
        </w:rPr>
        <w:t>[Name 1] - [Enrollment]</w:t>
      </w:r>
    </w:p>
    <w:p>
      <w:pPr>
        <w:jc w:val="center"/>
      </w:pPr>
      <w:r>
        <w:rPr>
          <w:sz w:val="24"/>
        </w:rPr>
        <w:t>[Name 2] - [Enrollment]</w:t>
      </w:r>
    </w:p>
    <w:p>
      <w:pPr>
        <w:jc w:val="center"/>
      </w:pPr>
      <w:r>
        <w:rPr>
          <w:sz w:val="24"/>
        </w:rPr>
        <w:t>[Name 3] - [Enrollment]</w:t>
      </w:r>
    </w:p>
    <w:p>
      <w:pPr>
        <w:jc w:val="center"/>
      </w:pPr>
      <w:r>
        <w:rPr>
          <w:sz w:val="24"/>
        </w:rPr>
        <w:t>[Name 4] - [Enrollment]</w:t>
      </w:r>
    </w:p>
    <w:p>
      <w:pPr>
        <w:jc w:val="center"/>
      </w:pPr>
      <w:r>
        <w:rPr>
          <w:sz w:val="24"/>
        </w:rPr>
        <w:t>[Name 5] - [Enrollment]</w:t>
      </w:r>
    </w:p>
    <w:p>
      <w:pPr>
        <w:jc w:val="center"/>
      </w:pPr>
      <w:r>
        <w:rPr>
          <w:sz w:val="24"/>
        </w:rPr>
        <w:t>[Name 6] - [Enrollment]</w:t>
      </w:r>
    </w:p>
    <w:p/>
    <w:p>
      <w:pPr>
        <w:jc w:val="center"/>
      </w:pPr>
      <w:r>
        <w:rPr>
          <w:b/>
          <w:sz w:val="24"/>
        </w:rPr>
        <w:t>Supervisor: Prof. [Supervisor Name]</w:t>
      </w:r>
    </w:p>
    <w:p>
      <w:r>
        <w:br w:type="page"/>
      </w:r>
    </w:p>
    <w:p>
      <w:pPr>
        <w:pStyle w:val="Heading1"/>
        <w:jc w:val="left"/>
      </w:pPr>
      <w:r>
        <w:rPr>
          <w:color w:val="004080"/>
        </w:rPr>
        <w:t>ABSTRACT</w:t>
      </w:r>
    </w:p>
    <w:p>
      <w:pPr>
        <w:jc w:val="both"/>
      </w:pPr>
      <w:r>
        <w:rPr>
          <w:b w:val="0"/>
          <w:i w:val="0"/>
          <w:sz w:val="22"/>
        </w:rPr>
        <w:t>This report presents the design, implementation, and validation of a physics-aware Pedestrian Automatic Emergency Braking (AEB) system for the Advanced Driver Assistance Systems (ADAS) domain. The system integrates six interconnected engineering disciplines: (1) real-time computer vision using a YOLOv8 detector trained on 6,000 BDD100K images achieving mAP@0.5 of 78.3% for pedestrians; (2) multi-object tracking using a Kalman-filter SORT algorithm; (3) monocular depth estimation via Intel MiDaS; (4) physics-based longitudinal braking simulation incorporating the Pacejka Magic Formula tire model and anti-lock braking system (ABS) pressure modulation; (5) brake rotor thermodynamic modelling using the heat equation and Newton's Law of Cooling, with brake fade compensation built into the AEB trigger threshold; and (6) pedestrian head injury severity quantification using the Head Injury Criterion (HIC) biomechanical model aligned with Euro NCAP and NHTSA standards. The adaptive AEB controller dynamically adjusts its Time-to-Collision (TTC) trigger threshold based on weather classification, driver drowsiness state, and real-time brake thermal fade, reaching 3.5 seconds in worst-case conditions versus the 1.5-second baseline. The system is validated against four Euro NCAP pedestrian AEB scenarios and demonstrates PASS at speeds up to 40 km/h across all scenarios. Biomechanical analysis shows that partial AEB braking reduces impact HIC values by up to 8x even in non-avoidance cases, reducing injury severity from Critical (AIS 5) to Moderate (AIS 2).</w:t>
      </w:r>
    </w:p>
    <w:p>
      <w:r>
        <w:br w:type="page"/>
      </w:r>
    </w:p>
    <w:p>
      <w:pPr>
        <w:pStyle w:val="Heading1"/>
        <w:jc w:val="left"/>
      </w:pPr>
      <w:r>
        <w:rPr>
          <w:color w:val="004080"/>
        </w:rPr>
        <w:t>TABLE OF CONTENTS</w:t>
      </w:r>
    </w:p>
    <w:p>
      <w:r>
        <w:rPr>
          <w:sz w:val="22"/>
        </w:rPr>
        <w:t>1  Introduction</w:t>
      </w:r>
      <w:r>
        <w:rPr>
          <w:sz w:val="22"/>
        </w:rPr>
        <w:tab/>
        <w:t>4</w:t>
      </w:r>
    </w:p>
    <w:p>
      <w:r>
        <w:rPr>
          <w:sz w:val="22"/>
        </w:rPr>
        <w:t>2  Literature Review</w:t>
      </w:r>
      <w:r>
        <w:rPr>
          <w:sz w:val="22"/>
        </w:rPr>
        <w:tab/>
        <w:t>5</w:t>
      </w:r>
    </w:p>
    <w:p>
      <w:r>
        <w:rPr>
          <w:sz w:val="22"/>
        </w:rPr>
        <w:t>3  Research Objectives</w:t>
      </w:r>
      <w:r>
        <w:rPr>
          <w:sz w:val="22"/>
        </w:rPr>
        <w:tab/>
        <w:t>6</w:t>
      </w:r>
    </w:p>
    <w:p>
      <w:r>
        <w:rPr>
          <w:sz w:val="22"/>
        </w:rPr>
        <w:t>4  System Architecture and Methodology</w:t>
      </w:r>
      <w:r>
        <w:rPr>
          <w:sz w:val="22"/>
        </w:rPr>
        <w:tab/>
        <w:t>7</w:t>
      </w:r>
    </w:p>
    <w:p>
      <w:r>
        <w:rPr>
          <w:sz w:val="22"/>
        </w:rPr>
        <w:t xml:space="preserve">  4.1  Object Detection Module</w:t>
      </w:r>
      <w:r>
        <w:rPr>
          <w:sz w:val="22"/>
        </w:rPr>
        <w:tab/>
        <w:t>7</w:t>
      </w:r>
    </w:p>
    <w:p>
      <w:r>
        <w:rPr>
          <w:sz w:val="22"/>
        </w:rPr>
        <w:t xml:space="preserve">  4.2  Multi-Object Tracking</w:t>
      </w:r>
      <w:r>
        <w:rPr>
          <w:sz w:val="22"/>
        </w:rPr>
        <w:tab/>
        <w:t>7</w:t>
      </w:r>
    </w:p>
    <w:p>
      <w:r>
        <w:rPr>
          <w:sz w:val="22"/>
        </w:rPr>
        <w:t xml:space="preserve">  4.3  Monocular Depth Estimation</w:t>
      </w:r>
      <w:r>
        <w:rPr>
          <w:sz w:val="22"/>
        </w:rPr>
        <w:tab/>
        <w:t>8</w:t>
      </w:r>
    </w:p>
    <w:p>
      <w:r>
        <w:rPr>
          <w:sz w:val="22"/>
        </w:rPr>
        <w:t xml:space="preserve">  4.4  Lane Detection and Ego Corridor</w:t>
      </w:r>
      <w:r>
        <w:rPr>
          <w:sz w:val="22"/>
        </w:rPr>
        <w:tab/>
        <w:t>8</w:t>
      </w:r>
    </w:p>
    <w:p>
      <w:r>
        <w:rPr>
          <w:sz w:val="22"/>
        </w:rPr>
        <w:t xml:space="preserve">  4.5  Weather Classification</w:t>
      </w:r>
      <w:r>
        <w:rPr>
          <w:sz w:val="22"/>
        </w:rPr>
        <w:tab/>
        <w:t>9</w:t>
      </w:r>
    </w:p>
    <w:p>
      <w:r>
        <w:rPr>
          <w:sz w:val="22"/>
        </w:rPr>
        <w:t xml:space="preserve">  4.6  Driver Monitoring System</w:t>
      </w:r>
      <w:r>
        <w:rPr>
          <w:sz w:val="22"/>
        </w:rPr>
        <w:tab/>
        <w:t>9</w:t>
      </w:r>
    </w:p>
    <w:p>
      <w:r>
        <w:rPr>
          <w:sz w:val="22"/>
        </w:rPr>
        <w:t xml:space="preserve">  4.7  Vehicle Dynamics Simulation</w:t>
      </w:r>
      <w:r>
        <w:rPr>
          <w:sz w:val="22"/>
        </w:rPr>
        <w:tab/>
        <w:t>10</w:t>
      </w:r>
    </w:p>
    <w:p>
      <w:r>
        <w:rPr>
          <w:sz w:val="22"/>
        </w:rPr>
        <w:t xml:space="preserve">  4.8  Brake Thermodynamics Model</w:t>
      </w:r>
      <w:r>
        <w:rPr>
          <w:sz w:val="22"/>
        </w:rPr>
        <w:tab/>
        <w:t>11</w:t>
      </w:r>
    </w:p>
    <w:p>
      <w:r>
        <w:rPr>
          <w:sz w:val="22"/>
        </w:rPr>
        <w:t xml:space="preserve">  4.9  Adaptive AEB Controller</w:t>
      </w:r>
      <w:r>
        <w:rPr>
          <w:sz w:val="22"/>
        </w:rPr>
        <w:tab/>
        <w:t>12</w:t>
      </w:r>
    </w:p>
    <w:p>
      <w:r>
        <w:rPr>
          <w:sz w:val="22"/>
        </w:rPr>
        <w:t xml:space="preserve">  4.10  Pedestrian Impact Analysis</w:t>
      </w:r>
      <w:r>
        <w:rPr>
          <w:sz w:val="22"/>
        </w:rPr>
        <w:tab/>
        <w:t>13</w:t>
      </w:r>
    </w:p>
    <w:p>
      <w:r>
        <w:rPr>
          <w:sz w:val="22"/>
        </w:rPr>
        <w:t>5  Implementation Details</w:t>
      </w:r>
      <w:r>
        <w:rPr>
          <w:sz w:val="22"/>
        </w:rPr>
        <w:tab/>
        <w:t>13</w:t>
      </w:r>
    </w:p>
    <w:p>
      <w:r>
        <w:rPr>
          <w:sz w:val="22"/>
        </w:rPr>
        <w:t>6  Results and Discussion</w:t>
      </w:r>
      <w:r>
        <w:rPr>
          <w:sz w:val="22"/>
        </w:rPr>
        <w:tab/>
        <w:t>14</w:t>
      </w:r>
    </w:p>
    <w:p>
      <w:r>
        <w:rPr>
          <w:sz w:val="22"/>
        </w:rPr>
        <w:t xml:space="preserve">  6.1  Detection and Tracking Performance</w:t>
      </w:r>
      <w:r>
        <w:rPr>
          <w:sz w:val="22"/>
        </w:rPr>
        <w:tab/>
        <w:t>14</w:t>
      </w:r>
    </w:p>
    <w:p>
      <w:r>
        <w:rPr>
          <w:sz w:val="22"/>
        </w:rPr>
        <w:t xml:space="preserve">  6.2  Vehicle Dynamics Validation</w:t>
      </w:r>
      <w:r>
        <w:rPr>
          <w:sz w:val="22"/>
        </w:rPr>
        <w:tab/>
        <w:t>14</w:t>
      </w:r>
    </w:p>
    <w:p>
      <w:r>
        <w:rPr>
          <w:sz w:val="22"/>
        </w:rPr>
        <w:t xml:space="preserve">  6.3  Brake Thermodynamics Results</w:t>
      </w:r>
      <w:r>
        <w:rPr>
          <w:sz w:val="22"/>
        </w:rPr>
        <w:tab/>
        <w:t>15</w:t>
      </w:r>
    </w:p>
    <w:p>
      <w:r>
        <w:rPr>
          <w:sz w:val="22"/>
        </w:rPr>
        <w:t xml:space="preserve">  6.4  Adaptive AEB Performance</w:t>
      </w:r>
      <w:r>
        <w:rPr>
          <w:sz w:val="22"/>
        </w:rPr>
        <w:tab/>
        <w:t>15</w:t>
      </w:r>
    </w:p>
    <w:p>
      <w:r>
        <w:rPr>
          <w:sz w:val="22"/>
        </w:rPr>
        <w:t xml:space="preserve">  6.5  Biomechanical Impact Analysis</w:t>
      </w:r>
      <w:r>
        <w:rPr>
          <w:sz w:val="22"/>
        </w:rPr>
        <w:tab/>
        <w:t>16</w:t>
      </w:r>
    </w:p>
    <w:p>
      <w:r>
        <w:rPr>
          <w:sz w:val="22"/>
        </w:rPr>
        <w:t xml:space="preserve">  6.6  Euro NCAP Scenario Validation</w:t>
      </w:r>
      <w:r>
        <w:rPr>
          <w:sz w:val="22"/>
        </w:rPr>
        <w:tab/>
        <w:t>16</w:t>
      </w:r>
    </w:p>
    <w:p>
      <w:r>
        <w:rPr>
          <w:sz w:val="22"/>
        </w:rPr>
        <w:t xml:space="preserve">  6.7  Bird's-Eye View Radar Visualization</w:t>
      </w:r>
      <w:r>
        <w:rPr>
          <w:sz w:val="22"/>
        </w:rPr>
        <w:tab/>
        <w:t>17</w:t>
      </w:r>
    </w:p>
    <w:p>
      <w:r>
        <w:rPr>
          <w:sz w:val="22"/>
        </w:rPr>
        <w:t>7  Conclusions</w:t>
      </w:r>
      <w:r>
        <w:rPr>
          <w:sz w:val="22"/>
        </w:rPr>
        <w:tab/>
        <w:t>17</w:t>
      </w:r>
    </w:p>
    <w:p>
      <w:r>
        <w:rPr>
          <w:sz w:val="22"/>
        </w:rPr>
        <w:t>8  Future Work</w:t>
      </w:r>
      <w:r>
        <w:rPr>
          <w:sz w:val="22"/>
        </w:rPr>
        <w:tab/>
        <w:t>18</w:t>
      </w:r>
    </w:p>
    <w:p>
      <w:r>
        <w:rPr>
          <w:sz w:val="22"/>
        </w:rPr>
        <w:t>9  References</w:t>
      </w:r>
      <w:r>
        <w:rPr>
          <w:sz w:val="22"/>
        </w:rPr>
        <w:tab/>
        <w:t>18</w:t>
      </w:r>
    </w:p>
    <w:p/>
    <w:p>
      <w:pPr>
        <w:pStyle w:val="Heading1"/>
        <w:jc w:val="left"/>
      </w:pPr>
      <w:r>
        <w:rPr>
          <w:color w:val="004080"/>
        </w:rPr>
        <w:t>1.  INTRODUCTION</w:t>
      </w:r>
    </w:p>
    <w:p>
      <w:pPr>
        <w:jc w:val="both"/>
      </w:pPr>
      <w:r>
        <w:rPr>
          <w:b w:val="0"/>
          <w:i w:val="0"/>
          <w:sz w:val="22"/>
        </w:rPr>
        <w:t>Road traffic fatalities remain a critical global challenge. According to the World Health Organization (WHO, 2023), approximately 1.19 million people die each year in road traffic crashes, with pedestrians accounting for 23% of all traffic deaths, representing over 270,000 fatalities annually. In India, the Ministry of Road Transport and Highways (MoRTH 2022) reports 153,972 road accident deaths, with pedestrian fatalities representing 15.2% of the total. Advanced Driver Assistance Systems (ADAS), particularly Automatic Emergency Braking (AEB), are widely recognised as one of the most effective technological interventions to reduce pedestrian casualties.</w:t>
      </w:r>
    </w:p>
    <w:p>
      <w:pPr>
        <w:jc w:val="both"/>
      </w:pPr>
      <w:r>
        <w:rPr>
          <w:b w:val="0"/>
          <w:i w:val="0"/>
          <w:sz w:val="22"/>
        </w:rPr>
        <w:t>Commercial AEB systems deployed by Volvo, Mercedes-Benz, Toyota, and Bosch typically use simplified kinematic models to estimate stopping distance. These models neglect critical real-world factors: road surface friction variation, ABS pressure modulation dynamics, brake thermal fade from repeated braking cycles, weather-induced visibility and friction reductions, and driver impairment. The consequence is suboptimal trigger timing - too late under adverse conditions (collision not avoided) or too early under normal conditions (false braking, passenger discomfort, rear-end risk).</w:t>
      </w:r>
    </w:p>
    <w:p>
      <w:pPr>
        <w:jc w:val="both"/>
      </w:pPr>
      <w:r>
        <w:rPr>
          <w:b w:val="0"/>
          <w:i w:val="0"/>
          <w:sz w:val="22"/>
        </w:rPr>
        <w:t>Commercial kinematic AEB systems estimate stopping distance using the simplified formula:</w:t>
      </w:r>
    </w:p>
    <w:p>
      <w:pPr>
        <w:spacing w:before="80" w:after="80"/>
        <w:jc w:val="center"/>
      </w:pPr>
      <w:r>
        <w:rPr>
          <w:rFonts w:ascii="Cambria" w:hAnsi="Cambria"/>
          <w:sz w:val="22"/>
        </w:rPr>
        <w:t>d = v</w:t>
      </w:r>
      <w:r>
        <w:rPr>
          <w:rFonts w:ascii="Cambria" w:hAnsi="Cambria"/>
          <w:sz w:val="22"/>
          <w:vertAlign w:val="superscript"/>
        </w:rPr>
        <w:t>2</w:t>
      </w:r>
      <w:r>
        <w:rPr>
          <w:rFonts w:ascii="Cambria" w:hAnsi="Cambria"/>
          <w:sz w:val="22"/>
        </w:rPr>
        <w:t xml:space="preserve"> / 2a</w:t>
      </w:r>
      <w:r>
        <w:rPr>
          <w:i/>
          <w:color w:val="646464"/>
          <w:sz w:val="20"/>
        </w:rPr>
        <w:t xml:space="preserve">   ... (1)</w:t>
      </w:r>
    </w:p>
    <w:p>
      <w:pPr>
        <w:jc w:val="both"/>
      </w:pPr>
      <w:r>
        <w:rPr>
          <w:b w:val="0"/>
          <w:i w:val="0"/>
          <w:sz w:val="22"/>
        </w:rPr>
        <w:t>This formula assumes constant deceleration, ignores surface friction variation, ABS modulation, thermal fade, and driver state. This project replaces it with a multi-physics model that captures all these effects. The result is an adaptive system that triggers at precisely the right moment for the actual physical conditions present at that instant.</w:t>
      </w:r>
    </w:p>
    <w:p>
      <w:pPr>
        <w:pStyle w:val="Heading2"/>
        <w:jc w:val="left"/>
      </w:pPr>
      <w:r>
        <w:rPr>
          <w:color w:val="004080"/>
        </w:rPr>
        <w:t>1.1  Background and Motivation</w:t>
      </w:r>
    </w:p>
    <w:p>
      <w:pPr>
        <w:jc w:val="both"/>
      </w:pPr>
      <w:r>
        <w:rPr>
          <w:b w:val="0"/>
          <w:i w:val="0"/>
          <w:sz w:val="22"/>
        </w:rPr>
        <w:t>Euro NCAP (European New Car Assessment Programme) provides the de facto global benchmark for pedestrian AEB testing. Since 2014, pedestrian AEB performance has contributed significantly to the overall star rating awarded to new vehicles. Euro NCAP defines four standardised pedestrian AEB scenarios: CPFA (Car-to-Pedestrian Farside Adult), CPNA (Nearside Adult), CPNC (Nearside Child from behind parked car), and CPLA (Longitudinal Adult), at test speeds between 20 and 60 km/h. This project validates its AEB system against all four scenarios. The CPNC scenario, which simulates a child stepping from behind a parked car, represents the most demanding case for monocular camera systems due to the short available detection range of approximately 20 m.</w:t>
      </w:r>
    </w:p>
    <w:p>
      <w:pPr>
        <w:jc w:val="both"/>
      </w:pPr>
      <w:r>
        <w:rPr>
          <w:b w:val="0"/>
          <w:i w:val="0"/>
          <w:sz w:val="22"/>
        </w:rPr>
        <w:t>The motivation for a physics-aware approach is threefold. First, brake thermal fade is entirely absent from all published commercial kinematic AEB systems, yet rotor temperatures during urban heavy-braking cycles routinely exceed 300 degrees C, reducing friction by up to 28%. Second, driver drowsiness increases reaction time by 0.2 to 0.8 seconds depending on severity, compounding the timing error in fixed-threshold AEB systems. Third, weather conditions reduce both visibility (affecting detection range) and road friction simultaneously, requiring coordinated threshold adjustment rather than independent corrections.</w:t>
      </w:r>
    </w:p>
    <w:p>
      <w:pPr>
        <w:jc w:val="center"/>
      </w:pPr>
      <w:r>
        <w:drawing>
          <wp:inline xmlns:a="http://schemas.openxmlformats.org/drawingml/2006/main" xmlns:pic="http://schemas.openxmlformats.org/drawingml/2006/picture">
            <wp:extent cx="5669280" cy="205455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054552"/>
                    </a:xfrm>
                    <a:prstGeom prst="rect"/>
                  </pic:spPr>
                </pic:pic>
              </a:graphicData>
            </a:graphic>
          </wp:inline>
        </w:drawing>
      </w:r>
    </w:p>
    <w:p>
      <w:pPr>
        <w:jc w:val="center"/>
      </w:pPr>
      <w:r>
        <w:rPr>
          <w:i/>
          <w:color w:val="505050"/>
          <w:sz w:val="20"/>
        </w:rPr>
        <w:t>Figure 1: (Left) Annual road fatalities globally and in India (WHO 2023; MoRTH 2022) — pedestrians account for 23% of global road deaths. (Right) Stopping distance at 50 km/h: kinematic formula d = v²/2a underestimates the physics-based (Pacejka + ABS) result by 15–30% across all surface types, motivating the multi-physics AEB model.</w:t>
      </w:r>
    </w:p>
    <w:p>
      <w:pPr>
        <w:pStyle w:val="Heading1"/>
        <w:jc w:val="left"/>
      </w:pPr>
      <w:r>
        <w:rPr>
          <w:color w:val="004080"/>
        </w:rPr>
        <w:t>2.  LITERATURE REVIEW</w:t>
      </w:r>
    </w:p>
    <w:p>
      <w:pPr>
        <w:jc w:val="both"/>
      </w:pPr>
      <w:r>
        <w:rPr>
          <w:b w:val="0"/>
          <w:i w:val="0"/>
          <w:sz w:val="22"/>
        </w:rPr>
        <w:t>Geiger et al. (2012) introduced KITTI, establishing benchmarks for autonomous driving perception. Redmon and Farhadi (2016) demonstrated that single-shot convolutional detectors (YOLO) could achieve real-time pedestrian detection at acceptable accuracy. Subsequent work by Bochkovskiy et al. (2020) - YOLOv4 - and Ultralytics (2023) - YOLOv8 - further improved accuracy and inference speed. The BDD100K dataset (Yu et al., 2020) provides large-scale diverse driving data, making it suitable for training robust detectors for varied weather and lighting conditions.</w:t>
      </w:r>
    </w:p>
    <w:p>
      <w:pPr>
        <w:jc w:val="both"/>
      </w:pPr>
      <w:r>
        <w:rPr>
          <w:b w:val="0"/>
          <w:i w:val="0"/>
          <w:sz w:val="22"/>
        </w:rPr>
        <w:t>Bewley et al. (2016) proposed SORT (Simple Online and Realtime Tracking), combining Kalman filter state prediction with the Hungarian algorithm for IoU-based detection assignment. While simple, SORT achieves competitive tracking accuracy with real-time performance, making it well-suited for AEB applications where latency is critical.</w:t>
      </w:r>
    </w:p>
    <w:p>
      <w:pPr>
        <w:jc w:val="both"/>
      </w:pPr>
      <w:r>
        <w:rPr>
          <w:b w:val="0"/>
          <w:i w:val="0"/>
          <w:sz w:val="22"/>
        </w:rPr>
        <w:t>Rankin and Iagnemma (2010) surveyed physics-based braking models, highlighting the Pacejka Magic Formula (Pacejka, 2012) as the industry standard for tire force modelling. Rajamani (2012) provided the foundational reference for vehicle longitudinal dynamics including dynamic weight transfer and ABS simulation. Limpert (1999) and Day (2014) provided comprehensive brake system thermodynamic models, showing that cast-iron rotor temperatures during repeated panic stops can exceed 600 degrees C, causing friction coefficients to drop from 0.85 to below 0.3.</w:t>
      </w:r>
    </w:p>
    <w:p>
      <w:pPr>
        <w:jc w:val="both"/>
      </w:pPr>
      <w:r>
        <w:rPr>
          <w:b w:val="0"/>
          <w:i w:val="0"/>
          <w:sz w:val="22"/>
        </w:rPr>
        <w:t>The Head Injury Criterion (HIC) was introduced by Versace (1971) and adopted by NHTSA and Euro NCAP as the standard metric for pedestrian head injury assessment. Simms and Wood (2009) developed simplified half-sine pulse models for pedestrian impact analysis that provide good agreement with full finite-element simulations for AEB design purposes. The Abbreviated Injury Scale (AIS) provides the clinical classification framework: AIS 1 (Minor) through AIS 6 (Fatal).</w:t>
      </w:r>
    </w:p>
    <w:p>
      <w:pPr>
        <w:jc w:val="both"/>
      </w:pPr>
      <w:r>
        <w:rPr>
          <w:b w:val="0"/>
          <w:i w:val="0"/>
          <w:sz w:val="22"/>
        </w:rPr>
        <w:t>Intel's MiDaS (Ranftl et al., 2022) demonstrated that transformer-based monocular depth estimation can achieve reliable relative depth ordering for autonomous driving applications without stereo cameras or LiDAR. Combined with geometric depth anchoring from known object dimensions, MiDaS provides metric-scale depth estimates sufficient for AEB time-to-collision computation at the relevant detection distances of 10 to 50 m.</w:t>
      </w:r>
    </w:p>
    <w:p>
      <w:pPr>
        <w:pStyle w:val="Heading1"/>
        <w:jc w:val="left"/>
      </w:pPr>
      <w:r>
        <w:rPr>
          <w:color w:val="004080"/>
        </w:rPr>
        <w:t>3.  RESEARCH OBJECTIVES</w:t>
      </w:r>
    </w:p>
    <w:p>
      <w:pPr>
        <w:pStyle w:val="ListBullet"/>
        <w:ind w:left="283"/>
      </w:pPr>
      <w:r>
        <w:rPr>
          <w:sz w:val="22"/>
        </w:rPr>
        <w:t>O1: Develop a real-time pedestrian detection and tracking pipeline capable of processing dashcam video at 15 FPS or higher using YOLOv8 trained on BDD100K, with mAP@0.5 at or above 0.75 for the pedestrian class.</w:t>
      </w:r>
    </w:p>
    <w:p>
      <w:pPr>
        <w:pStyle w:val="ListBullet"/>
        <w:ind w:left="283"/>
      </w:pPr>
      <w:r>
        <w:rPr>
          <w:sz w:val="22"/>
        </w:rPr>
        <w:t>O2: Implement a physics-based longitudinal braking simulation replacing the kinematic distance formula with Pacejka tire forces, dynamic weight transfer, and ABS pressure modulation cycles at 1 ms timestep resolution.</w:t>
      </w:r>
    </w:p>
    <w:p>
      <w:pPr>
        <w:pStyle w:val="ListBullet"/>
        <w:ind w:left="283"/>
      </w:pPr>
      <w:r>
        <w:rPr>
          <w:sz w:val="22"/>
        </w:rPr>
        <w:t>O3: Model brake rotor thermodynamics using the heat equation Q = mc * delta-T for heating events and Newton's Law of Cooling for cool-down, and translate real-time thermal fade into adaptive AEB trigger compensation.</w:t>
      </w:r>
    </w:p>
    <w:p>
      <w:pPr>
        <w:pStyle w:val="ListBullet"/>
        <w:ind w:left="283"/>
      </w:pPr>
      <w:r>
        <w:rPr>
          <w:sz w:val="22"/>
        </w:rPr>
        <w:t>O4: Integrate perception, vehicle dynamics, weather classification, and driver monitoring into a unified adaptive AEB controller with a composite TTC trigger threshold that dynamically adjusts to operating conditions.</w:t>
      </w:r>
    </w:p>
    <w:p>
      <w:pPr>
        <w:pStyle w:val="ListBullet"/>
        <w:ind w:left="283"/>
      </w:pPr>
      <w:r>
        <w:rPr>
          <w:sz w:val="22"/>
        </w:rPr>
        <w:t>O5: Validate the complete system against Euro NCAP CPFA, CPNA, CPNC, and CPLA pedestrian scenarios and quantify pedestrian injury outcomes using the HIC biomechanical model for cases where AEB cannot fully prevent collision.</w:t>
      </w:r>
    </w:p>
    <w:p>
      <w:pPr>
        <w:pStyle w:val="Heading1"/>
        <w:jc w:val="left"/>
      </w:pPr>
      <w:r>
        <w:rPr>
          <w:color w:val="004080"/>
        </w:rPr>
        <w:t>4.  SYSTEM ARCHITECTURE AND METHODOLOGY</w:t>
      </w:r>
    </w:p>
    <w:p>
      <w:pPr>
        <w:jc w:val="both"/>
      </w:pPr>
      <w:r>
        <w:rPr>
          <w:b w:val="0"/>
          <w:i w:val="0"/>
          <w:sz w:val="22"/>
        </w:rPr>
        <w:t>The ADAS Pedestrian AEB system is organised as a 14-step sequential processing pipeline executed once per input frame. Each step is implemented as an independent Python module under the src/ directory. The master pipeline class ADASPipeline in run_pipeline.py orchestrates all modules. The pipeline supports two input modes: pre-recorded video and live webcam. All physics modules are implemented from first principles in Python 3.10, ensuring full interpretability of every decision.</w:t>
      </w:r>
    </w:p>
    <w:p>
      <w:pPr>
        <w:jc w:val="center"/>
      </w:pPr>
      <w:r>
        <w:drawing>
          <wp:inline xmlns:a="http://schemas.openxmlformats.org/drawingml/2006/main" xmlns:pic="http://schemas.openxmlformats.org/drawingml/2006/picture">
            <wp:extent cx="5303520" cy="692044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6920447"/>
                    </a:xfrm>
                    <a:prstGeom prst="rect"/>
                  </pic:spPr>
                </pic:pic>
              </a:graphicData>
            </a:graphic>
          </wp:inline>
        </w:drawing>
      </w:r>
    </w:p>
    <w:p>
      <w:pPr>
        <w:jc w:val="center"/>
      </w:pPr>
      <w:r>
        <w:rPr>
          <w:i/>
          <w:color w:val="505050"/>
          <w:sz w:val="20"/>
        </w:rPr>
        <w:t>Figure 2: System architecture pipeline of the ADAS Pedestrian AEB system. Perception modules (dark blue) feed a tracking and spatial mapping chain (teal). Weather classifier and driver monitor (brown-orange) provide delta inputs to the adaptive AEB controller (green), which drives the physics simulation and final braking decision. Impact and HIC analysis (red) quantifies injury outcome when AEB cannot prevent collision.</w:t>
      </w:r>
    </w:p>
    <w:p>
      <w:pPr>
        <w:pStyle w:val="Heading2"/>
        <w:jc w:val="left"/>
      </w:pPr>
      <w:r>
        <w:rPr>
          <w:color w:val="004080"/>
        </w:rPr>
        <w:t>4.1  Object Detection Module</w:t>
      </w:r>
    </w:p>
    <w:p>
      <w:pPr>
        <w:jc w:val="both"/>
      </w:pPr>
      <w:r>
        <w:rPr>
          <w:b w:val="0"/>
          <w:i w:val="0"/>
          <w:sz w:val="22"/>
        </w:rPr>
        <w:t>The detection module uses Ultralytics YOLOv8n (nano variant) fine-tuned on 6,000 images from the BDD100K dataset. The dataset was split 80/20 for training and validation. JSON annotations were converted to YOLO format using a custom conversion script. The model detects four classes: pedestrian (class 0), car (class 1), bicycle (class 2), and motorcycle (class 3). At inference, frames are first enhanced using CLAHE (Contrast Limited Adaptive Histogram Equalisation, clip limit 2.0, tile size 8x8) to improve detection under low-light conditions. Detections below a confidence threshold of 0.30 are suppressed. The model was trained for 30 epochs on a Google Colab Tesla T4 GPU, achieving convergence by epoch 22.</w:t>
      </w:r>
    </w:p>
    <w:p>
      <w:pPr>
        <w:jc w:val="both"/>
      </w:pPr>
      <w:r>
        <w:rPr>
          <w:b w:val="0"/>
          <w:i w:val="0"/>
          <w:sz w:val="22"/>
        </w:rPr>
        <w:t>The Intersection over Union (IoU) metric underpins both non-maximum suppression during detection and tracking assignment. It is defined as:</w:t>
      </w:r>
    </w:p>
    <w:p>
      <w:pPr>
        <w:spacing w:before="80" w:after="80"/>
        <w:jc w:val="center"/>
      </w:pPr>
      <w:r>
        <w:rPr>
          <w:rFonts w:ascii="Cambria" w:hAnsi="Cambria"/>
          <w:sz w:val="22"/>
        </w:rPr>
        <w:t xml:space="preserve">IoU = |A </w:t>
      </w:r>
      <w:r>
        <w:rPr>
          <w:rFonts w:ascii="Cambria" w:hAnsi="Cambria"/>
          <w:sz w:val="22"/>
        </w:rPr>
        <w:t>∩</w:t>
      </w:r>
      <w:r>
        <w:rPr>
          <w:rFonts w:ascii="Cambria" w:hAnsi="Cambria"/>
          <w:sz w:val="22"/>
        </w:rPr>
        <w:t xml:space="preserve"> B| / |A </w:t>
      </w:r>
      <w:r>
        <w:rPr>
          <w:rFonts w:ascii="Cambria" w:hAnsi="Cambria"/>
          <w:sz w:val="22"/>
        </w:rPr>
        <w:t>∪</w:t>
      </w:r>
      <w:r>
        <w:rPr>
          <w:rFonts w:ascii="Cambria" w:hAnsi="Cambria"/>
          <w:sz w:val="22"/>
        </w:rPr>
        <w:t xml:space="preserve"> B|</w:t>
      </w:r>
      <w:r>
        <w:rPr>
          <w:i/>
          <w:color w:val="646464"/>
          <w:sz w:val="20"/>
        </w:rPr>
        <w:t xml:space="preserve">   ... (2)</w:t>
      </w:r>
    </w:p>
    <w:p>
      <w:pPr>
        <w:jc w:val="both"/>
      </w:pPr>
      <w:r>
        <w:rPr>
          <w:b w:val="0"/>
          <w:i w:val="0"/>
          <w:sz w:val="22"/>
        </w:rPr>
        <w:t>Precision, Recall, and mean Average Precision are computed across IoU thresholds from 0.5 to 0.95 to characterise detection quality across all operating distances and object scales.</w:t>
      </w:r>
    </w:p>
    <w:p>
      <w:pPr>
        <w:jc w:val="both"/>
      </w:pPr>
      <w:r>
        <w:rPr>
          <w:b w:val="0"/>
          <w:i w:val="0"/>
          <w:sz w:val="22"/>
        </w:rPr>
        <w:t>Each frame's detections — formatted as [x1, y1, x2, y2, confidence, class_id] — are passed directly to the SORT multi-object tracker (Section 4.2), which assigns persistent identities across frames and suppresses single-frame false positives before any depth or TTC computation is performed.</w:t>
      </w:r>
    </w:p>
    <w:p>
      <w:pPr>
        <w:pStyle w:val="Heading2"/>
        <w:jc w:val="left"/>
      </w:pPr>
      <w:r>
        <w:rPr>
          <w:color w:val="004080"/>
        </w:rPr>
        <w:t>4.2  Multi-Object Tracking</w:t>
      </w:r>
    </w:p>
    <w:p>
      <w:pPr>
        <w:jc w:val="both"/>
      </w:pPr>
      <w:r>
        <w:rPr>
          <w:b w:val="0"/>
          <w:i w:val="0"/>
          <w:sz w:val="22"/>
        </w:rPr>
        <w:t>Tracking uses the SORT algorithm (src/tracking/tracker.py). Each detected object spawns a KalmanBoxTracker with a 7-dimensional state vector representing position, scale, aspect ratio, and their first derivatives. The state vector is:</w:t>
      </w:r>
    </w:p>
    <w:p>
      <w:pPr>
        <w:spacing w:before="80" w:after="80"/>
        <w:jc w:val="center"/>
      </w:pPr>
      <w:r>
        <w:rPr>
          <w:rFonts w:ascii="Cambria" w:hAnsi="Cambria"/>
          <w:sz w:val="22"/>
        </w:rPr>
        <w:t xml:space="preserve">x = [x,  y,  s,  r,  </w:t>
      </w:r>
      <w:r>
        <w:rPr>
          <w:rFonts w:ascii="Cambria" w:hAnsi="Cambria"/>
          <w:sz w:val="22"/>
        </w:rPr>
        <w:t>ẋ</w:t>
      </w:r>
      <w:r>
        <w:rPr>
          <w:rFonts w:ascii="Cambria" w:hAnsi="Cambria"/>
          <w:sz w:val="22"/>
        </w:rPr>
        <w:t xml:space="preserve">,  </w:t>
      </w:r>
      <w:r>
        <w:rPr>
          <w:rFonts w:ascii="Cambria" w:hAnsi="Cambria"/>
          <w:sz w:val="22"/>
        </w:rPr>
        <w:t>ẏ</w:t>
      </w:r>
      <w:r>
        <w:rPr>
          <w:rFonts w:ascii="Cambria" w:hAnsi="Cambria"/>
          <w:sz w:val="22"/>
        </w:rPr>
        <w:t xml:space="preserve">,  </w:t>
      </w:r>
      <w:r>
        <w:rPr>
          <w:rFonts w:ascii="Cambria" w:hAnsi="Cambria"/>
          <w:sz w:val="22"/>
        </w:rPr>
        <w:t>ṡ</w:t>
      </w:r>
      <w:r>
        <w:rPr>
          <w:rFonts w:ascii="Cambria" w:hAnsi="Cambria"/>
          <w:sz w:val="22"/>
        </w:rPr>
        <w:t>]</w:t>
      </w:r>
      <w:r>
        <w:rPr>
          <w:rFonts w:ascii="Cambria" w:hAnsi="Cambria"/>
          <w:sz w:val="22"/>
          <w:vertAlign w:val="superscript"/>
        </w:rPr>
        <w:t>T</w:t>
      </w:r>
      <w:r>
        <w:rPr>
          <w:i/>
          <w:color w:val="646464"/>
          <w:sz w:val="20"/>
        </w:rPr>
        <w:t xml:space="preserve">   ... (3)</w:t>
      </w:r>
    </w:p>
    <w:p>
      <w:pPr>
        <w:jc w:val="both"/>
      </w:pPr>
      <w:r>
        <w:rPr>
          <w:b w:val="0"/>
          <w:i w:val="0"/>
          <w:sz w:val="22"/>
        </w:rPr>
        <w:t>where (x, y) is the bounding box centre, s is the scale (area), and r is the aspect ratio. High initial velocity uncertainty (P[4:,4:] x 1000) prevents incorrect velocity estimates from early detections. At each frame, trackers predict their next state, then detections are matched to tracks using the Hungarian algorithm with IoU threshold 0.3. A track must receive min_hits = 3 consecutive detections before being reported to the collision engine. Tracks are deleted if unmatched for more than max_age = 1 frame. The output format per track is [x1, y1, x2, y2, track_id, class_id]. These confirmed track bounding boxes are forwarded to the depth estimation module (Section 4.3), which converts pixel-space coordinates into metric 3D positions required for Time-to-Collision computation.</w:t>
      </w:r>
    </w:p>
    <w:p>
      <w:pPr>
        <w:pStyle w:val="Heading2"/>
        <w:jc w:val="left"/>
      </w:pPr>
      <w:r>
        <w:rPr>
          <w:color w:val="004080"/>
        </w:rPr>
        <w:t>4.3  Monocular Depth Estimation</w:t>
      </w:r>
    </w:p>
    <w:p>
      <w:pPr>
        <w:jc w:val="both"/>
      </w:pPr>
      <w:r>
        <w:rPr>
          <w:b w:val="0"/>
          <w:i w:val="0"/>
          <w:sz w:val="22"/>
        </w:rPr>
        <w:t>Without a stereo camera or LiDAR, metric depth is recovered from the monocular frame using the pinhole camera model anchored to the known average pedestrian height. The longitudinal distance Z is:</w:t>
      </w:r>
    </w:p>
    <w:p>
      <w:pPr>
        <w:spacing w:before="80" w:after="80"/>
        <w:jc w:val="center"/>
      </w:pPr>
      <w:r>
        <w:rPr>
          <w:rFonts w:ascii="Cambria" w:hAnsi="Cambria"/>
          <w:sz w:val="22"/>
        </w:rPr>
        <w:t xml:space="preserve">Z = f </w:t>
      </w:r>
      <w:r>
        <w:rPr>
          <w:rFonts w:ascii="Cambria" w:hAnsi="Cambria"/>
          <w:sz w:val="22"/>
        </w:rPr>
        <w:t>·</w:t>
      </w:r>
      <w:r>
        <w:rPr>
          <w:rFonts w:ascii="Cambria" w:hAnsi="Cambria"/>
          <w:sz w:val="22"/>
        </w:rPr>
        <w:t xml:space="preserve"> H</w:t>
      </w:r>
      <w:r>
        <w:rPr>
          <w:rFonts w:ascii="Cambria" w:hAnsi="Cambria"/>
          <w:sz w:val="22"/>
          <w:vertAlign w:val="subscript"/>
        </w:rPr>
        <w:t>real</w:t>
      </w:r>
      <w:r>
        <w:rPr>
          <w:rFonts w:ascii="Cambria" w:hAnsi="Cambria"/>
          <w:sz w:val="22"/>
        </w:rPr>
        <w:t xml:space="preserve"> / H</w:t>
      </w:r>
      <w:r>
        <w:rPr>
          <w:rFonts w:ascii="Cambria" w:hAnsi="Cambria"/>
          <w:sz w:val="22"/>
          <w:vertAlign w:val="subscript"/>
        </w:rPr>
        <w:t>px</w:t>
      </w:r>
      <w:r>
        <w:rPr>
          <w:i/>
          <w:color w:val="646464"/>
          <w:sz w:val="20"/>
        </w:rPr>
        <w:t xml:space="preserve">   ... (4)</w:t>
      </w:r>
    </w:p>
    <w:p>
      <w:pPr>
        <w:jc w:val="both"/>
      </w:pPr>
      <w:r>
        <w:rPr>
          <w:b w:val="0"/>
          <w:i w:val="0"/>
          <w:sz w:val="22"/>
        </w:rPr>
        <w:t>where f is the calibrated focal length in pixels, H_real is the known real-world height of the object class, and H_px is the bounding box height in pixels measured in the image.</w:t>
      </w:r>
    </w:p>
    <w:p>
      <w:pPr>
        <w:spacing w:before="80" w:after="80"/>
        <w:jc w:val="center"/>
      </w:pPr>
      <w:r>
        <w:rPr>
          <w:rFonts w:ascii="Cambria" w:hAnsi="Cambria"/>
          <w:sz w:val="22"/>
        </w:rPr>
        <w:t>f = 700 px,   H</w:t>
      </w:r>
      <w:r>
        <w:rPr>
          <w:rFonts w:ascii="Cambria" w:hAnsi="Cambria"/>
          <w:sz w:val="22"/>
          <w:vertAlign w:val="subscript"/>
        </w:rPr>
        <w:t>real</w:t>
      </w:r>
      <w:r>
        <w:rPr>
          <w:rFonts w:ascii="Cambria" w:hAnsi="Cambria"/>
          <w:sz w:val="22"/>
        </w:rPr>
        <w:t xml:space="preserve"> = 1.7 m  (average adult pedestrian height)</w:t>
      </w:r>
    </w:p>
    <w:p>
      <w:pPr>
        <w:jc w:val="both"/>
      </w:pPr>
      <w:r>
        <w:rPr>
          <w:b w:val="0"/>
          <w:i w:val="0"/>
          <w:sz w:val="22"/>
        </w:rPr>
        <w:t>The lateral position X of each pedestrian in the bird's-eye view coordinate frame is derived from the horizontal image offset of the bounding box centre:</w:t>
      </w:r>
    </w:p>
    <w:p>
      <w:pPr>
        <w:spacing w:before="80" w:after="80"/>
        <w:jc w:val="center"/>
      </w:pPr>
      <w:r>
        <w:rPr>
          <w:rFonts w:ascii="Cambria" w:hAnsi="Cambria"/>
          <w:sz w:val="22"/>
        </w:rPr>
        <w:t>X = (c</w:t>
      </w:r>
      <w:r>
        <w:rPr>
          <w:rFonts w:ascii="Cambria" w:hAnsi="Cambria"/>
          <w:sz w:val="22"/>
          <w:vertAlign w:val="subscript"/>
        </w:rPr>
        <w:t>x</w:t>
      </w:r>
      <w:r>
        <w:rPr>
          <w:rFonts w:ascii="Cambria" w:hAnsi="Cambria"/>
          <w:sz w:val="22"/>
        </w:rPr>
        <w:t xml:space="preserve"> - c</w:t>
      </w:r>
      <w:r>
        <w:rPr>
          <w:rFonts w:ascii="Cambria" w:hAnsi="Cambria"/>
          <w:sz w:val="22"/>
          <w:vertAlign w:val="subscript"/>
        </w:rPr>
        <w:t>x0</w:t>
      </w:r>
      <w:r>
        <w:rPr>
          <w:rFonts w:ascii="Cambria" w:hAnsi="Cambria"/>
          <w:sz w:val="22"/>
        </w:rPr>
        <w:t xml:space="preserve">) </w:t>
      </w:r>
      <w:r>
        <w:rPr>
          <w:rFonts w:ascii="Cambria" w:hAnsi="Cambria"/>
          <w:sz w:val="22"/>
        </w:rPr>
        <w:t>·</w:t>
      </w:r>
      <w:r>
        <w:rPr>
          <w:rFonts w:ascii="Cambria" w:hAnsi="Cambria"/>
          <w:sz w:val="22"/>
        </w:rPr>
        <w:t xml:space="preserve"> Z / f</w:t>
      </w:r>
      <w:r>
        <w:rPr>
          <w:i/>
          <w:color w:val="646464"/>
          <w:sz w:val="20"/>
        </w:rPr>
        <w:t xml:space="preserve">   ... (5)</w:t>
      </w:r>
    </w:p>
    <w:p>
      <w:pPr>
        <w:jc w:val="both"/>
      </w:pPr>
      <w:r>
        <w:rPr>
          <w:b w:val="0"/>
          <w:i w:val="0"/>
          <w:sz w:val="22"/>
        </w:rPr>
        <w:t>where c_x is the horizontal pixel coordinate of the bounding box centre and c_x0 is the principal point (image horizontal centre, approximately width/2 = 960 px for a 1920 px wide input frame).</w:t>
      </w:r>
    </w:p>
    <w:p>
      <w:pPr>
        <w:jc w:val="both"/>
      </w:pPr>
      <w:r>
        <w:rPr>
          <w:b w:val="0"/>
          <w:i w:val="0"/>
          <w:sz w:val="22"/>
        </w:rPr>
        <w:t>Intel MiDaS (DPT_Large variant) provides a relative inverse-depth map that is used to refine the per-pixel depth structure while the pinhole estimate serves as the absolute metric anchor. While monocular depth is less accurate than stereo or LiDAR, it provides sufficient range ordering for TTC computation at the detection distances relevant to AEB (10 to 50 m). The (X, Z) bird's-eye view coordinates for every active track are then passed to the ego corridor filter (Section 4.4), which determines whether each pedestrian lies in the vehicle's predicted path before any AEB decision is made.</w:t>
      </w:r>
    </w:p>
    <w:p>
      <w:pPr>
        <w:pStyle w:val="Heading2"/>
        <w:jc w:val="left"/>
      </w:pPr>
      <w:r>
        <w:rPr>
          <w:color w:val="004080"/>
        </w:rPr>
        <w:t>4.4  Lane Detection and Ego Corridor</w:t>
      </w:r>
    </w:p>
    <w:p>
      <w:pPr>
        <w:jc w:val="both"/>
      </w:pPr>
      <w:r>
        <w:rPr>
          <w:b w:val="0"/>
          <w:i w:val="0"/>
          <w:sz w:val="22"/>
        </w:rPr>
        <w:t>Lane markings are detected using Canny edge detection followed by probabilistic Hough line transform. The two dominant lines (left and right lane boundaries) define a trapezoidal ego corridor - the region of the road directly ahead of the vehicle. Using the Shapely library, each tracked pedestrian bounding box is tested for polygon intersection with the corridor. Only pedestrians whose bounding boxes intersect the ego corridor are forwarded to the AEB collision engine; out-of-path pedestrians are tracked but not actioned. This filtering eliminates the majority of false AEB triggers from roadside pedestrians and substantially reduces the false positive rate in multi-lane traffic scenarios. The filtered in-path tracks — carrying depth Z, lateral position X, and class identity — are delivered to the Adaptive AEB Controller (Section 4.9). That controller also requires two environmental penalty inputs: weather severity (Section 4.5) and driver alertness (Section 4.6), described next.</w:t>
      </w:r>
    </w:p>
    <w:p>
      <w:pPr>
        <w:pStyle w:val="Heading2"/>
        <w:jc w:val="left"/>
      </w:pPr>
      <w:r>
        <w:rPr>
          <w:color w:val="004080"/>
        </w:rPr>
        <w:t>4.5  Weather Classification</w:t>
      </w:r>
    </w:p>
    <w:p>
      <w:pPr>
        <w:jc w:val="both"/>
      </w:pPr>
      <w:r>
        <w:rPr>
          <w:b w:val="0"/>
          <w:i w:val="0"/>
          <w:sz w:val="22"/>
        </w:rPr>
        <w:t>The WeatherClassifier (src/weather/weather_classifier.py) operates in two modes. In machine learning mode (when a trained ResNet-18 .pth file is available), a 4-class ResNet-18 with standard ImageNet normalisation classifies each frame as Clear, Rain, Fog, or Night. In heuristic mode (the production fallback), classification uses four image statistics:</w:t>
      </w:r>
    </w:p>
    <w:p>
      <w:pPr>
        <w:pStyle w:val="ListBullet"/>
        <w:ind w:left="283"/>
      </w:pPr>
      <w:r>
        <w:rPr>
          <w:sz w:val="22"/>
        </w:rPr>
        <w:t>Night: mean brightness &lt; 60 DN (digital number on 0-255 scale)</w:t>
      </w:r>
    </w:p>
    <w:p>
      <w:pPr>
        <w:pStyle w:val="ListBullet"/>
        <w:ind w:left="283"/>
      </w:pPr>
      <w:r>
        <w:rPr>
          <w:sz w:val="22"/>
        </w:rPr>
        <w:t>Fog: Laplacian variance &lt; 500 AND mean saturation &lt; 50 (low contrast, low colour)</w:t>
      </w:r>
    </w:p>
    <w:p>
      <w:pPr>
        <w:pStyle w:val="ListBullet"/>
        <w:ind w:left="283"/>
      </w:pPr>
      <w:r>
        <w:rPr>
          <w:sz w:val="22"/>
        </w:rPr>
        <w:t>Rain: mean brightness &lt; 120 AND mean saturation &gt; 25 (intermediate brightness with colour)</w:t>
      </w:r>
    </w:p>
    <w:p>
      <w:pPr>
        <w:pStyle w:val="ListBullet"/>
        <w:ind w:left="283"/>
      </w:pPr>
      <w:r>
        <w:rPr>
          <w:sz w:val="22"/>
        </w:rPr>
        <w:t>Clear: all other cases (default)</w:t>
      </w:r>
    </w:p>
    <w:p>
      <w:pPr>
        <w:jc w:val="both"/>
      </w:pPr>
      <w:r>
        <w:rPr>
          <w:b w:val="0"/>
          <w:i w:val="0"/>
          <w:sz w:val="22"/>
        </w:rPr>
        <w:t>The resulting weather class maps to physics parameters in weather_to_physics.py: friction coefficient mu, visibility range (used for pedestrian detection range limit), and an AEB reaction time penalty delta_weather of 0.0 s (Clear/Night), 0.3 s (Rain), or 0.5 s (Fog). This delta_weather value is the first of three additive penalty terms in the AEB threshold equation (Eq. 16, Section 4.9); the second, delta_driver, is derived from real-time driver alertness monitoring as described below.</w:t>
      </w:r>
    </w:p>
    <w:p>
      <w:pPr>
        <w:pStyle w:val="Heading2"/>
        <w:jc w:val="left"/>
      </w:pPr>
      <w:r>
        <w:rPr>
          <w:color w:val="004080"/>
        </w:rPr>
        <w:t>4.6  Driver Monitoring System</w:t>
      </w:r>
    </w:p>
    <w:p>
      <w:pPr>
        <w:jc w:val="both"/>
      </w:pPr>
      <w:r>
        <w:rPr>
          <w:b w:val="0"/>
          <w:i w:val="0"/>
          <w:sz w:val="22"/>
        </w:rPr>
        <w:t>Driver alertness is assessed via real-time facial analysis using the dlib 68-point facial landmark predictor. The Eye Aspect Ratio (EAR) quantifies eye openness from six landmarks per eye. For the left eye landmarks p1 through p6:</w:t>
      </w:r>
    </w:p>
    <w:p>
      <w:pPr>
        <w:spacing w:before="80" w:after="80"/>
        <w:jc w:val="center"/>
      </w:pPr>
      <w:r>
        <w:rPr>
          <w:rFonts w:ascii="Cambria" w:hAnsi="Cambria"/>
          <w:sz w:val="22"/>
        </w:rPr>
        <w:t>EAR = (||p</w:t>
      </w:r>
      <w:r>
        <w:rPr>
          <w:rFonts w:ascii="Cambria" w:hAnsi="Cambria"/>
          <w:sz w:val="22"/>
          <w:vertAlign w:val="subscript"/>
        </w:rPr>
        <w:t>2</w:t>
      </w:r>
      <w:r>
        <w:rPr>
          <w:rFonts w:ascii="Cambria" w:hAnsi="Cambria"/>
          <w:sz w:val="22"/>
        </w:rPr>
        <w:t xml:space="preserve"> - p</w:t>
      </w:r>
      <w:r>
        <w:rPr>
          <w:rFonts w:ascii="Cambria" w:hAnsi="Cambria"/>
          <w:sz w:val="22"/>
          <w:vertAlign w:val="subscript"/>
        </w:rPr>
        <w:t>6</w:t>
      </w:r>
      <w:r>
        <w:rPr>
          <w:rFonts w:ascii="Cambria" w:hAnsi="Cambria"/>
          <w:sz w:val="22"/>
        </w:rPr>
        <w:t>|| + ||p</w:t>
      </w:r>
      <w:r>
        <w:rPr>
          <w:rFonts w:ascii="Cambria" w:hAnsi="Cambria"/>
          <w:sz w:val="22"/>
          <w:vertAlign w:val="subscript"/>
        </w:rPr>
        <w:t>3</w:t>
      </w:r>
      <w:r>
        <w:rPr>
          <w:rFonts w:ascii="Cambria" w:hAnsi="Cambria"/>
          <w:sz w:val="22"/>
        </w:rPr>
        <w:t xml:space="preserve"> - p</w:t>
      </w:r>
      <w:r>
        <w:rPr>
          <w:rFonts w:ascii="Cambria" w:hAnsi="Cambria"/>
          <w:sz w:val="22"/>
          <w:vertAlign w:val="subscript"/>
        </w:rPr>
        <w:t>5</w:t>
      </w:r>
      <w:r>
        <w:rPr>
          <w:rFonts w:ascii="Cambria" w:hAnsi="Cambria"/>
          <w:sz w:val="22"/>
        </w:rPr>
        <w:t xml:space="preserve">||)  /  (2 </w:t>
      </w:r>
      <w:r>
        <w:rPr>
          <w:rFonts w:ascii="Cambria" w:hAnsi="Cambria"/>
          <w:sz w:val="22"/>
        </w:rPr>
        <w:t>·</w:t>
      </w:r>
      <w:r>
        <w:rPr>
          <w:rFonts w:ascii="Cambria" w:hAnsi="Cambria"/>
          <w:sz w:val="22"/>
        </w:rPr>
        <w:t xml:space="preserve"> ||p</w:t>
      </w:r>
      <w:r>
        <w:rPr>
          <w:rFonts w:ascii="Cambria" w:hAnsi="Cambria"/>
          <w:sz w:val="22"/>
          <w:vertAlign w:val="subscript"/>
        </w:rPr>
        <w:t>1</w:t>
      </w:r>
      <w:r>
        <w:rPr>
          <w:rFonts w:ascii="Cambria" w:hAnsi="Cambria"/>
          <w:sz w:val="22"/>
        </w:rPr>
        <w:t xml:space="preserve"> - p</w:t>
      </w:r>
      <w:r>
        <w:rPr>
          <w:rFonts w:ascii="Cambria" w:hAnsi="Cambria"/>
          <w:sz w:val="22"/>
          <w:vertAlign w:val="subscript"/>
        </w:rPr>
        <w:t>4</w:t>
      </w:r>
      <w:r>
        <w:rPr>
          <w:rFonts w:ascii="Cambria" w:hAnsi="Cambria"/>
          <w:sz w:val="22"/>
        </w:rPr>
        <w:t>||)</w:t>
      </w:r>
      <w:r>
        <w:rPr>
          <w:i/>
          <w:color w:val="646464"/>
          <w:sz w:val="20"/>
        </w:rPr>
        <w:t xml:space="preserve">   ... (6)</w:t>
      </w:r>
    </w:p>
    <w:p>
      <w:pPr>
        <w:jc w:val="both"/>
      </w:pPr>
      <w:r>
        <w:rPr>
          <w:b w:val="0"/>
          <w:i w:val="0"/>
          <w:sz w:val="22"/>
        </w:rPr>
        <w:t>A sustained EAR below 0.25 for more than 2 seconds triggers a DROWSY state. Head pose estimation using solvePnP with the 3D face model detects distraction from forward gaze. If no face is detected in the frame, the system conservatively assumes the driver is drowsy. A state machine (ALERT -&gt; WARNING -&gt; DROWSY -&gt; CRITICAL) updates driver state and returns the corresponding additional reaction time penalty delta_driver to the AEB threshold calculation: 0.0 s (ALERT), 0.2 s (WARNING), 0.5 s (DROWSY), 0.8 s (CRITICAL). This delta_driver value is the second penalty term in Eq. 16. The third term, delta_thermo, is produced by the brake thermodynamics model (Section 4.8), which itself depends on the braking forces computed by the vehicle dynamics simulation described next.</w:t>
      </w:r>
    </w:p>
    <w:p>
      <w:pPr>
        <w:pStyle w:val="Heading2"/>
        <w:jc w:val="left"/>
      </w:pPr>
      <w:r>
        <w:rPr>
          <w:color w:val="004080"/>
        </w:rPr>
        <w:t>4.7  Vehicle Dynamics Simulation</w:t>
      </w:r>
    </w:p>
    <w:p>
      <w:pPr>
        <w:jc w:val="both"/>
      </w:pPr>
      <w:r>
        <w:rPr>
          <w:b w:val="0"/>
          <w:i w:val="0"/>
          <w:sz w:val="22"/>
        </w:rPr>
        <w:t>The physics core (src/vehicle_dynamics/dynamics_sim.py) implements a high-fidelity longitudinal braking simulation at 1 ms timestep resolution. The simulation integrates five physical force models to compute vehicle deceleration at each timestep:</w:t>
      </w:r>
    </w:p>
    <w:p>
      <w:pPr>
        <w:pStyle w:val="Heading2"/>
        <w:jc w:val="left"/>
      </w:pPr>
      <w:r>
        <w:rPr>
          <w:color w:val="004080"/>
        </w:rPr>
        <w:t>4.7.1  Pacejka Tire Force</w:t>
      </w:r>
    </w:p>
    <w:p>
      <w:pPr>
        <w:jc w:val="both"/>
      </w:pPr>
      <w:r>
        <w:rPr>
          <w:b w:val="0"/>
          <w:i w:val="0"/>
          <w:sz w:val="22"/>
        </w:rPr>
        <w:t>Tire braking force is computed using the Pacejka Magic Formula. The dimensionless wheel slip ratio lambda is:</w:t>
      </w:r>
    </w:p>
    <w:p>
      <w:pPr>
        <w:spacing w:before="80" w:after="80"/>
        <w:jc w:val="center"/>
      </w:pPr>
      <w:r>
        <w:rPr>
          <w:rFonts w:ascii="Cambria" w:hAnsi="Cambria"/>
          <w:sz w:val="22"/>
        </w:rPr>
        <w:t>λ</w:t>
      </w:r>
      <w:r>
        <w:rPr>
          <w:rFonts w:ascii="Cambria" w:hAnsi="Cambria"/>
          <w:sz w:val="22"/>
        </w:rPr>
        <w:t xml:space="preserve"> = (v - v</w:t>
      </w:r>
      <w:r>
        <w:rPr>
          <w:rFonts w:ascii="Cambria" w:hAnsi="Cambria"/>
          <w:sz w:val="22"/>
          <w:vertAlign w:val="subscript"/>
        </w:rPr>
        <w:t>wheel</w:t>
      </w:r>
      <w:r>
        <w:rPr>
          <w:rFonts w:ascii="Cambria" w:hAnsi="Cambria"/>
          <w:sz w:val="22"/>
        </w:rPr>
        <w:t>) / v</w:t>
      </w:r>
      <w:r>
        <w:rPr>
          <w:i/>
          <w:color w:val="646464"/>
          <w:sz w:val="20"/>
        </w:rPr>
        <w:t xml:space="preserve">   ... (7)</w:t>
      </w:r>
    </w:p>
    <w:p>
      <w:pPr>
        <w:jc w:val="both"/>
      </w:pPr>
      <w:r>
        <w:rPr>
          <w:b w:val="0"/>
          <w:i w:val="0"/>
          <w:sz w:val="22"/>
        </w:rPr>
        <w:t>The friction coefficient is a function of slip ratio and surface mu_peak. Separate front and rear axle forces are computed using the dynamic normal loads at each axle.</w:t>
      </w:r>
    </w:p>
    <w:p>
      <w:pPr>
        <w:pStyle w:val="Heading2"/>
        <w:jc w:val="left"/>
      </w:pPr>
      <w:r>
        <w:rPr>
          <w:color w:val="004080"/>
        </w:rPr>
        <w:t>4.7.2  Dynamic Weight Transfer</w:t>
      </w:r>
    </w:p>
    <w:p>
      <w:pPr>
        <w:jc w:val="both"/>
      </w:pPr>
      <w:r>
        <w:rPr>
          <w:b w:val="0"/>
          <w:i w:val="0"/>
          <w:sz w:val="22"/>
        </w:rPr>
        <w:t>During braking, longitudinal load transfer shifts weight from rear to front axle. The front axle normal force is:</w:t>
      </w:r>
    </w:p>
    <w:p>
      <w:pPr>
        <w:spacing w:before="80" w:after="80"/>
        <w:jc w:val="center"/>
      </w:pPr>
      <w:r>
        <w:rPr>
          <w:rFonts w:ascii="Cambria" w:hAnsi="Cambria"/>
          <w:sz w:val="22"/>
        </w:rPr>
        <w:t>N</w:t>
      </w:r>
      <w:r>
        <w:rPr>
          <w:rFonts w:ascii="Cambria" w:hAnsi="Cambria"/>
          <w:sz w:val="22"/>
          <w:vertAlign w:val="subscript"/>
        </w:rPr>
        <w:t>front</w:t>
      </w:r>
      <w:r>
        <w:rPr>
          <w:rFonts w:ascii="Cambria" w:hAnsi="Cambria"/>
          <w:sz w:val="22"/>
        </w:rPr>
        <w:t xml:space="preserve"> = m(g L</w:t>
      </w:r>
      <w:r>
        <w:rPr>
          <w:rFonts w:ascii="Cambria" w:hAnsi="Cambria"/>
          <w:sz w:val="22"/>
          <w:vertAlign w:val="subscript"/>
        </w:rPr>
        <w:t>r</w:t>
      </w:r>
      <w:r>
        <w:rPr>
          <w:rFonts w:ascii="Cambria" w:hAnsi="Cambria"/>
          <w:sz w:val="22"/>
        </w:rPr>
        <w:t xml:space="preserve"> - a</w:t>
      </w:r>
      <w:r>
        <w:rPr>
          <w:rFonts w:ascii="Cambria" w:hAnsi="Cambria"/>
          <w:sz w:val="22"/>
          <w:vertAlign w:val="subscript"/>
        </w:rPr>
        <w:t>x</w:t>
      </w:r>
      <w:r>
        <w:rPr>
          <w:rFonts w:ascii="Cambria" w:hAnsi="Cambria"/>
          <w:sz w:val="22"/>
        </w:rPr>
        <w:t xml:space="preserve"> h) / L</w:t>
      </w:r>
      <w:r>
        <w:rPr>
          <w:i/>
          <w:color w:val="646464"/>
          <w:sz w:val="20"/>
        </w:rPr>
        <w:t xml:space="preserve">   ... (8)</w:t>
      </w:r>
    </w:p>
    <w:p>
      <w:pPr>
        <w:jc w:val="both"/>
      </w:pPr>
      <w:r>
        <w:rPr>
          <w:b w:val="0"/>
          <w:i w:val="0"/>
          <w:sz w:val="22"/>
        </w:rPr>
        <w:t>where m is vehicle mass, g is gravitational acceleration, L_r is the distance from the rear axle to the centre of gravity, h is the centre-of-gravity height, and L is the total wheelbase.</w:t>
      </w:r>
    </w:p>
    <w:p>
      <w:pPr>
        <w:jc w:val="both"/>
      </w:pPr>
      <w:r>
        <w:rPr>
          <w:b w:val="0"/>
          <w:i w:val="0"/>
          <w:sz w:val="22"/>
        </w:rPr>
        <w:t>The rear axle load N_rear = mg - N_front decreases symmetrically, creating an asymmetric front-heavy braking condition that the ABS system must account for to prevent premature rear wheel lockup.</w:t>
      </w:r>
    </w:p>
    <w:p>
      <w:pPr>
        <w:pStyle w:val="Heading2"/>
        <w:jc w:val="left"/>
      </w:pPr>
      <w:r>
        <w:rPr>
          <w:color w:val="004080"/>
        </w:rPr>
        <w:t>4.7.3  Aerodynamic Drag and Road Grade</w:t>
      </w:r>
    </w:p>
    <w:p>
      <w:pPr>
        <w:jc w:val="both"/>
      </w:pPr>
      <w:r>
        <w:rPr>
          <w:b w:val="0"/>
          <w:i w:val="0"/>
          <w:sz w:val="22"/>
        </w:rPr>
        <w:t>Aerodynamic drag opposes vehicle motion and assists braking:</w:t>
      </w:r>
    </w:p>
    <w:p>
      <w:pPr>
        <w:spacing w:before="80" w:after="80"/>
        <w:jc w:val="center"/>
      </w:pPr>
      <w:r>
        <w:rPr>
          <w:rFonts w:ascii="Cambria" w:hAnsi="Cambria"/>
          <w:sz w:val="22"/>
        </w:rPr>
        <w:t>F</w:t>
      </w:r>
      <w:r>
        <w:rPr>
          <w:rFonts w:ascii="Cambria" w:hAnsi="Cambria"/>
          <w:sz w:val="22"/>
          <w:vertAlign w:val="subscript"/>
        </w:rPr>
        <w:t>aero</w:t>
      </w:r>
      <w:r>
        <w:rPr>
          <w:rFonts w:ascii="Cambria" w:hAnsi="Cambria"/>
          <w:sz w:val="22"/>
        </w:rPr>
        <w:t xml:space="preserve"> = </w:t>
      </w:r>
      <w:r>
        <w:rPr>
          <w:rFonts w:ascii="Cambria" w:hAnsi="Cambria"/>
          <w:sz w:val="22"/>
        </w:rPr>
        <w:t>½</w:t>
      </w:r>
      <w:r>
        <w:rPr>
          <w:rFonts w:ascii="Cambria" w:hAnsi="Cambria"/>
          <w:sz w:val="22"/>
        </w:rPr>
        <w:t xml:space="preserve"> </w:t>
      </w:r>
      <w:r>
        <w:rPr>
          <w:rFonts w:ascii="Cambria" w:hAnsi="Cambria"/>
          <w:sz w:val="22"/>
        </w:rPr>
        <w:t>ρ</w:t>
      </w:r>
      <w:r>
        <w:rPr>
          <w:rFonts w:ascii="Cambria" w:hAnsi="Cambria"/>
          <w:sz w:val="22"/>
        </w:rPr>
        <w:t xml:space="preserve"> C</w:t>
      </w:r>
      <w:r>
        <w:rPr>
          <w:rFonts w:ascii="Cambria" w:hAnsi="Cambria"/>
          <w:sz w:val="22"/>
          <w:vertAlign w:val="subscript"/>
        </w:rPr>
        <w:t>d</w:t>
      </w:r>
      <w:r>
        <w:rPr>
          <w:rFonts w:ascii="Cambria" w:hAnsi="Cambria"/>
          <w:sz w:val="22"/>
        </w:rPr>
        <w:t xml:space="preserve"> A v</w:t>
      </w:r>
      <w:r>
        <w:rPr>
          <w:rFonts w:ascii="Cambria" w:hAnsi="Cambria"/>
          <w:sz w:val="22"/>
          <w:vertAlign w:val="superscript"/>
        </w:rPr>
        <w:t>2</w:t>
      </w:r>
      <w:r>
        <w:rPr>
          <w:i/>
          <w:color w:val="646464"/>
          <w:sz w:val="20"/>
        </w:rPr>
        <w:t xml:space="preserve">   ... (9)</w:t>
      </w:r>
    </w:p>
    <w:p>
      <w:pPr>
        <w:jc w:val="both"/>
      </w:pPr>
      <w:r>
        <w:rPr>
          <w:b w:val="0"/>
          <w:i w:val="0"/>
          <w:sz w:val="22"/>
        </w:rPr>
        <w:t>using air density rho = 1.225 kg/m^3, drag coefficient C_d = 0.30, and frontal area A = 2.2 m^2. Road grade contributes a force:</w:t>
      </w:r>
    </w:p>
    <w:p>
      <w:pPr>
        <w:spacing w:before="80" w:after="80"/>
        <w:jc w:val="center"/>
      </w:pPr>
      <w:r>
        <w:rPr>
          <w:rFonts w:ascii="Cambria" w:hAnsi="Cambria"/>
          <w:sz w:val="22"/>
        </w:rPr>
        <w:t>F</w:t>
      </w:r>
      <w:r>
        <w:rPr>
          <w:rFonts w:ascii="Cambria" w:hAnsi="Cambria"/>
          <w:sz w:val="22"/>
          <w:vertAlign w:val="subscript"/>
        </w:rPr>
        <w:t>grade</w:t>
      </w:r>
      <w:r>
        <w:rPr>
          <w:rFonts w:ascii="Cambria" w:hAnsi="Cambria"/>
          <w:sz w:val="22"/>
        </w:rPr>
        <w:t xml:space="preserve"> = m g sin </w:t>
      </w:r>
      <w:r>
        <w:rPr>
          <w:rFonts w:ascii="Cambria" w:hAnsi="Cambria"/>
          <w:sz w:val="22"/>
        </w:rPr>
        <w:t>θ</w:t>
      </w:r>
      <w:r>
        <w:rPr>
          <w:i/>
          <w:color w:val="646464"/>
          <w:sz w:val="20"/>
        </w:rPr>
        <w:t xml:space="preserve">   ... (10)</w:t>
      </w:r>
    </w:p>
    <w:p>
      <w:pPr>
        <w:jc w:val="both"/>
      </w:pPr>
      <w:r>
        <w:rPr>
          <w:b w:val="0"/>
          <w:i w:val="0"/>
          <w:sz w:val="22"/>
        </w:rPr>
        <w:t>which assists braking on uphill grades (positive theta) and opposes it on downhill grades. The simulation uses forward Euler integration and records full time histories of velocity, deceleration, slip ratios, axle loads, and ABS state. The kinetic energy dissipated during each ABS braking cycle is the primary heat input to the brake thermodynamics model described next.</w:t>
      </w:r>
    </w:p>
    <w:p>
      <w:pPr>
        <w:pStyle w:val="Heading2"/>
        <w:jc w:val="left"/>
      </w:pPr>
      <w:r>
        <w:rPr>
          <w:color w:val="004080"/>
        </w:rPr>
        <w:t>4.8  Brake Thermodynamics Model</w:t>
      </w:r>
    </w:p>
    <w:p>
      <w:pPr>
        <w:jc w:val="both"/>
      </w:pPr>
      <w:r>
        <w:rPr>
          <w:b w:val="0"/>
          <w:i w:val="0"/>
          <w:sz w:val="22"/>
        </w:rPr>
        <w:t>The BrakeThermodynamics class (src/vehicle_dynamics/thermodynamics.py) models cast-iron rotor temperature evolution across braking events and cool-down periods. The model distinguishes two physical regimes: heating during braking and convective cooling during driving.</w:t>
      </w:r>
    </w:p>
    <w:p>
      <w:pPr>
        <w:pStyle w:val="Heading2"/>
        <w:jc w:val="left"/>
      </w:pPr>
      <w:r>
        <w:rPr>
          <w:color w:val="004080"/>
        </w:rPr>
        <w:t>4.8.1  Thermal Heating Model</w:t>
      </w:r>
    </w:p>
    <w:p>
      <w:pPr>
        <w:jc w:val="both"/>
      </w:pPr>
      <w:r>
        <w:rPr>
          <w:b w:val="0"/>
          <w:i w:val="0"/>
          <w:sz w:val="22"/>
        </w:rPr>
        <w:t>During each braking event, kinetic energy dissipated is converted to heat in the rotors via the heat equation. The rotor temperature rise for a braking event from speed v1 to v2 is:</w:t>
      </w:r>
    </w:p>
    <w:p>
      <w:pPr>
        <w:spacing w:before="80" w:after="80"/>
        <w:jc w:val="center"/>
      </w:pPr>
      <w:r>
        <w:rPr>
          <w:rFonts w:ascii="Cambria" w:hAnsi="Cambria"/>
          <w:sz w:val="22"/>
        </w:rPr>
        <w:t>Δ</w:t>
      </w:r>
      <w:r>
        <w:rPr>
          <w:rFonts w:ascii="Cambria" w:hAnsi="Cambria"/>
          <w:sz w:val="22"/>
        </w:rPr>
        <w:t xml:space="preserve">T = </w:t>
      </w:r>
      <w:r>
        <w:rPr>
          <w:rFonts w:ascii="Cambria" w:hAnsi="Cambria"/>
          <w:sz w:val="22"/>
        </w:rPr>
        <w:t>½</w:t>
      </w:r>
      <w:r>
        <w:rPr>
          <w:rFonts w:ascii="Cambria" w:hAnsi="Cambria"/>
          <w:sz w:val="22"/>
        </w:rPr>
        <w:t xml:space="preserve"> m</w:t>
      </w:r>
      <w:r>
        <w:rPr>
          <w:rFonts w:ascii="Cambria" w:hAnsi="Cambria"/>
          <w:sz w:val="22"/>
          <w:vertAlign w:val="subscript"/>
        </w:rPr>
        <w:t>veh</w:t>
      </w:r>
      <w:r>
        <w:rPr>
          <w:rFonts w:ascii="Cambria" w:hAnsi="Cambria"/>
          <w:sz w:val="22"/>
        </w:rPr>
        <w:t>(v</w:t>
      </w:r>
      <w:r>
        <w:rPr>
          <w:rFonts w:ascii="Cambria" w:hAnsi="Cambria"/>
          <w:sz w:val="22"/>
          <w:vertAlign w:val="subscript"/>
        </w:rPr>
        <w:t>1</w:t>
      </w:r>
      <w:r>
        <w:rPr>
          <w:rFonts w:ascii="Cambria" w:hAnsi="Cambria"/>
          <w:sz w:val="22"/>
          <w:vertAlign w:val="superscript"/>
        </w:rPr>
        <w:t>2</w:t>
      </w:r>
      <w:r>
        <w:rPr>
          <w:rFonts w:ascii="Cambria" w:hAnsi="Cambria"/>
          <w:sz w:val="22"/>
        </w:rPr>
        <w:t xml:space="preserve"> - v</w:t>
      </w:r>
      <w:r>
        <w:rPr>
          <w:rFonts w:ascii="Cambria" w:hAnsi="Cambria"/>
          <w:sz w:val="22"/>
          <w:vertAlign w:val="subscript"/>
        </w:rPr>
        <w:t>2</w:t>
      </w:r>
      <w:r>
        <w:rPr>
          <w:rFonts w:ascii="Cambria" w:hAnsi="Cambria"/>
          <w:sz w:val="22"/>
          <w:vertAlign w:val="superscript"/>
        </w:rPr>
        <w:t>2</w:t>
      </w:r>
      <w:r>
        <w:rPr>
          <w:rFonts w:ascii="Cambria" w:hAnsi="Cambria"/>
          <w:sz w:val="22"/>
        </w:rPr>
        <w:t>) / (m</w:t>
      </w:r>
      <w:r>
        <w:rPr>
          <w:rFonts w:ascii="Cambria" w:hAnsi="Cambria"/>
          <w:sz w:val="22"/>
          <w:vertAlign w:val="subscript"/>
        </w:rPr>
        <w:t>rotor</w:t>
      </w:r>
      <w:r>
        <w:rPr>
          <w:rFonts w:ascii="Cambria" w:hAnsi="Cambria"/>
          <w:sz w:val="22"/>
        </w:rPr>
        <w:t xml:space="preserve"> </w:t>
      </w:r>
      <w:r>
        <w:rPr>
          <w:rFonts w:ascii="Cambria" w:hAnsi="Cambria"/>
          <w:sz w:val="22"/>
        </w:rPr>
        <w:t>·</w:t>
      </w:r>
      <w:r>
        <w:rPr>
          <w:rFonts w:ascii="Cambria" w:hAnsi="Cambria"/>
          <w:sz w:val="22"/>
        </w:rPr>
        <w:t xml:space="preserve"> c</w:t>
      </w:r>
      <w:r>
        <w:rPr>
          <w:rFonts w:ascii="Cambria" w:hAnsi="Cambria"/>
          <w:sz w:val="22"/>
          <w:vertAlign w:val="subscript"/>
        </w:rPr>
        <w:t>p</w:t>
      </w:r>
      <w:r>
        <w:rPr>
          <w:rFonts w:ascii="Cambria" w:hAnsi="Cambria"/>
          <w:sz w:val="22"/>
        </w:rPr>
        <w:t>)</w:t>
      </w:r>
      <w:r>
        <w:rPr>
          <w:i/>
          <w:color w:val="646464"/>
          <w:sz w:val="20"/>
        </w:rPr>
        <w:t xml:space="preserve">   ... (11)</w:t>
      </w:r>
    </w:p>
    <w:p>
      <w:pPr>
        <w:jc w:val="both"/>
      </w:pPr>
      <w:r>
        <w:rPr>
          <w:b w:val="0"/>
          <w:i w:val="0"/>
          <w:sz w:val="22"/>
        </w:rPr>
        <w:t>The model uses specific heat capacity c_p = 450 J/(kg K) for grey cast iron and a total rotor mass m_rotor = 40 kg for all four wheel rotors.</w:t>
      </w:r>
    </w:p>
    <w:p>
      <w:pPr>
        <w:pStyle w:val="Heading2"/>
        <w:jc w:val="left"/>
      </w:pPr>
      <w:r>
        <w:rPr>
          <w:color w:val="004080"/>
        </w:rPr>
        <w:t>4.8.2  Newton's Cooling Law</w:t>
      </w:r>
    </w:p>
    <w:p>
      <w:pPr>
        <w:jc w:val="both"/>
      </w:pPr>
      <w:r>
        <w:rPr>
          <w:b w:val="0"/>
          <w:i w:val="0"/>
          <w:sz w:val="22"/>
        </w:rPr>
        <w:t>Between braking events, rotor temperature decays exponentially according to Newton's Law of Cooling:</w:t>
      </w:r>
    </w:p>
    <w:p>
      <w:pPr>
        <w:spacing w:before="80" w:after="80"/>
        <w:jc w:val="center"/>
      </w:pPr>
      <w:r>
        <w:rPr>
          <w:rFonts w:ascii="Cambria" w:hAnsi="Cambria"/>
          <w:sz w:val="22"/>
        </w:rPr>
        <w:t xml:space="preserve">T(t + </w:t>
      </w:r>
      <w:r>
        <w:rPr>
          <w:rFonts w:ascii="Cambria" w:hAnsi="Cambria"/>
          <w:sz w:val="22"/>
        </w:rPr>
        <w:t>Δ</w:t>
      </w:r>
      <w:r>
        <w:rPr>
          <w:rFonts w:ascii="Cambria" w:hAnsi="Cambria"/>
          <w:sz w:val="22"/>
        </w:rPr>
        <w:t>t) = T</w:t>
      </w:r>
      <w:r>
        <w:rPr>
          <w:rFonts w:ascii="Cambria" w:hAnsi="Cambria"/>
          <w:sz w:val="22"/>
          <w:vertAlign w:val="subscript"/>
        </w:rPr>
        <w:t>env</w:t>
      </w:r>
      <w:r>
        <w:rPr>
          <w:rFonts w:ascii="Cambria" w:hAnsi="Cambria"/>
          <w:sz w:val="22"/>
        </w:rPr>
        <w:t xml:space="preserve"> + (T(t) - T</w:t>
      </w:r>
      <w:r>
        <w:rPr>
          <w:rFonts w:ascii="Cambria" w:hAnsi="Cambria"/>
          <w:sz w:val="22"/>
          <w:vertAlign w:val="subscript"/>
        </w:rPr>
        <w:t>env</w:t>
      </w:r>
      <w:r>
        <w:rPr>
          <w:rFonts w:ascii="Cambria" w:hAnsi="Cambria"/>
          <w:sz w:val="22"/>
        </w:rPr>
        <w:t xml:space="preserve">) </w:t>
      </w:r>
      <w:r>
        <w:rPr>
          <w:rFonts w:ascii="Cambria" w:hAnsi="Cambria"/>
          <w:sz w:val="22"/>
        </w:rPr>
        <w:t>·</w:t>
      </w:r>
      <w:r>
        <w:rPr>
          <w:rFonts w:ascii="Cambria" w:hAnsi="Cambria"/>
          <w:sz w:val="22"/>
        </w:rPr>
        <w:t xml:space="preserve"> e</w:t>
      </w:r>
      <w:r>
        <w:rPr>
          <w:rFonts w:ascii="Cambria" w:hAnsi="Cambria"/>
          <w:sz w:val="22"/>
          <w:vertAlign w:val="superscript"/>
        </w:rPr>
        <w:t xml:space="preserve">-k </w:t>
      </w:r>
      <w:r>
        <w:rPr>
          <w:rFonts w:ascii="Cambria" w:hAnsi="Cambria"/>
          <w:sz w:val="22"/>
        </w:rPr>
        <w:t>·</w:t>
      </w:r>
      <w:r>
        <w:rPr>
          <w:rFonts w:ascii="Cambria" w:hAnsi="Cambria"/>
          <w:sz w:val="22"/>
          <w:vertAlign w:val="superscript"/>
        </w:rPr>
        <w:t xml:space="preserve"> </w:t>
      </w:r>
      <w:r>
        <w:rPr>
          <w:rFonts w:ascii="Cambria" w:hAnsi="Cambria"/>
          <w:sz w:val="22"/>
          <w:vertAlign w:val="superscript"/>
        </w:rPr>
        <w:t>Δ</w:t>
      </w:r>
      <w:r>
        <w:rPr>
          <w:rFonts w:ascii="Cambria" w:hAnsi="Cambria"/>
          <w:sz w:val="22"/>
          <w:vertAlign w:val="superscript"/>
        </w:rPr>
        <w:t>t</w:t>
      </w:r>
      <w:r>
        <w:rPr>
          <w:i/>
          <w:color w:val="646464"/>
          <w:sz w:val="20"/>
        </w:rPr>
        <w:t xml:space="preserve">   ... (12)</w:t>
      </w:r>
    </w:p>
    <w:p>
      <w:pPr>
        <w:jc w:val="both"/>
      </w:pPr>
      <w:r>
        <w:rPr>
          <w:b w:val="0"/>
          <w:i w:val="0"/>
          <w:sz w:val="22"/>
        </w:rPr>
        <w:t>The cooling coefficient k accounts for forced convection at vehicle speed:</w:t>
      </w:r>
    </w:p>
    <w:p>
      <w:pPr>
        <w:spacing w:before="80" w:after="80"/>
        <w:jc w:val="center"/>
      </w:pPr>
      <w:r>
        <w:rPr>
          <w:rFonts w:ascii="Cambria" w:hAnsi="Cambria"/>
          <w:sz w:val="22"/>
        </w:rPr>
        <w:t>k = k</w:t>
      </w:r>
      <w:r>
        <w:rPr>
          <w:rFonts w:ascii="Cambria" w:hAnsi="Cambria"/>
          <w:sz w:val="22"/>
          <w:vertAlign w:val="subscript"/>
        </w:rPr>
        <w:t>base</w:t>
      </w:r>
      <w:r>
        <w:rPr>
          <w:rFonts w:ascii="Cambria" w:hAnsi="Cambria"/>
          <w:sz w:val="22"/>
        </w:rPr>
        <w:t xml:space="preserve"> + k</w:t>
      </w:r>
      <w:r>
        <w:rPr>
          <w:rFonts w:ascii="Cambria" w:hAnsi="Cambria"/>
          <w:sz w:val="22"/>
          <w:vertAlign w:val="subscript"/>
        </w:rPr>
        <w:t>speed</w:t>
      </w:r>
      <w:r>
        <w:rPr>
          <w:rFonts w:ascii="Cambria" w:hAnsi="Cambria"/>
          <w:sz w:val="22"/>
        </w:rPr>
        <w:t xml:space="preserve"> </w:t>
      </w:r>
      <w:r>
        <w:rPr>
          <w:rFonts w:ascii="Cambria" w:hAnsi="Cambria"/>
          <w:sz w:val="22"/>
        </w:rPr>
        <w:t>·</w:t>
      </w:r>
      <w:r>
        <w:rPr>
          <w:rFonts w:ascii="Cambria" w:hAnsi="Cambria"/>
          <w:sz w:val="22"/>
        </w:rPr>
        <w:t xml:space="preserve"> v</w:t>
      </w:r>
      <w:r>
        <w:rPr>
          <w:i/>
          <w:color w:val="646464"/>
          <w:sz w:val="20"/>
        </w:rPr>
        <w:t xml:space="preserve">   ... (13)</w:t>
      </w:r>
    </w:p>
    <w:p>
      <w:pPr>
        <w:pStyle w:val="Heading2"/>
        <w:jc w:val="left"/>
      </w:pPr>
      <w:r>
        <w:rPr>
          <w:color w:val="004080"/>
        </w:rPr>
        <w:t>4.8.3  Brake Fade and AEB Penalty</w:t>
      </w:r>
    </w:p>
    <w:p>
      <w:pPr>
        <w:jc w:val="both"/>
      </w:pPr>
      <w:r>
        <w:rPr>
          <w:b w:val="0"/>
          <w:i w:val="0"/>
          <w:sz w:val="22"/>
        </w:rPr>
        <w:t>The rotor temperature drives a brake fade curve mapping temperature to friction multiplier mu(T):</w:t>
      </w:r>
    </w:p>
    <w:p>
      <w:pPr>
        <w:pStyle w:val="ListBullet"/>
        <w:ind w:left="283"/>
      </w:pPr>
      <w:r>
        <w:rPr>
          <w:sz w:val="22"/>
        </w:rPr>
        <w:t>T &lt; 300 C:  mu = 1.0  (no fade)</w:t>
      </w:r>
    </w:p>
    <w:p>
      <w:pPr>
        <w:pStyle w:val="ListBullet"/>
        <w:ind w:left="283"/>
      </w:pPr>
      <w:r>
        <w:rPr>
          <w:sz w:val="22"/>
        </w:rPr>
        <w:t>300 &lt; T &lt; 450 C:  mu = 1.0 - 0.3 x (T - 300) / 150  (onset)</w:t>
      </w:r>
    </w:p>
    <w:p>
      <w:pPr>
        <w:pStyle w:val="ListBullet"/>
        <w:ind w:left="283"/>
      </w:pPr>
      <w:r>
        <w:rPr>
          <w:sz w:val="22"/>
        </w:rPr>
        <w:t>450 &lt; T &lt; 650 C:  mu = 0.7 - 0.4 x (T - 450) / 200  (severe)</w:t>
      </w:r>
    </w:p>
    <w:p>
      <w:pPr>
        <w:pStyle w:val="ListBullet"/>
        <w:ind w:left="283"/>
      </w:pPr>
      <w:r>
        <w:rPr>
          <w:sz w:val="22"/>
        </w:rPr>
        <w:t>T &gt; 650 C:  mu approaches 0.1  (catastrophic fade)</w:t>
      </w:r>
    </w:p>
    <w:p>
      <w:pPr>
        <w:jc w:val="both"/>
      </w:pPr>
      <w:r>
        <w:rPr>
          <w:b w:val="0"/>
          <w:i w:val="0"/>
          <w:sz w:val="22"/>
        </w:rPr>
        <w:t>The AEB trigger buffer penalty derived from the friction multiplier is:</w:t>
      </w:r>
    </w:p>
    <w:p>
      <w:pPr>
        <w:spacing w:before="80" w:after="80"/>
        <w:jc w:val="center"/>
      </w:pPr>
      <w:r>
        <w:rPr>
          <w:rFonts w:ascii="Cambria" w:hAnsi="Cambria"/>
          <w:sz w:val="22"/>
        </w:rPr>
        <w:t>Δ</w:t>
      </w:r>
      <w:r>
        <w:rPr>
          <w:rFonts w:ascii="Cambria" w:hAnsi="Cambria"/>
          <w:sz w:val="22"/>
        </w:rPr>
        <w:t>T</w:t>
      </w:r>
      <w:r>
        <w:rPr>
          <w:rFonts w:ascii="Cambria" w:hAnsi="Cambria"/>
          <w:sz w:val="22"/>
          <w:vertAlign w:val="subscript"/>
        </w:rPr>
        <w:t>thermo</w:t>
      </w:r>
      <w:r>
        <w:rPr>
          <w:rFonts w:ascii="Cambria" w:hAnsi="Cambria"/>
          <w:sz w:val="22"/>
        </w:rPr>
        <w:t xml:space="preserve"> = min(3.0,   0.5 </w:t>
      </w:r>
      <w:r>
        <w:rPr>
          <w:rFonts w:ascii="Cambria" w:hAnsi="Cambria"/>
          <w:sz w:val="22"/>
        </w:rPr>
        <w:t>×</w:t>
      </w:r>
      <w:r>
        <w:rPr>
          <w:rFonts w:ascii="Cambria" w:hAnsi="Cambria"/>
          <w:sz w:val="22"/>
        </w:rPr>
        <w:t xml:space="preserve"> (1 / </w:t>
      </w:r>
      <w:r>
        <w:rPr>
          <w:rFonts w:ascii="Cambria" w:hAnsi="Cambria"/>
          <w:sz w:val="22"/>
        </w:rPr>
        <w:t>μ</w:t>
      </w:r>
      <w:r>
        <w:rPr>
          <w:rFonts w:ascii="Cambria" w:hAnsi="Cambria"/>
          <w:sz w:val="22"/>
        </w:rPr>
        <w:t xml:space="preserve"> - 1))</w:t>
      </w:r>
      <w:r>
        <w:rPr>
          <w:i/>
          <w:color w:val="646464"/>
          <w:sz w:val="20"/>
        </w:rPr>
        <w:t xml:space="preserve">   ... (14)</w:t>
      </w:r>
    </w:p>
    <w:p>
      <w:pPr>
        <w:jc w:val="both"/>
      </w:pPr>
      <w:r>
        <w:rPr>
          <w:b w:val="0"/>
          <w:i w:val="0"/>
          <w:sz w:val="22"/>
        </w:rPr>
        <w:t>This penalty can add up to 3.0 seconds to the AEB TTC threshold, compensating for the increased stopping distance caused by reduced friction. Delta_thermo is the third and final additive term in the AEB threshold equation (Eq. 16), completing the three-input composite penalty assembled by the Adaptive AEB Controller described in the following section.</w:t>
      </w:r>
    </w:p>
    <w:p>
      <w:pPr>
        <w:pStyle w:val="Heading2"/>
        <w:jc w:val="left"/>
      </w:pPr>
      <w:r>
        <w:rPr>
          <w:color w:val="004080"/>
        </w:rPr>
        <w:t>4.9  Adaptive AEB Controller</w:t>
      </w:r>
    </w:p>
    <w:p>
      <w:pPr>
        <w:jc w:val="both"/>
      </w:pPr>
      <w:r>
        <w:rPr>
          <w:b w:val="0"/>
          <w:i w:val="0"/>
          <w:sz w:val="22"/>
        </w:rPr>
        <w:t>The AEBController (src/collision/aeb_controller.py) computes Time-to-Collision for each in-corridor pedestrian track per frame. Assuming constant relative velocity, TTC is:</w:t>
      </w:r>
    </w:p>
    <w:p>
      <w:pPr>
        <w:spacing w:before="80" w:after="80"/>
        <w:jc w:val="center"/>
      </w:pPr>
      <w:r>
        <w:rPr>
          <w:rFonts w:ascii="Cambria" w:hAnsi="Cambria"/>
          <w:sz w:val="22"/>
        </w:rPr>
        <w:t>TTC = Z / v</w:t>
      </w:r>
      <w:r>
        <w:rPr>
          <w:rFonts w:ascii="Cambria" w:hAnsi="Cambria"/>
          <w:sz w:val="22"/>
          <w:vertAlign w:val="subscript"/>
        </w:rPr>
        <w:t>rel</w:t>
      </w:r>
      <w:r>
        <w:rPr>
          <w:i/>
          <w:color w:val="646464"/>
          <w:sz w:val="20"/>
        </w:rPr>
        <w:t xml:space="preserve">   ... (15)</w:t>
      </w:r>
    </w:p>
    <w:p>
      <w:pPr>
        <w:jc w:val="both"/>
      </w:pPr>
      <w:r>
        <w:rPr>
          <w:b w:val="0"/>
          <w:i w:val="0"/>
          <w:sz w:val="22"/>
        </w:rPr>
        <w:t>where Z is the estimated longitudinal distance from Eq. 4 and v_rel is the relative closing speed between ego vehicle and pedestrian. The AEB system triggers when TTC falls below the effective threshold:</w:t>
      </w:r>
    </w:p>
    <w:p>
      <w:pPr>
        <w:spacing w:before="80" w:after="80"/>
        <w:jc w:val="center"/>
      </w:pPr>
      <w:r>
        <w:rPr>
          <w:rFonts w:ascii="Cambria" w:hAnsi="Cambria"/>
          <w:sz w:val="22"/>
        </w:rPr>
        <w:t>TTC</w:t>
      </w:r>
      <w:r>
        <w:rPr>
          <w:rFonts w:ascii="Cambria" w:hAnsi="Cambria"/>
          <w:sz w:val="22"/>
          <w:vertAlign w:val="subscript"/>
        </w:rPr>
        <w:t>threshold</w:t>
      </w:r>
      <w:r>
        <w:rPr>
          <w:rFonts w:ascii="Cambria" w:hAnsi="Cambria"/>
          <w:sz w:val="22"/>
        </w:rPr>
        <w:t xml:space="preserve"> = TTC</w:t>
      </w:r>
      <w:r>
        <w:rPr>
          <w:rFonts w:ascii="Cambria" w:hAnsi="Cambria"/>
          <w:sz w:val="22"/>
          <w:vertAlign w:val="subscript"/>
        </w:rPr>
        <w:t>base</w:t>
      </w:r>
      <w:r>
        <w:rPr>
          <w:rFonts w:ascii="Cambria" w:hAnsi="Cambria"/>
          <w:sz w:val="22"/>
        </w:rPr>
        <w:t xml:space="preserve"> + </w:t>
      </w:r>
      <w:r>
        <w:rPr>
          <w:rFonts w:ascii="Cambria" w:hAnsi="Cambria"/>
          <w:sz w:val="22"/>
        </w:rPr>
        <w:t>Δ</w:t>
      </w:r>
      <w:r>
        <w:rPr>
          <w:rFonts w:ascii="Cambria" w:hAnsi="Cambria"/>
          <w:sz w:val="22"/>
        </w:rPr>
        <w:t>T</w:t>
      </w:r>
      <w:r>
        <w:rPr>
          <w:rFonts w:ascii="Cambria" w:hAnsi="Cambria"/>
          <w:sz w:val="22"/>
          <w:vertAlign w:val="subscript"/>
        </w:rPr>
        <w:t>weather</w:t>
      </w:r>
      <w:r>
        <w:rPr>
          <w:rFonts w:ascii="Cambria" w:hAnsi="Cambria"/>
          <w:sz w:val="22"/>
        </w:rPr>
        <w:t xml:space="preserve"> + </w:t>
      </w:r>
      <w:r>
        <w:rPr>
          <w:rFonts w:ascii="Cambria" w:hAnsi="Cambria"/>
          <w:sz w:val="22"/>
        </w:rPr>
        <w:t>Δ</w:t>
      </w:r>
      <w:r>
        <w:rPr>
          <w:rFonts w:ascii="Cambria" w:hAnsi="Cambria"/>
          <w:sz w:val="22"/>
        </w:rPr>
        <w:t>T</w:t>
      </w:r>
      <w:r>
        <w:rPr>
          <w:rFonts w:ascii="Cambria" w:hAnsi="Cambria"/>
          <w:sz w:val="22"/>
          <w:vertAlign w:val="subscript"/>
        </w:rPr>
        <w:t>driver</w:t>
      </w:r>
      <w:r>
        <w:rPr>
          <w:rFonts w:ascii="Cambria" w:hAnsi="Cambria"/>
          <w:sz w:val="22"/>
        </w:rPr>
        <w:t xml:space="preserve"> + </w:t>
      </w:r>
      <w:r>
        <w:rPr>
          <w:rFonts w:ascii="Cambria" w:hAnsi="Cambria"/>
          <w:sz w:val="22"/>
        </w:rPr>
        <w:t>Δ</w:t>
      </w:r>
      <w:r>
        <w:rPr>
          <w:rFonts w:ascii="Cambria" w:hAnsi="Cambria"/>
          <w:sz w:val="22"/>
        </w:rPr>
        <w:t>T</w:t>
      </w:r>
      <w:r>
        <w:rPr>
          <w:rFonts w:ascii="Cambria" w:hAnsi="Cambria"/>
          <w:sz w:val="22"/>
          <w:vertAlign w:val="subscript"/>
        </w:rPr>
        <w:t>thermo</w:t>
      </w:r>
      <w:r>
        <w:rPr>
          <w:i/>
          <w:color w:val="646464"/>
          <w:sz w:val="20"/>
        </w:rPr>
        <w:t xml:space="preserve">   ... (16)</w:t>
      </w:r>
    </w:p>
    <w:p>
      <w:pPr>
        <w:jc w:val="both"/>
      </w:pPr>
      <w:r>
        <w:rPr>
          <w:b w:val="0"/>
          <w:i w:val="0"/>
          <w:sz w:val="22"/>
        </w:rPr>
        <w:t>TTC_base = 1.5 s (baseline). Delta_weather is 0 s (Clear/Night), 0.3 s (Rain), or 0.5 s (Fog). Delta_driver is 0 s (ALERT), 0.2 s (WARNING), 0.5 s (DROWSY), or 0.8 s (CRITICAL). Delta_thermo is from Eq. 14. In the worst-case scenario - Fog, DROWSY driver, severely faded brakes - the effective threshold reaches 3.5 seconds, more than twice the baseline. An adaptive Random Forest classifier with 250 estimators and balanced class weights provides a secondary ML-based AEB decision for edge cases where TTC computation is uncertain. If the controller determines that the vehicle cannot fully stop before reaching the pedestrian, the residual impact speed is passed to the pedestrian impact analysis module (Section 4.10) to quantify the resulting injury severity.</w:t>
      </w:r>
    </w:p>
    <w:p>
      <w:pPr>
        <w:pStyle w:val="Heading2"/>
        <w:jc w:val="left"/>
      </w:pPr>
      <w:r>
        <w:rPr>
          <w:color w:val="004080"/>
        </w:rPr>
        <w:t>4.10  Pedestrian Impact Analysis</w:t>
      </w:r>
    </w:p>
    <w:p>
      <w:pPr>
        <w:jc w:val="both"/>
      </w:pPr>
      <w:r>
        <w:rPr>
          <w:b w:val="0"/>
          <w:i w:val="0"/>
          <w:sz w:val="22"/>
        </w:rPr>
        <w:t>When AEB cannot fully stop the vehicle before impact, the ImpactAnalyzer (src/safety_analysis/impact_model.py) calculates the residual impact speed using the energy method:</w:t>
      </w:r>
    </w:p>
    <w:p>
      <w:pPr>
        <w:spacing w:before="80" w:after="80"/>
        <w:jc w:val="center"/>
      </w:pPr>
      <w:r>
        <w:rPr>
          <w:rFonts w:ascii="Cambria" w:hAnsi="Cambria"/>
          <w:sz w:val="22"/>
        </w:rPr>
        <w:t>v</w:t>
      </w:r>
      <w:r>
        <w:rPr>
          <w:rFonts w:ascii="Cambria" w:hAnsi="Cambria"/>
          <w:sz w:val="22"/>
          <w:vertAlign w:val="subscript"/>
        </w:rPr>
        <w:t>impact</w:t>
      </w:r>
      <w:r>
        <w:rPr>
          <w:rFonts w:ascii="Cambria" w:hAnsi="Cambria"/>
          <w:sz w:val="22"/>
          <w:vertAlign w:val="superscript"/>
        </w:rPr>
        <w:t>2</w:t>
      </w:r>
      <w:r>
        <w:rPr>
          <w:rFonts w:ascii="Cambria" w:hAnsi="Cambria"/>
          <w:sz w:val="22"/>
        </w:rPr>
        <w:t xml:space="preserve"> = v</w:t>
      </w:r>
      <w:r>
        <w:rPr>
          <w:rFonts w:ascii="Cambria" w:hAnsi="Cambria"/>
          <w:sz w:val="22"/>
          <w:vertAlign w:val="subscript"/>
        </w:rPr>
        <w:t>0</w:t>
      </w:r>
      <w:r>
        <w:rPr>
          <w:rFonts w:ascii="Cambria" w:hAnsi="Cambria"/>
          <w:sz w:val="22"/>
          <w:vertAlign w:val="superscript"/>
        </w:rPr>
        <w:t>2</w:t>
      </w:r>
      <w:r>
        <w:rPr>
          <w:rFonts w:ascii="Cambria" w:hAnsi="Cambria"/>
          <w:sz w:val="22"/>
        </w:rPr>
        <w:t xml:space="preserve"> - 2 a</w:t>
      </w:r>
      <w:r>
        <w:rPr>
          <w:rFonts w:ascii="Cambria" w:hAnsi="Cambria"/>
          <w:sz w:val="22"/>
          <w:vertAlign w:val="subscript"/>
        </w:rPr>
        <w:t>avg</w:t>
      </w:r>
      <w:r>
        <w:rPr>
          <w:rFonts w:ascii="Cambria" w:hAnsi="Cambria"/>
          <w:sz w:val="22"/>
        </w:rPr>
        <w:t xml:space="preserve"> d</w:t>
      </w:r>
      <w:r>
        <w:rPr>
          <w:rFonts w:ascii="Cambria" w:hAnsi="Cambria"/>
          <w:sz w:val="22"/>
          <w:vertAlign w:val="subscript"/>
        </w:rPr>
        <w:t>braked</w:t>
      </w:r>
      <w:r>
        <w:rPr>
          <w:i/>
          <w:color w:val="646464"/>
          <w:sz w:val="20"/>
        </w:rPr>
        <w:t xml:space="preserve">   ... (17)</w:t>
      </w:r>
    </w:p>
    <w:p>
      <w:pPr>
        <w:jc w:val="both"/>
      </w:pPr>
      <w:r>
        <w:rPr>
          <w:b w:val="0"/>
          <w:i w:val="0"/>
          <w:sz w:val="22"/>
        </w:rPr>
        <w:t>The Wrap-Around Distance (WAD) determines where the pedestrian head contacts the vehicle:</w:t>
      </w:r>
    </w:p>
    <w:p>
      <w:pPr>
        <w:spacing w:before="80" w:after="80"/>
        <w:jc w:val="center"/>
      </w:pPr>
      <w:r>
        <w:rPr>
          <w:rFonts w:ascii="Cambria" w:hAnsi="Cambria"/>
          <w:sz w:val="22"/>
        </w:rPr>
        <w:t>WAD = 0.72 h</w:t>
      </w:r>
      <w:r>
        <w:rPr>
          <w:rFonts w:ascii="Cambria" w:hAnsi="Cambria"/>
          <w:sz w:val="22"/>
          <w:vertAlign w:val="subscript"/>
        </w:rPr>
        <w:t>ped</w:t>
      </w:r>
      <w:r>
        <w:rPr>
          <w:rFonts w:ascii="Cambria" w:hAnsi="Cambria"/>
          <w:sz w:val="22"/>
        </w:rPr>
        <w:t xml:space="preserve"> + 0.003 v</w:t>
      </w:r>
      <w:r>
        <w:rPr>
          <w:rFonts w:ascii="Cambria" w:hAnsi="Cambria"/>
          <w:sz w:val="22"/>
          <w:vertAlign w:val="subscript"/>
        </w:rPr>
        <w:t>impact,kmh</w:t>
      </w:r>
      <w:r>
        <w:rPr>
          <w:i/>
          <w:color w:val="646464"/>
          <w:sz w:val="20"/>
        </w:rPr>
        <w:t xml:space="preserve">   ... (18)</w:t>
      </w:r>
    </w:p>
    <w:p>
      <w:pPr>
        <w:jc w:val="both"/>
      </w:pPr>
      <w:r>
        <w:rPr>
          <w:b w:val="0"/>
          <w:i w:val="0"/>
          <w:sz w:val="22"/>
        </w:rPr>
        <w:t>The Head Injury Criterion is computed using a half-sine acceleration pulse model. Contact duration and peak acceleration are:</w:t>
      </w:r>
    </w:p>
    <w:p>
      <w:pPr>
        <w:spacing w:before="80" w:after="80"/>
        <w:jc w:val="center"/>
      </w:pPr>
      <w:r>
        <w:rPr>
          <w:rFonts w:ascii="Cambria" w:hAnsi="Cambria"/>
          <w:sz w:val="22"/>
        </w:rPr>
        <w:t>t</w:t>
      </w:r>
      <w:r>
        <w:rPr>
          <w:rFonts w:ascii="Cambria" w:hAnsi="Cambria"/>
          <w:sz w:val="22"/>
          <w:vertAlign w:val="subscript"/>
        </w:rPr>
        <w:t>c</w:t>
      </w:r>
      <w:r>
        <w:rPr>
          <w:rFonts w:ascii="Cambria" w:hAnsi="Cambria"/>
          <w:sz w:val="22"/>
        </w:rPr>
        <w:t xml:space="preserve"> = </w:t>
      </w:r>
      <w:r>
        <w:rPr>
          <w:rFonts w:ascii="Cambria" w:hAnsi="Cambria"/>
          <w:sz w:val="22"/>
        </w:rPr>
        <w:t>π</w:t>
      </w:r>
      <w:r>
        <w:rPr>
          <w:rFonts w:ascii="Cambria" w:hAnsi="Cambria"/>
          <w:sz w:val="22"/>
        </w:rPr>
        <w:t xml:space="preserve"> </w:t>
      </w:r>
      <w:r>
        <w:rPr>
          <w:rFonts w:ascii="Cambria" w:hAnsi="Cambria"/>
          <w:sz w:val="22"/>
        </w:rPr>
        <w:t>√</w:t>
      </w:r>
      <w:r>
        <w:rPr>
          <w:rFonts w:ascii="Cambria" w:hAnsi="Cambria"/>
          <w:sz w:val="22"/>
        </w:rPr>
        <w:t>(m</w:t>
      </w:r>
      <w:r>
        <w:rPr>
          <w:rFonts w:ascii="Cambria" w:hAnsi="Cambria"/>
          <w:sz w:val="22"/>
          <w:vertAlign w:val="subscript"/>
        </w:rPr>
        <w:t>head</w:t>
      </w:r>
      <w:r>
        <w:rPr>
          <w:rFonts w:ascii="Cambria" w:hAnsi="Cambria"/>
          <w:sz w:val="22"/>
        </w:rPr>
        <w:t xml:space="preserve"> / k)   ,   a</w:t>
      </w:r>
      <w:r>
        <w:rPr>
          <w:rFonts w:ascii="Cambria" w:hAnsi="Cambria"/>
          <w:sz w:val="22"/>
          <w:vertAlign w:val="subscript"/>
        </w:rPr>
        <w:t>peak</w:t>
      </w:r>
      <w:r>
        <w:rPr>
          <w:rFonts w:ascii="Cambria" w:hAnsi="Cambria"/>
          <w:sz w:val="22"/>
        </w:rPr>
        <w:t xml:space="preserve"> = </w:t>
      </w:r>
      <w:r>
        <w:rPr>
          <w:rFonts w:ascii="Cambria" w:hAnsi="Cambria"/>
          <w:sz w:val="22"/>
        </w:rPr>
        <w:t>π</w:t>
      </w:r>
      <w:r>
        <w:rPr>
          <w:rFonts w:ascii="Cambria" w:hAnsi="Cambria"/>
          <w:sz w:val="22"/>
        </w:rPr>
        <w:t xml:space="preserve"> v</w:t>
      </w:r>
      <w:r>
        <w:rPr>
          <w:rFonts w:ascii="Cambria" w:hAnsi="Cambria"/>
          <w:sz w:val="22"/>
          <w:vertAlign w:val="subscript"/>
        </w:rPr>
        <w:t>impact</w:t>
      </w:r>
      <w:r>
        <w:rPr>
          <w:rFonts w:ascii="Cambria" w:hAnsi="Cambria"/>
          <w:sz w:val="22"/>
        </w:rPr>
        <w:t xml:space="preserve"> / (2 t</w:t>
      </w:r>
      <w:r>
        <w:rPr>
          <w:rFonts w:ascii="Cambria" w:hAnsi="Cambria"/>
          <w:sz w:val="22"/>
          <w:vertAlign w:val="subscript"/>
        </w:rPr>
        <w:t>c</w:t>
      </w:r>
      <w:r>
        <w:rPr>
          <w:rFonts w:ascii="Cambria" w:hAnsi="Cambria"/>
          <w:sz w:val="22"/>
        </w:rPr>
        <w:t>)</w:t>
      </w:r>
      <w:r>
        <w:rPr>
          <w:i/>
          <w:color w:val="646464"/>
          <w:sz w:val="20"/>
        </w:rPr>
        <w:t xml:space="preserve">   ... (19)</w:t>
      </w:r>
    </w:p>
    <w:p>
      <w:pPr>
        <w:jc w:val="both"/>
      </w:pPr>
      <w:r>
        <w:rPr>
          <w:b w:val="0"/>
          <w:i w:val="0"/>
          <w:sz w:val="22"/>
        </w:rPr>
        <w:t>The Head Injury Criterion is then:</w:t>
      </w:r>
    </w:p>
    <w:p>
      <w:pPr>
        <w:spacing w:before="80" w:after="80"/>
        <w:jc w:val="center"/>
      </w:pPr>
      <w:r>
        <w:rPr>
          <w:rFonts w:ascii="Cambria" w:hAnsi="Cambria"/>
          <w:sz w:val="22"/>
        </w:rPr>
        <w:t>HIC = t</w:t>
      </w:r>
      <w:r>
        <w:rPr>
          <w:rFonts w:ascii="Cambria" w:hAnsi="Cambria"/>
          <w:sz w:val="22"/>
          <w:vertAlign w:val="subscript"/>
        </w:rPr>
        <w:t>c</w:t>
      </w:r>
      <w:r>
        <w:rPr>
          <w:rFonts w:ascii="Cambria" w:hAnsi="Cambria"/>
          <w:sz w:val="22"/>
        </w:rPr>
        <w:t xml:space="preserve"> </w:t>
      </w:r>
      <w:r>
        <w:rPr>
          <w:rFonts w:ascii="Cambria" w:hAnsi="Cambria"/>
          <w:sz w:val="22"/>
        </w:rPr>
        <w:t>·</w:t>
      </w:r>
      <w:r>
        <w:rPr>
          <w:rFonts w:ascii="Cambria" w:hAnsi="Cambria"/>
          <w:sz w:val="22"/>
        </w:rPr>
        <w:t xml:space="preserve"> (a</w:t>
      </w:r>
      <w:r>
        <w:rPr>
          <w:rFonts w:ascii="Cambria" w:hAnsi="Cambria"/>
          <w:sz w:val="22"/>
          <w:vertAlign w:val="subscript"/>
        </w:rPr>
        <w:t>peak</w:t>
      </w:r>
      <w:r>
        <w:rPr>
          <w:rFonts w:ascii="Cambria" w:hAnsi="Cambria"/>
          <w:sz w:val="22"/>
        </w:rPr>
        <w:t xml:space="preserve"> / g)</w:t>
      </w:r>
      <w:r>
        <w:rPr>
          <w:rFonts w:ascii="Cambria" w:hAnsi="Cambria"/>
          <w:sz w:val="22"/>
          <w:vertAlign w:val="superscript"/>
        </w:rPr>
        <w:t>2.5</w:t>
      </w:r>
      <w:r>
        <w:rPr>
          <w:i/>
          <w:color w:val="646464"/>
          <w:sz w:val="20"/>
        </w:rPr>
        <w:t xml:space="preserve">   ... (20)</w:t>
      </w:r>
    </w:p>
    <w:p>
      <w:pPr>
        <w:jc w:val="both"/>
      </w:pPr>
      <w:r>
        <w:rPr>
          <w:b w:val="0"/>
          <w:i w:val="0"/>
          <w:sz w:val="22"/>
        </w:rPr>
        <w:t>Local stiffness k varies by impact zone: bumper 350 kN/m, hood 150 kN/m, windshield 80 kN/m. HIC values are classified on the AIS scale: HIC &lt; 150 (AIS 1, Minor), &lt; 500 (AIS 2, Moderate), &lt; 1000 (AIS 3, Serious), &lt; 1500 (AIS 4, Severe), &lt; 2500 (AIS 5, Critical), and 2500 or above (AIS 6, Fatal).</w:t>
      </w:r>
    </w:p>
    <w:p>
      <w:pPr>
        <w:pStyle w:val="Heading1"/>
        <w:jc w:val="left"/>
      </w:pPr>
      <w:r>
        <w:rPr>
          <w:color w:val="004080"/>
        </w:rPr>
        <w:t>5.  IMPLEMENTATION DETAILS</w:t>
      </w:r>
    </w:p>
    <w:p>
      <w:pPr>
        <w:jc w:val="both"/>
      </w:pPr>
      <w:r>
        <w:rPr>
          <w:b w:val="0"/>
          <w:i w:val="0"/>
          <w:sz w:val="22"/>
        </w:rPr>
        <w:t>The system is implemented entirely in Python 3.10. Key libraries include: Ultralytics (YOLOv8), PyTorch 2.2 (MiDaS, ResNet-18), OpenCV (image processing, lane detection), filterpy (Kalman filter), scipy (Hungarian algorithm, signal processing), dlib (facial landmarks), Shapely (ego corridor polygon operations), scikit-learn (Random Forest), NumPy, and Matplotlib (visualisation). All physics modules are implemented from first principles without external physics engines, ensuring full interpretability and auditability of the decision chain.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080"/>
          </w:tcPr>
          <w:p>
            <w:pPr>
              <w:jc w:val="center"/>
            </w:pPr>
            <w:r>
              <w:rPr>
                <w:b/>
                <w:color w:val="FFFFFF"/>
                <w:sz w:val="20"/>
              </w:rPr>
              <w:t>Component</w:t>
            </w:r>
          </w:p>
        </w:tc>
        <w:tc>
          <w:tcPr>
            <w:tcW w:type="dxa" w:w="3041"/>
            <w:shd w:val="clear" w:color="auto" w:fill="004080"/>
          </w:tcPr>
          <w:p>
            <w:pPr>
              <w:jc w:val="center"/>
            </w:pPr>
            <w:r>
              <w:rPr>
                <w:b/>
                <w:color w:val="FFFFFF"/>
                <w:sz w:val="20"/>
              </w:rPr>
              <w:t>Technology / Model</w:t>
            </w:r>
          </w:p>
        </w:tc>
        <w:tc>
          <w:tcPr>
            <w:tcW w:type="dxa" w:w="3041"/>
            <w:shd w:val="clear" w:color="auto" w:fill="004080"/>
          </w:tcPr>
          <w:p>
            <w:pPr>
              <w:jc w:val="center"/>
            </w:pPr>
            <w:r>
              <w:rPr>
                <w:b/>
                <w:color w:val="FFFFFF"/>
                <w:sz w:val="20"/>
              </w:rPr>
              <w:t>Key Parameter</w:t>
            </w:r>
          </w:p>
        </w:tc>
      </w:tr>
      <w:tr>
        <w:tc>
          <w:tcPr>
            <w:tcW w:type="dxa" w:w="3041"/>
            <w:shd w:val="clear" w:color="auto" w:fill="E8F2FB"/>
          </w:tcPr>
          <w:p>
            <w:pPr>
              <w:jc w:val="center"/>
            </w:pPr>
            <w:r>
              <w:rPr>
                <w:b w:val="0"/>
                <w:sz w:val="20"/>
              </w:rPr>
              <w:t>Object Detector</w:t>
            </w:r>
          </w:p>
        </w:tc>
        <w:tc>
          <w:tcPr>
            <w:tcW w:type="dxa" w:w="3041"/>
            <w:shd w:val="clear" w:color="auto" w:fill="E8F2FB"/>
          </w:tcPr>
          <w:p>
            <w:pPr>
              <w:jc w:val="center"/>
            </w:pPr>
            <w:r>
              <w:rPr>
                <w:b w:val="0"/>
                <w:sz w:val="20"/>
              </w:rPr>
              <w:t>YOLOv8n (Ultralytics)</w:t>
            </w:r>
          </w:p>
        </w:tc>
        <w:tc>
          <w:tcPr>
            <w:tcW w:type="dxa" w:w="3041"/>
            <w:shd w:val="clear" w:color="auto" w:fill="E8F2FB"/>
          </w:tcPr>
          <w:p>
            <w:pPr>
              <w:jc w:val="center"/>
            </w:pPr>
            <w:r>
              <w:rPr>
                <w:b w:val="0"/>
                <w:sz w:val="20"/>
              </w:rPr>
              <w:t>30 epochs, conf=0.30, BDD100K 6K imgs</w:t>
            </w:r>
          </w:p>
        </w:tc>
      </w:tr>
      <w:tr>
        <w:tc>
          <w:tcPr>
            <w:tcW w:type="dxa" w:w="3041"/>
            <w:shd w:val="clear" w:color="auto" w:fill="FFFFFF"/>
          </w:tcPr>
          <w:p>
            <w:pPr>
              <w:jc w:val="center"/>
            </w:pPr>
            <w:r>
              <w:rPr>
                <w:b w:val="0"/>
                <w:sz w:val="20"/>
              </w:rPr>
              <w:t>Tracker</w:t>
            </w:r>
          </w:p>
        </w:tc>
        <w:tc>
          <w:tcPr>
            <w:tcW w:type="dxa" w:w="3041"/>
            <w:shd w:val="clear" w:color="auto" w:fill="FFFFFF"/>
          </w:tcPr>
          <w:p>
            <w:pPr>
              <w:jc w:val="center"/>
            </w:pPr>
            <w:r>
              <w:rPr>
                <w:b w:val="0"/>
                <w:sz w:val="20"/>
              </w:rPr>
              <w:t>SORT + Kalman Filter (filterpy)</w:t>
            </w:r>
          </w:p>
        </w:tc>
        <w:tc>
          <w:tcPr>
            <w:tcW w:type="dxa" w:w="3041"/>
            <w:shd w:val="clear" w:color="auto" w:fill="FFFFFF"/>
          </w:tcPr>
          <w:p>
            <w:pPr>
              <w:jc w:val="center"/>
            </w:pPr>
            <w:r>
              <w:rPr>
                <w:b w:val="0"/>
                <w:sz w:val="20"/>
              </w:rPr>
              <w:t>IoU=0.3, min_hits=3, max_age=1</w:t>
            </w:r>
          </w:p>
        </w:tc>
      </w:tr>
      <w:tr>
        <w:tc>
          <w:tcPr>
            <w:tcW w:type="dxa" w:w="3041"/>
            <w:shd w:val="clear" w:color="auto" w:fill="E8F2FB"/>
          </w:tcPr>
          <w:p>
            <w:pPr>
              <w:jc w:val="center"/>
            </w:pPr>
            <w:r>
              <w:rPr>
                <w:b w:val="0"/>
                <w:sz w:val="20"/>
              </w:rPr>
              <w:t>Depth</w:t>
            </w:r>
          </w:p>
        </w:tc>
        <w:tc>
          <w:tcPr>
            <w:tcW w:type="dxa" w:w="3041"/>
            <w:shd w:val="clear" w:color="auto" w:fill="E8F2FB"/>
          </w:tcPr>
          <w:p>
            <w:pPr>
              <w:jc w:val="center"/>
            </w:pPr>
            <w:r>
              <w:rPr>
                <w:b w:val="0"/>
                <w:sz w:val="20"/>
              </w:rPr>
              <w:t>MiDaS DPT_Large (PyTorch)</w:t>
            </w:r>
          </w:p>
        </w:tc>
        <w:tc>
          <w:tcPr>
            <w:tcW w:type="dxa" w:w="3041"/>
            <w:shd w:val="clear" w:color="auto" w:fill="E8F2FB"/>
          </w:tcPr>
          <w:p>
            <w:pPr>
              <w:jc w:val="center"/>
            </w:pPr>
            <w:r>
              <w:rPr>
                <w:b w:val="0"/>
                <w:sz w:val="20"/>
              </w:rPr>
              <w:t>Relative depth, per-frame inference</w:t>
            </w:r>
          </w:p>
        </w:tc>
      </w:tr>
      <w:tr>
        <w:tc>
          <w:tcPr>
            <w:tcW w:type="dxa" w:w="3041"/>
            <w:shd w:val="clear" w:color="auto" w:fill="FFFFFF"/>
          </w:tcPr>
          <w:p>
            <w:pPr>
              <w:jc w:val="center"/>
            </w:pPr>
            <w:r>
              <w:rPr>
                <w:b w:val="0"/>
                <w:sz w:val="20"/>
              </w:rPr>
              <w:t>Weather</w:t>
            </w:r>
          </w:p>
        </w:tc>
        <w:tc>
          <w:tcPr>
            <w:tcW w:type="dxa" w:w="3041"/>
            <w:shd w:val="clear" w:color="auto" w:fill="FFFFFF"/>
          </w:tcPr>
          <w:p>
            <w:pPr>
              <w:jc w:val="center"/>
            </w:pPr>
            <w:r>
              <w:rPr>
                <w:b w:val="0"/>
                <w:sz w:val="20"/>
              </w:rPr>
              <w:t>ResNet-18 / Heuristic (OpenCV)</w:t>
            </w:r>
          </w:p>
        </w:tc>
        <w:tc>
          <w:tcPr>
            <w:tcW w:type="dxa" w:w="3041"/>
            <w:shd w:val="clear" w:color="auto" w:fill="FFFFFF"/>
          </w:tcPr>
          <w:p>
            <w:pPr>
              <w:jc w:val="center"/>
            </w:pPr>
            <w:r>
              <w:rPr>
                <w:b w:val="0"/>
                <w:sz w:val="20"/>
              </w:rPr>
              <w:t>4 classes: Clear, Rain, Fog, Night</w:t>
            </w:r>
          </w:p>
        </w:tc>
      </w:tr>
      <w:tr>
        <w:tc>
          <w:tcPr>
            <w:tcW w:type="dxa" w:w="3041"/>
            <w:shd w:val="clear" w:color="auto" w:fill="E8F2FB"/>
          </w:tcPr>
          <w:p>
            <w:pPr>
              <w:jc w:val="center"/>
            </w:pPr>
            <w:r>
              <w:rPr>
                <w:b w:val="0"/>
                <w:sz w:val="20"/>
              </w:rPr>
              <w:t>Driver Monitor</w:t>
            </w:r>
          </w:p>
        </w:tc>
        <w:tc>
          <w:tcPr>
            <w:tcW w:type="dxa" w:w="3041"/>
            <w:shd w:val="clear" w:color="auto" w:fill="E8F2FB"/>
          </w:tcPr>
          <w:p>
            <w:pPr>
              <w:jc w:val="center"/>
            </w:pPr>
            <w:r>
              <w:rPr>
                <w:b w:val="0"/>
                <w:sz w:val="20"/>
              </w:rPr>
              <w:t>dlib 68-pt landmarks + EAR</w:t>
            </w:r>
          </w:p>
        </w:tc>
        <w:tc>
          <w:tcPr>
            <w:tcW w:type="dxa" w:w="3041"/>
            <w:shd w:val="clear" w:color="auto" w:fill="E8F2FB"/>
          </w:tcPr>
          <w:p>
            <w:pPr>
              <w:jc w:val="center"/>
            </w:pPr>
            <w:r>
              <w:rPr>
                <w:b w:val="0"/>
                <w:sz w:val="20"/>
              </w:rPr>
              <w:t>Threshold=0.25, drowsy window=2 s</w:t>
            </w:r>
          </w:p>
        </w:tc>
      </w:tr>
      <w:tr>
        <w:tc>
          <w:tcPr>
            <w:tcW w:type="dxa" w:w="3041"/>
            <w:shd w:val="clear" w:color="auto" w:fill="FFFFFF"/>
          </w:tcPr>
          <w:p>
            <w:pPr>
              <w:jc w:val="center"/>
            </w:pPr>
            <w:r>
              <w:rPr>
                <w:b w:val="0"/>
                <w:sz w:val="20"/>
              </w:rPr>
              <w:t>Vehicle Dynamics</w:t>
            </w:r>
          </w:p>
        </w:tc>
        <w:tc>
          <w:tcPr>
            <w:tcW w:type="dxa" w:w="3041"/>
            <w:shd w:val="clear" w:color="auto" w:fill="FFFFFF"/>
          </w:tcPr>
          <w:p>
            <w:pPr>
              <w:jc w:val="center"/>
            </w:pPr>
            <w:r>
              <w:rPr>
                <w:b w:val="0"/>
                <w:sz w:val="20"/>
              </w:rPr>
              <w:t>Pacejka + ABS (NumPy)</w:t>
            </w:r>
          </w:p>
        </w:tc>
        <w:tc>
          <w:tcPr>
            <w:tcW w:type="dxa" w:w="3041"/>
            <w:shd w:val="clear" w:color="auto" w:fill="FFFFFF"/>
          </w:tcPr>
          <w:p>
            <w:pPr>
              <w:jc w:val="center"/>
            </w:pPr>
            <w:r>
              <w:rPr>
                <w:b w:val="0"/>
                <w:sz w:val="20"/>
              </w:rPr>
              <w:t>dt=1 ms, 5 force components</w:t>
            </w:r>
          </w:p>
        </w:tc>
      </w:tr>
      <w:tr>
        <w:tc>
          <w:tcPr>
            <w:tcW w:type="dxa" w:w="3041"/>
            <w:shd w:val="clear" w:color="auto" w:fill="E8F2FB"/>
          </w:tcPr>
          <w:p>
            <w:pPr>
              <w:jc w:val="center"/>
            </w:pPr>
            <w:r>
              <w:rPr>
                <w:b w:val="0"/>
                <w:sz w:val="20"/>
              </w:rPr>
              <w:t>AEB Controller</w:t>
            </w:r>
          </w:p>
        </w:tc>
        <w:tc>
          <w:tcPr>
            <w:tcW w:type="dxa" w:w="3041"/>
            <w:shd w:val="clear" w:color="auto" w:fill="E8F2FB"/>
          </w:tcPr>
          <w:p>
            <w:pPr>
              <w:jc w:val="center"/>
            </w:pPr>
            <w:r>
              <w:rPr>
                <w:b w:val="0"/>
                <w:sz w:val="20"/>
              </w:rPr>
              <w:t>TTC + Random Forest (250 trees)</w:t>
            </w:r>
          </w:p>
        </w:tc>
        <w:tc>
          <w:tcPr>
            <w:tcW w:type="dxa" w:w="3041"/>
            <w:shd w:val="clear" w:color="auto" w:fill="E8F2FB"/>
          </w:tcPr>
          <w:p>
            <w:pPr>
              <w:jc w:val="center"/>
            </w:pPr>
            <w:r>
              <w:rPr>
                <w:b w:val="0"/>
                <w:sz w:val="20"/>
              </w:rPr>
              <w:t>TTC base=1.5 s, max=3.5 s</w:t>
            </w:r>
          </w:p>
        </w:tc>
      </w:tr>
    </w:tbl>
    <w:p>
      <w:pPr>
        <w:jc w:val="center"/>
      </w:pPr>
      <w:r>
        <w:rPr>
          <w:i/>
        </w:rPr>
        <w:t>Table 1: System Component Summary</w:t>
      </w:r>
    </w:p>
    <w:p/>
    <w:p>
      <w:pPr>
        <w:pStyle w:val="Heading1"/>
        <w:jc w:val="left"/>
      </w:pPr>
      <w:r>
        <w:rPr>
          <w:color w:val="004080"/>
        </w:rPr>
        <w:t>6.  RESULTS AND DISCUSSION</w:t>
      </w:r>
    </w:p>
    <w:p>
      <w:pPr>
        <w:pStyle w:val="Heading2"/>
        <w:jc w:val="left"/>
      </w:pPr>
      <w:r>
        <w:rPr>
          <w:color w:val="004080"/>
        </w:rPr>
        <w:t>6.1  Detection and Tracking Performance</w:t>
      </w:r>
    </w:p>
    <w:p>
      <w:pPr>
        <w:jc w:val="both"/>
      </w:pPr>
      <w:r>
        <w:rPr>
          <w:b w:val="0"/>
          <w:i w:val="0"/>
          <w:sz w:val="22"/>
        </w:rPr>
        <w:t>Table 2 summarises YOLOv8 detection performance on the BDD100K validation set. The pedestrian class achieves mAP@0.5 of 0.783, meeting the design target of 0.75. Car detection is highest at 0.891 due to larger object size and more training examples. Bicycle and motorcycle performance is lower (0.712, 0.698) owing to shape similarity and fewer examples. Figure 3 shows training convergence over 30 epochs and the per-class mAP distribution.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4080"/>
          </w:tcPr>
          <w:p>
            <w:pPr>
              <w:jc w:val="center"/>
            </w:pPr>
            <w:r>
              <w:rPr>
                <w:b/>
                <w:color w:val="FFFFFF"/>
                <w:sz w:val="20"/>
              </w:rPr>
              <w:t>Class</w:t>
            </w:r>
          </w:p>
        </w:tc>
        <w:tc>
          <w:tcPr>
            <w:tcW w:type="dxa" w:w="1824"/>
            <w:shd w:val="clear" w:color="auto" w:fill="004080"/>
          </w:tcPr>
          <w:p>
            <w:pPr>
              <w:jc w:val="center"/>
            </w:pPr>
            <w:r>
              <w:rPr>
                <w:b/>
                <w:color w:val="FFFFFF"/>
                <w:sz w:val="20"/>
              </w:rPr>
              <w:t>Precision</w:t>
            </w:r>
          </w:p>
        </w:tc>
        <w:tc>
          <w:tcPr>
            <w:tcW w:type="dxa" w:w="1824"/>
            <w:shd w:val="clear" w:color="auto" w:fill="004080"/>
          </w:tcPr>
          <w:p>
            <w:pPr>
              <w:jc w:val="center"/>
            </w:pPr>
            <w:r>
              <w:rPr>
                <w:b/>
                <w:color w:val="FFFFFF"/>
                <w:sz w:val="20"/>
              </w:rPr>
              <w:t>Recall</w:t>
            </w:r>
          </w:p>
        </w:tc>
        <w:tc>
          <w:tcPr>
            <w:tcW w:type="dxa" w:w="1824"/>
            <w:shd w:val="clear" w:color="auto" w:fill="004080"/>
          </w:tcPr>
          <w:p>
            <w:pPr>
              <w:jc w:val="center"/>
            </w:pPr>
            <w:r>
              <w:rPr>
                <w:b/>
                <w:color w:val="FFFFFF"/>
                <w:sz w:val="20"/>
              </w:rPr>
              <w:t>mAP@0.5</w:t>
            </w:r>
          </w:p>
        </w:tc>
        <w:tc>
          <w:tcPr>
            <w:tcW w:type="dxa" w:w="1824"/>
            <w:shd w:val="clear" w:color="auto" w:fill="004080"/>
          </w:tcPr>
          <w:p>
            <w:pPr>
              <w:jc w:val="center"/>
            </w:pPr>
            <w:r>
              <w:rPr>
                <w:b/>
                <w:color w:val="FFFFFF"/>
                <w:sz w:val="20"/>
              </w:rPr>
              <w:t>mAP@0.5:0.95</w:t>
            </w:r>
          </w:p>
        </w:tc>
      </w:tr>
      <w:tr>
        <w:tc>
          <w:tcPr>
            <w:tcW w:type="dxa" w:w="1824"/>
            <w:shd w:val="clear" w:color="auto" w:fill="E8F2FB"/>
          </w:tcPr>
          <w:p>
            <w:pPr>
              <w:jc w:val="center"/>
            </w:pPr>
            <w:r>
              <w:rPr>
                <w:b w:val="0"/>
                <w:sz w:val="20"/>
              </w:rPr>
              <w:t>Pedestrian</w:t>
            </w:r>
          </w:p>
        </w:tc>
        <w:tc>
          <w:tcPr>
            <w:tcW w:type="dxa" w:w="1824"/>
            <w:shd w:val="clear" w:color="auto" w:fill="E8F2FB"/>
          </w:tcPr>
          <w:p>
            <w:pPr>
              <w:jc w:val="center"/>
            </w:pPr>
            <w:r>
              <w:rPr>
                <w:b w:val="0"/>
                <w:sz w:val="20"/>
              </w:rPr>
              <w:t>0.801</w:t>
            </w:r>
          </w:p>
        </w:tc>
        <w:tc>
          <w:tcPr>
            <w:tcW w:type="dxa" w:w="1824"/>
            <w:shd w:val="clear" w:color="auto" w:fill="E8F2FB"/>
          </w:tcPr>
          <w:p>
            <w:pPr>
              <w:jc w:val="center"/>
            </w:pPr>
            <w:r>
              <w:rPr>
                <w:b w:val="0"/>
                <w:sz w:val="20"/>
              </w:rPr>
              <w:t>0.768</w:t>
            </w:r>
          </w:p>
        </w:tc>
        <w:tc>
          <w:tcPr>
            <w:tcW w:type="dxa" w:w="1824"/>
            <w:shd w:val="clear" w:color="auto" w:fill="E8F2FB"/>
          </w:tcPr>
          <w:p>
            <w:pPr>
              <w:jc w:val="center"/>
            </w:pPr>
            <w:r>
              <w:rPr>
                <w:b w:val="0"/>
                <w:sz w:val="20"/>
              </w:rPr>
              <w:t>0.783</w:t>
            </w:r>
          </w:p>
        </w:tc>
        <w:tc>
          <w:tcPr>
            <w:tcW w:type="dxa" w:w="1824"/>
            <w:shd w:val="clear" w:color="auto" w:fill="E8F2FB"/>
          </w:tcPr>
          <w:p>
            <w:pPr>
              <w:jc w:val="center"/>
            </w:pPr>
            <w:r>
              <w:rPr>
                <w:b w:val="0"/>
                <w:sz w:val="20"/>
              </w:rPr>
              <w:t>0.441</w:t>
            </w:r>
          </w:p>
        </w:tc>
      </w:tr>
      <w:tr>
        <w:tc>
          <w:tcPr>
            <w:tcW w:type="dxa" w:w="1824"/>
            <w:shd w:val="clear" w:color="auto" w:fill="FFFFFF"/>
          </w:tcPr>
          <w:p>
            <w:pPr>
              <w:jc w:val="center"/>
            </w:pPr>
            <w:r>
              <w:rPr>
                <w:b w:val="0"/>
                <w:sz w:val="20"/>
              </w:rPr>
              <w:t>Car</w:t>
            </w:r>
          </w:p>
        </w:tc>
        <w:tc>
          <w:tcPr>
            <w:tcW w:type="dxa" w:w="1824"/>
            <w:shd w:val="clear" w:color="auto" w:fill="FFFFFF"/>
          </w:tcPr>
          <w:p>
            <w:pPr>
              <w:jc w:val="center"/>
            </w:pPr>
            <w:r>
              <w:rPr>
                <w:b w:val="0"/>
                <w:sz w:val="20"/>
              </w:rPr>
              <w:t>0.912</w:t>
            </w:r>
          </w:p>
        </w:tc>
        <w:tc>
          <w:tcPr>
            <w:tcW w:type="dxa" w:w="1824"/>
            <w:shd w:val="clear" w:color="auto" w:fill="FFFFFF"/>
          </w:tcPr>
          <w:p>
            <w:pPr>
              <w:jc w:val="center"/>
            </w:pPr>
            <w:r>
              <w:rPr>
                <w:b w:val="0"/>
                <w:sz w:val="20"/>
              </w:rPr>
              <w:t>0.873</w:t>
            </w:r>
          </w:p>
        </w:tc>
        <w:tc>
          <w:tcPr>
            <w:tcW w:type="dxa" w:w="1824"/>
            <w:shd w:val="clear" w:color="auto" w:fill="FFFFFF"/>
          </w:tcPr>
          <w:p>
            <w:pPr>
              <w:jc w:val="center"/>
            </w:pPr>
            <w:r>
              <w:rPr>
                <w:b w:val="0"/>
                <w:sz w:val="20"/>
              </w:rPr>
              <w:t>0.891</w:t>
            </w:r>
          </w:p>
        </w:tc>
        <w:tc>
          <w:tcPr>
            <w:tcW w:type="dxa" w:w="1824"/>
            <w:shd w:val="clear" w:color="auto" w:fill="FFFFFF"/>
          </w:tcPr>
          <w:p>
            <w:pPr>
              <w:jc w:val="center"/>
            </w:pPr>
            <w:r>
              <w:rPr>
                <w:b w:val="0"/>
                <w:sz w:val="20"/>
              </w:rPr>
              <w:t>0.573</w:t>
            </w:r>
          </w:p>
        </w:tc>
      </w:tr>
      <w:tr>
        <w:tc>
          <w:tcPr>
            <w:tcW w:type="dxa" w:w="1824"/>
            <w:shd w:val="clear" w:color="auto" w:fill="E8F2FB"/>
          </w:tcPr>
          <w:p>
            <w:pPr>
              <w:jc w:val="center"/>
            </w:pPr>
            <w:r>
              <w:rPr>
                <w:b w:val="0"/>
                <w:sz w:val="20"/>
              </w:rPr>
              <w:t>Bicycle</w:t>
            </w:r>
          </w:p>
        </w:tc>
        <w:tc>
          <w:tcPr>
            <w:tcW w:type="dxa" w:w="1824"/>
            <w:shd w:val="clear" w:color="auto" w:fill="E8F2FB"/>
          </w:tcPr>
          <w:p>
            <w:pPr>
              <w:jc w:val="center"/>
            </w:pPr>
            <w:r>
              <w:rPr>
                <w:b w:val="0"/>
                <w:sz w:val="20"/>
              </w:rPr>
              <w:t>0.731</w:t>
            </w:r>
          </w:p>
        </w:tc>
        <w:tc>
          <w:tcPr>
            <w:tcW w:type="dxa" w:w="1824"/>
            <w:shd w:val="clear" w:color="auto" w:fill="E8F2FB"/>
          </w:tcPr>
          <w:p>
            <w:pPr>
              <w:jc w:val="center"/>
            </w:pPr>
            <w:r>
              <w:rPr>
                <w:b w:val="0"/>
                <w:sz w:val="20"/>
              </w:rPr>
              <w:t>0.694</w:t>
            </w:r>
          </w:p>
        </w:tc>
        <w:tc>
          <w:tcPr>
            <w:tcW w:type="dxa" w:w="1824"/>
            <w:shd w:val="clear" w:color="auto" w:fill="E8F2FB"/>
          </w:tcPr>
          <w:p>
            <w:pPr>
              <w:jc w:val="center"/>
            </w:pPr>
            <w:r>
              <w:rPr>
                <w:b w:val="0"/>
                <w:sz w:val="20"/>
              </w:rPr>
              <w:t>0.712</w:t>
            </w:r>
          </w:p>
        </w:tc>
        <w:tc>
          <w:tcPr>
            <w:tcW w:type="dxa" w:w="1824"/>
            <w:shd w:val="clear" w:color="auto" w:fill="E8F2FB"/>
          </w:tcPr>
          <w:p>
            <w:pPr>
              <w:jc w:val="center"/>
            </w:pPr>
            <w:r>
              <w:rPr>
                <w:b w:val="0"/>
                <w:sz w:val="20"/>
              </w:rPr>
              <w:t>0.398</w:t>
            </w:r>
          </w:p>
        </w:tc>
      </w:tr>
      <w:tr>
        <w:tc>
          <w:tcPr>
            <w:tcW w:type="dxa" w:w="1824"/>
            <w:shd w:val="clear" w:color="auto" w:fill="FFFFFF"/>
          </w:tcPr>
          <w:p>
            <w:pPr>
              <w:jc w:val="center"/>
            </w:pPr>
            <w:r>
              <w:rPr>
                <w:b w:val="0"/>
                <w:sz w:val="20"/>
              </w:rPr>
              <w:t>Motorcycle</w:t>
            </w:r>
          </w:p>
        </w:tc>
        <w:tc>
          <w:tcPr>
            <w:tcW w:type="dxa" w:w="1824"/>
            <w:shd w:val="clear" w:color="auto" w:fill="FFFFFF"/>
          </w:tcPr>
          <w:p>
            <w:pPr>
              <w:jc w:val="center"/>
            </w:pPr>
            <w:r>
              <w:rPr>
                <w:b w:val="0"/>
                <w:sz w:val="20"/>
              </w:rPr>
              <w:t>0.715</w:t>
            </w:r>
          </w:p>
        </w:tc>
        <w:tc>
          <w:tcPr>
            <w:tcW w:type="dxa" w:w="1824"/>
            <w:shd w:val="clear" w:color="auto" w:fill="FFFFFF"/>
          </w:tcPr>
          <w:p>
            <w:pPr>
              <w:jc w:val="center"/>
            </w:pPr>
            <w:r>
              <w:rPr>
                <w:b w:val="0"/>
                <w:sz w:val="20"/>
              </w:rPr>
              <w:t>0.682</w:t>
            </w:r>
          </w:p>
        </w:tc>
        <w:tc>
          <w:tcPr>
            <w:tcW w:type="dxa" w:w="1824"/>
            <w:shd w:val="clear" w:color="auto" w:fill="FFFFFF"/>
          </w:tcPr>
          <w:p>
            <w:pPr>
              <w:jc w:val="center"/>
            </w:pPr>
            <w:r>
              <w:rPr>
                <w:b w:val="0"/>
                <w:sz w:val="20"/>
              </w:rPr>
              <w:t>0.698</w:t>
            </w:r>
          </w:p>
        </w:tc>
        <w:tc>
          <w:tcPr>
            <w:tcW w:type="dxa" w:w="1824"/>
            <w:shd w:val="clear" w:color="auto" w:fill="FFFFFF"/>
          </w:tcPr>
          <w:p>
            <w:pPr>
              <w:jc w:val="center"/>
            </w:pPr>
            <w:r>
              <w:rPr>
                <w:b w:val="0"/>
                <w:sz w:val="20"/>
              </w:rPr>
              <w:t>0.381</w:t>
            </w:r>
          </w:p>
        </w:tc>
      </w:tr>
      <w:tr>
        <w:tc>
          <w:tcPr>
            <w:tcW w:type="dxa" w:w="1824"/>
            <w:shd w:val="clear" w:color="auto" w:fill="E8F2FB"/>
          </w:tcPr>
          <w:p>
            <w:pPr>
              <w:jc w:val="center"/>
            </w:pPr>
            <w:r>
              <w:rPr>
                <w:b w:val="0"/>
                <w:sz w:val="20"/>
              </w:rPr>
              <w:t>Overall (mAP)</w:t>
            </w:r>
          </w:p>
        </w:tc>
        <w:tc>
          <w:tcPr>
            <w:tcW w:type="dxa" w:w="1824"/>
            <w:shd w:val="clear" w:color="auto" w:fill="E8F2FB"/>
          </w:tcPr>
          <w:p>
            <w:pPr>
              <w:jc w:val="center"/>
            </w:pPr>
            <w:r>
              <w:rPr>
                <w:b w:val="0"/>
                <w:sz w:val="20"/>
              </w:rPr>
              <w:t>0.790</w:t>
            </w:r>
          </w:p>
        </w:tc>
        <w:tc>
          <w:tcPr>
            <w:tcW w:type="dxa" w:w="1824"/>
            <w:shd w:val="clear" w:color="auto" w:fill="E8F2FB"/>
          </w:tcPr>
          <w:p>
            <w:pPr>
              <w:jc w:val="center"/>
            </w:pPr>
            <w:r>
              <w:rPr>
                <w:b w:val="0"/>
                <w:sz w:val="20"/>
              </w:rPr>
              <w:t>0.754</w:t>
            </w:r>
          </w:p>
        </w:tc>
        <w:tc>
          <w:tcPr>
            <w:tcW w:type="dxa" w:w="1824"/>
            <w:shd w:val="clear" w:color="auto" w:fill="E8F2FB"/>
          </w:tcPr>
          <w:p>
            <w:pPr>
              <w:jc w:val="center"/>
            </w:pPr>
            <w:r>
              <w:rPr>
                <w:b w:val="0"/>
                <w:sz w:val="20"/>
              </w:rPr>
              <w:t>0.771</w:t>
            </w:r>
          </w:p>
        </w:tc>
        <w:tc>
          <w:tcPr>
            <w:tcW w:type="dxa" w:w="1824"/>
            <w:shd w:val="clear" w:color="auto" w:fill="E8F2FB"/>
          </w:tcPr>
          <w:p>
            <w:pPr>
              <w:jc w:val="center"/>
            </w:pPr>
            <w:r>
              <w:rPr>
                <w:b w:val="0"/>
                <w:sz w:val="20"/>
              </w:rPr>
              <w:t>0.448</w:t>
            </w:r>
          </w:p>
        </w:tc>
      </w:tr>
    </w:tbl>
    <w:p>
      <w:pPr>
        <w:jc w:val="center"/>
      </w:pPr>
      <w:r>
        <w:rPr>
          <w:i/>
        </w:rPr>
        <w:t>Table 2: YOLOv8 Detection Results on BDD100K Validation Set</w:t>
      </w:r>
    </w:p>
    <w:p>
      <w:pPr>
        <w:jc w:val="center"/>
      </w:pPr>
      <w:r>
        <w:drawing>
          <wp:inline xmlns:a="http://schemas.openxmlformats.org/drawingml/2006/main" xmlns:pic="http://schemas.openxmlformats.org/drawingml/2006/picture">
            <wp:extent cx="5669280" cy="18463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846329"/>
                    </a:xfrm>
                    <a:prstGeom prst="rect"/>
                  </pic:spPr>
                </pic:pic>
              </a:graphicData>
            </a:graphic>
          </wp:inline>
        </w:drawing>
      </w:r>
    </w:p>
    <w:p>
      <w:pPr>
        <w:jc w:val="center"/>
      </w:pPr>
      <w:r>
        <w:rPr>
          <w:i/>
          <w:color w:val="505050"/>
          <w:sz w:val="20"/>
        </w:rPr>
        <w:t>Figure 3: (Left) mAP by class. (Right) Training loss convergence over 30 epochs on Tesla T4.</w:t>
      </w:r>
    </w:p>
    <w:p>
      <w:pPr>
        <w:pStyle w:val="Heading2"/>
        <w:jc w:val="left"/>
      </w:pPr>
      <w:r>
        <w:rPr>
          <w:color w:val="004080"/>
        </w:rPr>
        <w:t>6.2  Vehicle Dynamics Validation</w:t>
      </w:r>
    </w:p>
    <w:p>
      <w:pPr>
        <w:jc w:val="both"/>
      </w:pPr>
      <w:r>
        <w:rPr>
          <w:b w:val="0"/>
          <w:i w:val="0"/>
          <w:sz w:val="22"/>
        </w:rPr>
        <w:t>The braking simulation was validated against published engineering reference ranges (Rajamani, 2012; NHTSA Test Data). Table 3 shows stopping distances across six test conditions. All results fall within the reference ranges, confirming the physics model accuracy. The kinematic formula (Eq. 1) underestimates stopping distance by 15 to 30% across all surfaces, demonstrating the necessity of the physics-based approach. Figure 4 shows the surface comparison plots.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04080"/>
          </w:tcPr>
          <w:p>
            <w:pPr>
              <w:jc w:val="center"/>
            </w:pPr>
            <w:r>
              <w:rPr>
                <w:b/>
                <w:color w:val="FFFFFF"/>
                <w:sz w:val="20"/>
              </w:rPr>
              <w:t>Speed (km/h)</w:t>
            </w:r>
          </w:p>
        </w:tc>
        <w:tc>
          <w:tcPr>
            <w:tcW w:type="dxa" w:w="1824"/>
            <w:shd w:val="clear" w:color="auto" w:fill="004080"/>
          </w:tcPr>
          <w:p>
            <w:pPr>
              <w:jc w:val="center"/>
            </w:pPr>
            <w:r>
              <w:rPr>
                <w:b/>
                <w:color w:val="FFFFFF"/>
                <w:sz w:val="20"/>
              </w:rPr>
              <w:t>Surface</w:t>
            </w:r>
          </w:p>
        </w:tc>
        <w:tc>
          <w:tcPr>
            <w:tcW w:type="dxa" w:w="1824"/>
            <w:shd w:val="clear" w:color="auto" w:fill="004080"/>
          </w:tcPr>
          <w:p>
            <w:pPr>
              <w:jc w:val="center"/>
            </w:pPr>
            <w:r>
              <w:rPr>
                <w:b/>
                <w:color w:val="FFFFFF"/>
                <w:sz w:val="20"/>
              </w:rPr>
              <w:t>Grade</w:t>
            </w:r>
          </w:p>
        </w:tc>
        <w:tc>
          <w:tcPr>
            <w:tcW w:type="dxa" w:w="1824"/>
            <w:shd w:val="clear" w:color="auto" w:fill="004080"/>
          </w:tcPr>
          <w:p>
            <w:pPr>
              <w:jc w:val="center"/>
            </w:pPr>
            <w:r>
              <w:rPr>
                <w:b/>
                <w:color w:val="FFFFFF"/>
                <w:sz w:val="20"/>
              </w:rPr>
              <w:t>Simulated (m)</w:t>
            </w:r>
          </w:p>
        </w:tc>
        <w:tc>
          <w:tcPr>
            <w:tcW w:type="dxa" w:w="1824"/>
            <w:shd w:val="clear" w:color="auto" w:fill="004080"/>
          </w:tcPr>
          <w:p>
            <w:pPr>
              <w:jc w:val="center"/>
            </w:pPr>
            <w:r>
              <w:rPr>
                <w:b/>
                <w:color w:val="FFFFFF"/>
                <w:sz w:val="20"/>
              </w:rPr>
              <w:t>Reference (m)</w:t>
            </w:r>
          </w:p>
        </w:tc>
      </w:tr>
      <w:tr>
        <w:tc>
          <w:tcPr>
            <w:tcW w:type="dxa" w:w="1824"/>
            <w:shd w:val="clear" w:color="auto" w:fill="E8F2FB"/>
          </w:tcPr>
          <w:p>
            <w:pPr>
              <w:jc w:val="center"/>
            </w:pPr>
            <w:r>
              <w:rPr>
                <w:b w:val="0"/>
                <w:sz w:val="20"/>
              </w:rPr>
              <w:t>50</w:t>
            </w:r>
          </w:p>
        </w:tc>
        <w:tc>
          <w:tcPr>
            <w:tcW w:type="dxa" w:w="1824"/>
            <w:shd w:val="clear" w:color="auto" w:fill="E8F2FB"/>
          </w:tcPr>
          <w:p>
            <w:pPr>
              <w:jc w:val="center"/>
            </w:pPr>
            <w:r>
              <w:rPr>
                <w:b w:val="0"/>
                <w:sz w:val="20"/>
              </w:rPr>
              <w:t>Dry</w:t>
            </w:r>
          </w:p>
        </w:tc>
        <w:tc>
          <w:tcPr>
            <w:tcW w:type="dxa" w:w="1824"/>
            <w:shd w:val="clear" w:color="auto" w:fill="E8F2FB"/>
          </w:tcPr>
          <w:p>
            <w:pPr>
              <w:jc w:val="center"/>
            </w:pPr>
            <w:r>
              <w:rPr>
                <w:b w:val="0"/>
                <w:sz w:val="20"/>
              </w:rPr>
              <w:t>0</w:t>
            </w:r>
          </w:p>
        </w:tc>
        <w:tc>
          <w:tcPr>
            <w:tcW w:type="dxa" w:w="1824"/>
            <w:shd w:val="clear" w:color="auto" w:fill="E8F2FB"/>
          </w:tcPr>
          <w:p>
            <w:pPr>
              <w:jc w:val="center"/>
            </w:pPr>
            <w:r>
              <w:rPr>
                <w:b w:val="0"/>
                <w:sz w:val="20"/>
              </w:rPr>
              <w:t>16.2</w:t>
            </w:r>
          </w:p>
        </w:tc>
        <w:tc>
          <w:tcPr>
            <w:tcW w:type="dxa" w:w="1824"/>
            <w:shd w:val="clear" w:color="auto" w:fill="E8F2FB"/>
          </w:tcPr>
          <w:p>
            <w:pPr>
              <w:jc w:val="center"/>
            </w:pPr>
            <w:r>
              <w:rPr>
                <w:b w:val="0"/>
                <w:sz w:val="20"/>
              </w:rPr>
              <w:t>13-22 ✓</w:t>
            </w:r>
          </w:p>
        </w:tc>
      </w:tr>
      <w:tr>
        <w:tc>
          <w:tcPr>
            <w:tcW w:type="dxa" w:w="1824"/>
            <w:shd w:val="clear" w:color="auto" w:fill="FFFFFF"/>
          </w:tcPr>
          <w:p>
            <w:pPr>
              <w:jc w:val="center"/>
            </w:pPr>
            <w:r>
              <w:rPr>
                <w:b w:val="0"/>
                <w:sz w:val="20"/>
              </w:rPr>
              <w:t>100</w:t>
            </w:r>
          </w:p>
        </w:tc>
        <w:tc>
          <w:tcPr>
            <w:tcW w:type="dxa" w:w="1824"/>
            <w:shd w:val="clear" w:color="auto" w:fill="FFFFFF"/>
          </w:tcPr>
          <w:p>
            <w:pPr>
              <w:jc w:val="center"/>
            </w:pPr>
            <w:r>
              <w:rPr>
                <w:b w:val="0"/>
                <w:sz w:val="20"/>
              </w:rPr>
              <w:t>Dry</w:t>
            </w:r>
          </w:p>
        </w:tc>
        <w:tc>
          <w:tcPr>
            <w:tcW w:type="dxa" w:w="1824"/>
            <w:shd w:val="clear" w:color="auto" w:fill="FFFFFF"/>
          </w:tcPr>
          <w:p>
            <w:pPr>
              <w:jc w:val="center"/>
            </w:pPr>
            <w:r>
              <w:rPr>
                <w:b w:val="0"/>
                <w:sz w:val="20"/>
              </w:rPr>
              <w:t>0</w:t>
            </w:r>
          </w:p>
        </w:tc>
        <w:tc>
          <w:tcPr>
            <w:tcW w:type="dxa" w:w="1824"/>
            <w:shd w:val="clear" w:color="auto" w:fill="FFFFFF"/>
          </w:tcPr>
          <w:p>
            <w:pPr>
              <w:jc w:val="center"/>
            </w:pPr>
            <w:r>
              <w:rPr>
                <w:b w:val="0"/>
                <w:sz w:val="20"/>
              </w:rPr>
              <w:t>57.8</w:t>
            </w:r>
          </w:p>
        </w:tc>
        <w:tc>
          <w:tcPr>
            <w:tcW w:type="dxa" w:w="1824"/>
            <w:shd w:val="clear" w:color="auto" w:fill="FFFFFF"/>
          </w:tcPr>
          <w:p>
            <w:pPr>
              <w:jc w:val="center"/>
            </w:pPr>
            <w:r>
              <w:rPr>
                <w:b w:val="0"/>
                <w:sz w:val="20"/>
              </w:rPr>
              <w:t>45-75 ✓</w:t>
            </w:r>
          </w:p>
        </w:tc>
      </w:tr>
      <w:tr>
        <w:tc>
          <w:tcPr>
            <w:tcW w:type="dxa" w:w="1824"/>
            <w:shd w:val="clear" w:color="auto" w:fill="E8F2FB"/>
          </w:tcPr>
          <w:p>
            <w:pPr>
              <w:jc w:val="center"/>
            </w:pPr>
            <w:r>
              <w:rPr>
                <w:b w:val="0"/>
                <w:sz w:val="20"/>
              </w:rPr>
              <w:t>50</w:t>
            </w:r>
          </w:p>
        </w:tc>
        <w:tc>
          <w:tcPr>
            <w:tcW w:type="dxa" w:w="1824"/>
            <w:shd w:val="clear" w:color="auto" w:fill="E8F2FB"/>
          </w:tcPr>
          <w:p>
            <w:pPr>
              <w:jc w:val="center"/>
            </w:pPr>
            <w:r>
              <w:rPr>
                <w:b w:val="0"/>
                <w:sz w:val="20"/>
              </w:rPr>
              <w:t>Wet</w:t>
            </w:r>
          </w:p>
        </w:tc>
        <w:tc>
          <w:tcPr>
            <w:tcW w:type="dxa" w:w="1824"/>
            <w:shd w:val="clear" w:color="auto" w:fill="E8F2FB"/>
          </w:tcPr>
          <w:p>
            <w:pPr>
              <w:jc w:val="center"/>
            </w:pPr>
            <w:r>
              <w:rPr>
                <w:b w:val="0"/>
                <w:sz w:val="20"/>
              </w:rPr>
              <w:t>0</w:t>
            </w:r>
          </w:p>
        </w:tc>
        <w:tc>
          <w:tcPr>
            <w:tcW w:type="dxa" w:w="1824"/>
            <w:shd w:val="clear" w:color="auto" w:fill="E8F2FB"/>
          </w:tcPr>
          <w:p>
            <w:pPr>
              <w:jc w:val="center"/>
            </w:pPr>
            <w:r>
              <w:rPr>
                <w:b w:val="0"/>
                <w:sz w:val="20"/>
              </w:rPr>
              <w:t>27.1</w:t>
            </w:r>
          </w:p>
        </w:tc>
        <w:tc>
          <w:tcPr>
            <w:tcW w:type="dxa" w:w="1824"/>
            <w:shd w:val="clear" w:color="auto" w:fill="E8F2FB"/>
          </w:tcPr>
          <w:p>
            <w:pPr>
              <w:jc w:val="center"/>
            </w:pPr>
            <w:r>
              <w:rPr>
                <w:b w:val="0"/>
                <w:sz w:val="20"/>
              </w:rPr>
              <w:t>20-40 ✓</w:t>
            </w:r>
          </w:p>
        </w:tc>
      </w:tr>
      <w:tr>
        <w:tc>
          <w:tcPr>
            <w:tcW w:type="dxa" w:w="1824"/>
            <w:shd w:val="clear" w:color="auto" w:fill="FFFFFF"/>
          </w:tcPr>
          <w:p>
            <w:pPr>
              <w:jc w:val="center"/>
            </w:pPr>
            <w:r>
              <w:rPr>
                <w:b w:val="0"/>
                <w:sz w:val="20"/>
              </w:rPr>
              <w:t>50</w:t>
            </w:r>
          </w:p>
        </w:tc>
        <w:tc>
          <w:tcPr>
            <w:tcW w:type="dxa" w:w="1824"/>
            <w:shd w:val="clear" w:color="auto" w:fill="FFFFFF"/>
          </w:tcPr>
          <w:p>
            <w:pPr>
              <w:jc w:val="center"/>
            </w:pPr>
            <w:r>
              <w:rPr>
                <w:b w:val="0"/>
                <w:sz w:val="20"/>
              </w:rPr>
              <w:t>Ice</w:t>
            </w:r>
          </w:p>
        </w:tc>
        <w:tc>
          <w:tcPr>
            <w:tcW w:type="dxa" w:w="1824"/>
            <w:shd w:val="clear" w:color="auto" w:fill="FFFFFF"/>
          </w:tcPr>
          <w:p>
            <w:pPr>
              <w:jc w:val="center"/>
            </w:pPr>
            <w:r>
              <w:rPr>
                <w:b w:val="0"/>
                <w:sz w:val="20"/>
              </w:rPr>
              <w:t>0</w:t>
            </w:r>
          </w:p>
        </w:tc>
        <w:tc>
          <w:tcPr>
            <w:tcW w:type="dxa" w:w="1824"/>
            <w:shd w:val="clear" w:color="auto" w:fill="FFFFFF"/>
          </w:tcPr>
          <w:p>
            <w:pPr>
              <w:jc w:val="center"/>
            </w:pPr>
            <w:r>
              <w:rPr>
                <w:b w:val="0"/>
                <w:sz w:val="20"/>
              </w:rPr>
              <w:t>145.3</w:t>
            </w:r>
          </w:p>
        </w:tc>
        <w:tc>
          <w:tcPr>
            <w:tcW w:type="dxa" w:w="1824"/>
            <w:shd w:val="clear" w:color="auto" w:fill="FFFFFF"/>
          </w:tcPr>
          <w:p>
            <w:pPr>
              <w:jc w:val="center"/>
            </w:pPr>
            <w:r>
              <w:rPr>
                <w:b w:val="0"/>
                <w:sz w:val="20"/>
              </w:rPr>
              <w:t>60-150 ✓</w:t>
            </w:r>
          </w:p>
        </w:tc>
      </w:tr>
      <w:tr>
        <w:tc>
          <w:tcPr>
            <w:tcW w:type="dxa" w:w="1824"/>
            <w:shd w:val="clear" w:color="auto" w:fill="E8F2FB"/>
          </w:tcPr>
          <w:p>
            <w:pPr>
              <w:jc w:val="center"/>
            </w:pPr>
            <w:r>
              <w:rPr>
                <w:b w:val="0"/>
                <w:sz w:val="20"/>
              </w:rPr>
              <w:t>50</w:t>
            </w:r>
          </w:p>
        </w:tc>
        <w:tc>
          <w:tcPr>
            <w:tcW w:type="dxa" w:w="1824"/>
            <w:shd w:val="clear" w:color="auto" w:fill="E8F2FB"/>
          </w:tcPr>
          <w:p>
            <w:pPr>
              <w:jc w:val="center"/>
            </w:pPr>
            <w:r>
              <w:rPr>
                <w:b w:val="0"/>
                <w:sz w:val="20"/>
              </w:rPr>
              <w:t>Dry</w:t>
            </w:r>
          </w:p>
        </w:tc>
        <w:tc>
          <w:tcPr>
            <w:tcW w:type="dxa" w:w="1824"/>
            <w:shd w:val="clear" w:color="auto" w:fill="E8F2FB"/>
          </w:tcPr>
          <w:p>
            <w:pPr>
              <w:jc w:val="center"/>
            </w:pPr>
            <w:r>
              <w:rPr>
                <w:b w:val="0"/>
                <w:sz w:val="20"/>
              </w:rPr>
              <w:t>+5</w:t>
            </w:r>
          </w:p>
        </w:tc>
        <w:tc>
          <w:tcPr>
            <w:tcW w:type="dxa" w:w="1824"/>
            <w:shd w:val="clear" w:color="auto" w:fill="E8F2FB"/>
          </w:tcPr>
          <w:p>
            <w:pPr>
              <w:jc w:val="center"/>
            </w:pPr>
            <w:r>
              <w:rPr>
                <w:b w:val="0"/>
                <w:sz w:val="20"/>
              </w:rPr>
              <w:t>14.8</w:t>
            </w:r>
          </w:p>
        </w:tc>
        <w:tc>
          <w:tcPr>
            <w:tcW w:type="dxa" w:w="1824"/>
            <w:shd w:val="clear" w:color="auto" w:fill="E8F2FB"/>
          </w:tcPr>
          <w:p>
            <w:pPr>
              <w:jc w:val="center"/>
            </w:pPr>
            <w:r>
              <w:rPr>
                <w:b w:val="0"/>
                <w:sz w:val="20"/>
              </w:rPr>
              <w:t>13-25 ✓</w:t>
            </w:r>
          </w:p>
        </w:tc>
      </w:tr>
      <w:tr>
        <w:tc>
          <w:tcPr>
            <w:tcW w:type="dxa" w:w="1824"/>
            <w:shd w:val="clear" w:color="auto" w:fill="FFFFFF"/>
          </w:tcPr>
          <w:p>
            <w:pPr>
              <w:jc w:val="center"/>
            </w:pPr>
            <w:r>
              <w:rPr>
                <w:b w:val="0"/>
                <w:sz w:val="20"/>
              </w:rPr>
              <w:t>50</w:t>
            </w:r>
          </w:p>
        </w:tc>
        <w:tc>
          <w:tcPr>
            <w:tcW w:type="dxa" w:w="1824"/>
            <w:shd w:val="clear" w:color="auto" w:fill="FFFFFF"/>
          </w:tcPr>
          <w:p>
            <w:pPr>
              <w:jc w:val="center"/>
            </w:pPr>
            <w:r>
              <w:rPr>
                <w:b w:val="0"/>
                <w:sz w:val="20"/>
              </w:rPr>
              <w:t>Dry</w:t>
            </w:r>
          </w:p>
        </w:tc>
        <w:tc>
          <w:tcPr>
            <w:tcW w:type="dxa" w:w="1824"/>
            <w:shd w:val="clear" w:color="auto" w:fill="FFFFFF"/>
          </w:tcPr>
          <w:p>
            <w:pPr>
              <w:jc w:val="center"/>
            </w:pPr>
            <w:r>
              <w:rPr>
                <w:b w:val="0"/>
                <w:sz w:val="20"/>
              </w:rPr>
              <w:t>-5</w:t>
            </w:r>
          </w:p>
        </w:tc>
        <w:tc>
          <w:tcPr>
            <w:tcW w:type="dxa" w:w="1824"/>
            <w:shd w:val="clear" w:color="auto" w:fill="FFFFFF"/>
          </w:tcPr>
          <w:p>
            <w:pPr>
              <w:jc w:val="center"/>
            </w:pPr>
            <w:r>
              <w:rPr>
                <w:b w:val="0"/>
                <w:sz w:val="20"/>
              </w:rPr>
              <w:t>19.7</w:t>
            </w:r>
          </w:p>
        </w:tc>
        <w:tc>
          <w:tcPr>
            <w:tcW w:type="dxa" w:w="1824"/>
            <w:shd w:val="clear" w:color="auto" w:fill="FFFFFF"/>
          </w:tcPr>
          <w:p>
            <w:pPr>
              <w:jc w:val="center"/>
            </w:pPr>
            <w:r>
              <w:rPr>
                <w:b w:val="0"/>
                <w:sz w:val="20"/>
              </w:rPr>
              <w:t>15-30 ✓</w:t>
            </w:r>
          </w:p>
        </w:tc>
      </w:tr>
    </w:tbl>
    <w:p>
      <w:pPr>
        <w:jc w:val="center"/>
      </w:pPr>
      <w:r>
        <w:rPr>
          <w:i/>
        </w:rPr>
        <w:t>Table 3: Stopping Distance Validation Results</w:t>
      </w:r>
    </w:p>
    <w:p>
      <w:pPr>
        <w:jc w:val="center"/>
      </w:pPr>
      <w:r>
        <w:drawing>
          <wp:inline xmlns:a="http://schemas.openxmlformats.org/drawingml/2006/main" xmlns:pic="http://schemas.openxmlformats.org/drawingml/2006/picture">
            <wp:extent cx="5669280" cy="27798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779811"/>
                    </a:xfrm>
                    <a:prstGeom prst="rect"/>
                  </pic:spPr>
                </pic:pic>
              </a:graphicData>
            </a:graphic>
          </wp:inline>
        </w:drawing>
      </w:r>
    </w:p>
    <w:p>
      <w:pPr>
        <w:jc w:val="center"/>
      </w:pPr>
      <w:r>
        <w:rPr>
          <w:i/>
          <w:color w:val="505050"/>
          <w:sz w:val="20"/>
        </w:rPr>
        <w:t>Figure 4: Braking distance vs road surface at 50 km/h and 100 km/h.</w:t>
      </w:r>
    </w:p>
    <w:p>
      <w:pPr>
        <w:pStyle w:val="Heading2"/>
        <w:jc w:val="left"/>
      </w:pPr>
      <w:r>
        <w:rPr>
          <w:color w:val="004080"/>
        </w:rPr>
        <w:t>6.3  Brake Thermodynamics Results</w:t>
      </w:r>
    </w:p>
    <w:p>
      <w:pPr>
        <w:jc w:val="both"/>
      </w:pPr>
      <w:r>
        <w:rPr>
          <w:b w:val="0"/>
          <w:i w:val="0"/>
          <w:sz w:val="22"/>
        </w:rPr>
        <w:t>Figure 5 shows rotor temperature evolution over six consecutive 80 km/h panic stops. The rotor reaches 312 degrees C after the third stop, entering the brake fade regime. After six stops, peak temperature reaches 428 degrees C, corresponding to a friction multiplier of 0.72 - a 28% reduction from baseline - and an AEB TTC penalty (Eq. 14) of 0.19 s. With a 10-minute cooling period at 80 km/h, temperature returns to below 150 degrees C. This demonstrates the importance of thermal compensation in AEB systems used in heavy-traffic urban scenarios where repeated hard braking is routine.</w:t>
      </w:r>
    </w:p>
    <w:p>
      <w:pPr>
        <w:jc w:val="center"/>
      </w:pPr>
      <w:r>
        <w:drawing>
          <wp:inline xmlns:a="http://schemas.openxmlformats.org/drawingml/2006/main" xmlns:pic="http://schemas.openxmlformats.org/drawingml/2006/picture">
            <wp:extent cx="5669280" cy="18473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847365"/>
                    </a:xfrm>
                    <a:prstGeom prst="rect"/>
                  </pic:spPr>
                </pic:pic>
              </a:graphicData>
            </a:graphic>
          </wp:inline>
        </w:drawing>
      </w:r>
    </w:p>
    <w:p>
      <w:pPr>
        <w:jc w:val="center"/>
      </w:pPr>
      <w:r>
        <w:rPr>
          <w:i/>
          <w:color w:val="505050"/>
          <w:sz w:val="20"/>
        </w:rPr>
        <w:t>Figure 5: (Left) Rotor temperature for 6 consecutive panic stops at 80 km/h. (Right) Friction multiplier and AEB TTC penalty vs temperature.</w:t>
      </w:r>
    </w:p>
    <w:p>
      <w:pPr>
        <w:pStyle w:val="Heading2"/>
        <w:jc w:val="left"/>
      </w:pPr>
      <w:r>
        <w:rPr>
          <w:color w:val="004080"/>
        </w:rPr>
        <w:t>6.4  Adaptive AEB Threshold Performance</w:t>
      </w:r>
    </w:p>
    <w:p>
      <w:pPr>
        <w:jc w:val="both"/>
      </w:pPr>
      <w:r>
        <w:rPr>
          <w:b w:val="0"/>
          <w:i w:val="0"/>
          <w:sz w:val="22"/>
        </w:rPr>
        <w:t>Figure 6 shows the decomposition of the effective AEB threshold (Eq. 16) across seven representative operating conditions. In the baseline Clear/Dry scenario, the threshold is 1.5 s. Under Fog, Drowsy Driver, and Faded Brakes simultaneously - the worst-case scenario - it rises to 3.5 s, representing a 133% increase. This larger trigger window ensures the system has sufficient time to slow the vehicle even with significantly degraded braking performance and increased driver reaction time. The decomposition confirms that each component contributes independently and additively, enabling clear interpretability of every AEB decision.</w:t>
      </w:r>
    </w:p>
    <w:p>
      <w:pPr>
        <w:jc w:val="center"/>
      </w:pPr>
      <w:r>
        <w:drawing>
          <wp:inline xmlns:a="http://schemas.openxmlformats.org/drawingml/2006/main" xmlns:pic="http://schemas.openxmlformats.org/drawingml/2006/picture">
            <wp:extent cx="5669280" cy="193687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1936877"/>
                    </a:xfrm>
                    <a:prstGeom prst="rect"/>
                  </pic:spPr>
                </pic:pic>
              </a:graphicData>
            </a:graphic>
          </wp:inline>
        </w:drawing>
      </w:r>
    </w:p>
    <w:p>
      <w:pPr>
        <w:jc w:val="center"/>
      </w:pPr>
      <w:r>
        <w:rPr>
          <w:i/>
          <w:color w:val="505050"/>
          <w:sz w:val="20"/>
        </w:rPr>
        <w:t>Figure 6: Adaptive AEB TTC threshold decomposition across 7 representative operating conditions.</w:t>
      </w:r>
    </w:p>
    <w:p>
      <w:pPr>
        <w:pStyle w:val="Heading2"/>
        <w:jc w:val="left"/>
      </w:pPr>
      <w:r>
        <w:rPr>
          <w:color w:val="004080"/>
        </w:rPr>
        <w:t>6.5  Biomechanical Impact Analysis</w:t>
      </w:r>
    </w:p>
    <w:p>
      <w:pPr>
        <w:jc w:val="both"/>
      </w:pPr>
      <w:r>
        <w:rPr>
          <w:b w:val="0"/>
          <w:i w:val="0"/>
          <w:sz w:val="22"/>
        </w:rPr>
        <w:t>Figure 7 shows HIC as a function of impact speed for an adult pedestrian (height 1.75 m, sedan vehicle). Key findings from the biomechanical analysis:</w:t>
      </w:r>
    </w:p>
    <w:p>
      <w:pPr>
        <w:pStyle w:val="ListBullet"/>
        <w:ind w:left="283"/>
      </w:pPr>
      <w:r>
        <w:rPr>
          <w:sz w:val="22"/>
        </w:rPr>
        <w:t>At 20 km/h: HIC ≈ 45 - AIS 1 (Minor). Survivable with low injury risk.</w:t>
      </w:r>
    </w:p>
    <w:p>
      <w:pPr>
        <w:pStyle w:val="ListBullet"/>
        <w:ind w:left="283"/>
      </w:pPr>
      <w:r>
        <w:rPr>
          <w:sz w:val="22"/>
        </w:rPr>
        <w:t>At 30 km/h: HIC ≈ 280 - AIS 2 (Moderate). Risk of soft-tissue injuries.</w:t>
      </w:r>
    </w:p>
    <w:p>
      <w:pPr>
        <w:pStyle w:val="ListBullet"/>
        <w:ind w:left="283"/>
      </w:pPr>
      <w:r>
        <w:rPr>
          <w:sz w:val="22"/>
        </w:rPr>
        <w:t>At 40 km/h: HIC ≈ 900 - AIS 3 (Serious). Significant head injury risk.</w:t>
      </w:r>
    </w:p>
    <w:p>
      <w:pPr>
        <w:pStyle w:val="ListBullet"/>
        <w:ind w:left="283"/>
      </w:pPr>
      <w:r>
        <w:rPr>
          <w:sz w:val="22"/>
        </w:rPr>
        <w:t>At 50 km/h: HIC ≈ 2,200 - AIS 5 (Critical). Life-threatening injury.</w:t>
      </w:r>
    </w:p>
    <w:p>
      <w:pPr>
        <w:pStyle w:val="ListBullet"/>
        <w:ind w:left="283"/>
      </w:pPr>
      <w:r>
        <w:rPr>
          <w:sz w:val="22"/>
        </w:rPr>
        <w:t>At 60 km/h: HIC ≈ 5,100 - AIS 6 (Fatal). Unsurvivable in most cases.</w:t>
      </w:r>
    </w:p>
    <w:p>
      <w:pPr>
        <w:pStyle w:val="ListBullet"/>
        <w:ind w:left="283"/>
      </w:pPr>
      <w:r>
        <w:rPr>
          <w:sz w:val="22"/>
        </w:rPr>
        <w:t>AEB partial braking from 50 km/h to 30 km/h reduces HIC from 2,200 to 280 - an 8x reduction, converting Critical (AIS 5) to Moderate (AIS 2).</w:t>
      </w:r>
    </w:p>
    <w:p>
      <w:pPr>
        <w:jc w:val="center"/>
      </w:pPr>
      <w:r>
        <w:drawing>
          <wp:inline xmlns:a="http://schemas.openxmlformats.org/drawingml/2006/main" xmlns:pic="http://schemas.openxmlformats.org/drawingml/2006/picture">
            <wp:extent cx="5669280" cy="18463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846329"/>
                    </a:xfrm>
                    <a:prstGeom prst="rect"/>
                  </pic:spPr>
                </pic:pic>
              </a:graphicData>
            </a:graphic>
          </wp:inline>
        </w:drawing>
      </w:r>
    </w:p>
    <w:p>
      <w:pPr>
        <w:jc w:val="center"/>
      </w:pPr>
      <w:r>
        <w:rPr>
          <w:i/>
          <w:color w:val="505050"/>
          <w:sz w:val="20"/>
        </w:rPr>
        <w:t>Figure 7: (Left) HIC vs impact speed with AIS severity zones. (Right) Residual impact speed after AEB braking at 40 m detection range.</w:t>
      </w:r>
    </w:p>
    <w:p>
      <w:pPr>
        <w:pStyle w:val="Heading2"/>
        <w:jc w:val="left"/>
      </w:pPr>
      <w:r>
        <w:rPr>
          <w:color w:val="004080"/>
        </w:rPr>
        <w:t>6.6  Euro NCAP Scenario Validation</w:t>
      </w:r>
    </w:p>
    <w:p>
      <w:pPr>
        <w:jc w:val="both"/>
      </w:pPr>
      <w:r>
        <w:rPr>
          <w:b w:val="0"/>
          <w:i w:val="0"/>
          <w:sz w:val="22"/>
        </w:rPr>
        <w:t>Table 4 shows AEB pass/fail results across all four Euro NCAP scenarios. The system achieves 100% pass rate at 20 to 30 km/h. Failures at higher speeds are consistent with the physical detection range limits of monocular camera systems. CPNC (child behind parked car, 20 m detection range) is the most challenging scenario, failing above 30 km/h - a known limitation shared by all monocular-camera AEB systems in the literature. LiDAR or stereo camera integration would substantially improve detection range and high-speed performance, which is identified as the primary future work direction.</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004080"/>
          </w:tcPr>
          <w:p>
            <w:pPr>
              <w:jc w:val="center"/>
            </w:pPr>
            <w:r>
              <w:rPr>
                <w:b/>
                <w:color w:val="FFFFFF"/>
                <w:sz w:val="20"/>
              </w:rPr>
              <w:t>Scenario</w:t>
            </w:r>
          </w:p>
        </w:tc>
        <w:tc>
          <w:tcPr>
            <w:tcW w:type="dxa" w:w="1520"/>
            <w:shd w:val="clear" w:color="auto" w:fill="004080"/>
          </w:tcPr>
          <w:p>
            <w:pPr>
              <w:jc w:val="center"/>
            </w:pPr>
            <w:r>
              <w:rPr>
                <w:b/>
                <w:color w:val="FFFFFF"/>
                <w:sz w:val="20"/>
              </w:rPr>
              <w:t>20 km/h</w:t>
            </w:r>
          </w:p>
        </w:tc>
        <w:tc>
          <w:tcPr>
            <w:tcW w:type="dxa" w:w="1520"/>
            <w:shd w:val="clear" w:color="auto" w:fill="004080"/>
          </w:tcPr>
          <w:p>
            <w:pPr>
              <w:jc w:val="center"/>
            </w:pPr>
            <w:r>
              <w:rPr>
                <w:b/>
                <w:color w:val="FFFFFF"/>
                <w:sz w:val="20"/>
              </w:rPr>
              <w:t>30 km/h</w:t>
            </w:r>
          </w:p>
        </w:tc>
        <w:tc>
          <w:tcPr>
            <w:tcW w:type="dxa" w:w="1520"/>
            <w:shd w:val="clear" w:color="auto" w:fill="004080"/>
          </w:tcPr>
          <w:p>
            <w:pPr>
              <w:jc w:val="center"/>
            </w:pPr>
            <w:r>
              <w:rPr>
                <w:b/>
                <w:color w:val="FFFFFF"/>
                <w:sz w:val="20"/>
              </w:rPr>
              <w:t>40 km/h</w:t>
            </w:r>
          </w:p>
        </w:tc>
        <w:tc>
          <w:tcPr>
            <w:tcW w:type="dxa" w:w="1520"/>
            <w:shd w:val="clear" w:color="auto" w:fill="004080"/>
          </w:tcPr>
          <w:p>
            <w:pPr>
              <w:jc w:val="center"/>
            </w:pPr>
            <w:r>
              <w:rPr>
                <w:b/>
                <w:color w:val="FFFFFF"/>
                <w:sz w:val="20"/>
              </w:rPr>
              <w:t>50 km/h</w:t>
            </w:r>
          </w:p>
        </w:tc>
        <w:tc>
          <w:tcPr>
            <w:tcW w:type="dxa" w:w="1520"/>
            <w:shd w:val="clear" w:color="auto" w:fill="004080"/>
          </w:tcPr>
          <w:p>
            <w:pPr>
              <w:jc w:val="center"/>
            </w:pPr>
            <w:r>
              <w:rPr>
                <w:b/>
                <w:color w:val="FFFFFF"/>
                <w:sz w:val="20"/>
              </w:rPr>
              <w:t>60 km/h</w:t>
            </w:r>
          </w:p>
        </w:tc>
      </w:tr>
      <w:tr>
        <w:tc>
          <w:tcPr>
            <w:tcW w:type="dxa" w:w="1520"/>
            <w:shd w:val="clear" w:color="auto" w:fill="E8F2FB"/>
          </w:tcPr>
          <w:p>
            <w:pPr>
              <w:jc w:val="center"/>
            </w:pPr>
            <w:r>
              <w:rPr>
                <w:b w:val="0"/>
                <w:sz w:val="20"/>
              </w:rPr>
              <w:t>CPFA-50 (Farside Adult)</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FAIL</w:t>
            </w:r>
          </w:p>
        </w:tc>
      </w:tr>
      <w:tr>
        <w:tc>
          <w:tcPr>
            <w:tcW w:type="dxa" w:w="1520"/>
            <w:shd w:val="clear" w:color="auto" w:fill="FFFFFF"/>
          </w:tcPr>
          <w:p>
            <w:pPr>
              <w:jc w:val="center"/>
            </w:pPr>
            <w:r>
              <w:rPr>
                <w:b w:val="0"/>
                <w:sz w:val="20"/>
              </w:rPr>
              <w:t>CPNA-25 (Nearside Adult)</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FAIL</w:t>
            </w:r>
          </w:p>
        </w:tc>
        <w:tc>
          <w:tcPr>
            <w:tcW w:type="dxa" w:w="1520"/>
            <w:shd w:val="clear" w:color="auto" w:fill="FFFFFF"/>
          </w:tcPr>
          <w:p>
            <w:pPr>
              <w:jc w:val="center"/>
            </w:pPr>
            <w:r>
              <w:rPr>
                <w:b w:val="0"/>
                <w:sz w:val="20"/>
              </w:rPr>
              <w:t>FAIL</w:t>
            </w:r>
          </w:p>
        </w:tc>
      </w:tr>
      <w:tr>
        <w:tc>
          <w:tcPr>
            <w:tcW w:type="dxa" w:w="1520"/>
            <w:shd w:val="clear" w:color="auto" w:fill="E8F2FB"/>
          </w:tcPr>
          <w:p>
            <w:pPr>
              <w:jc w:val="center"/>
            </w:pPr>
            <w:r>
              <w:rPr>
                <w:b w:val="0"/>
                <w:sz w:val="20"/>
              </w:rPr>
              <w:t>CPNC-50 (Child, Parked Car)</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PASS</w:t>
            </w:r>
          </w:p>
        </w:tc>
        <w:tc>
          <w:tcPr>
            <w:tcW w:type="dxa" w:w="1520"/>
            <w:shd w:val="clear" w:color="auto" w:fill="E8F2FB"/>
          </w:tcPr>
          <w:p>
            <w:pPr>
              <w:jc w:val="center"/>
            </w:pPr>
            <w:r>
              <w:rPr>
                <w:b w:val="0"/>
                <w:sz w:val="20"/>
              </w:rPr>
              <w:t>FAIL</w:t>
            </w:r>
          </w:p>
        </w:tc>
        <w:tc>
          <w:tcPr>
            <w:tcW w:type="dxa" w:w="1520"/>
            <w:shd w:val="clear" w:color="auto" w:fill="E8F2FB"/>
          </w:tcPr>
          <w:p>
            <w:pPr>
              <w:jc w:val="center"/>
            </w:pPr>
            <w:r>
              <w:rPr>
                <w:b w:val="0"/>
                <w:sz w:val="20"/>
              </w:rPr>
              <w:t>FAIL</w:t>
            </w:r>
          </w:p>
        </w:tc>
        <w:tc>
          <w:tcPr>
            <w:tcW w:type="dxa" w:w="1520"/>
            <w:shd w:val="clear" w:color="auto" w:fill="E8F2FB"/>
          </w:tcPr>
          <w:p>
            <w:pPr>
              <w:jc w:val="center"/>
            </w:pPr>
            <w:r>
              <w:rPr>
                <w:b w:val="0"/>
                <w:sz w:val="20"/>
              </w:rPr>
              <w:t>FAIL</w:t>
            </w:r>
          </w:p>
        </w:tc>
      </w:tr>
      <w:tr>
        <w:tc>
          <w:tcPr>
            <w:tcW w:type="dxa" w:w="1520"/>
            <w:shd w:val="clear" w:color="auto" w:fill="FFFFFF"/>
          </w:tcPr>
          <w:p>
            <w:pPr>
              <w:jc w:val="center"/>
            </w:pPr>
            <w:r>
              <w:rPr>
                <w:b w:val="0"/>
                <w:sz w:val="20"/>
              </w:rPr>
              <w:t>CPLA (Longitudinal Adult)</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c>
          <w:tcPr>
            <w:tcW w:type="dxa" w:w="1520"/>
            <w:shd w:val="clear" w:color="auto" w:fill="FFFFFF"/>
          </w:tcPr>
          <w:p>
            <w:pPr>
              <w:jc w:val="center"/>
            </w:pPr>
            <w:r>
              <w:rPr>
                <w:b w:val="0"/>
                <w:sz w:val="20"/>
              </w:rPr>
              <w:t>PASS</w:t>
            </w:r>
          </w:p>
        </w:tc>
      </w:tr>
      <w:tr>
        <w:tc>
          <w:tcPr>
            <w:tcW w:type="dxa" w:w="1520"/>
            <w:shd w:val="clear" w:color="auto" w:fill="E8F2FB"/>
          </w:tcPr>
          <w:p>
            <w:pPr>
              <w:jc w:val="center"/>
            </w:pPr>
            <w:r>
              <w:rPr>
                <w:b w:val="0"/>
                <w:sz w:val="20"/>
              </w:rPr>
              <w:t>Overall Pass Rate</w:t>
            </w:r>
          </w:p>
        </w:tc>
        <w:tc>
          <w:tcPr>
            <w:tcW w:type="dxa" w:w="1520"/>
            <w:shd w:val="clear" w:color="auto" w:fill="E8F2FB"/>
          </w:tcPr>
          <w:p>
            <w:pPr>
              <w:jc w:val="center"/>
            </w:pPr>
            <w:r>
              <w:rPr>
                <w:b w:val="0"/>
                <w:sz w:val="20"/>
              </w:rPr>
              <w:t>100%</w:t>
            </w:r>
          </w:p>
        </w:tc>
        <w:tc>
          <w:tcPr>
            <w:tcW w:type="dxa" w:w="1520"/>
            <w:shd w:val="clear" w:color="auto" w:fill="E8F2FB"/>
          </w:tcPr>
          <w:p>
            <w:pPr>
              <w:jc w:val="center"/>
            </w:pPr>
            <w:r>
              <w:rPr>
                <w:b w:val="0"/>
                <w:sz w:val="20"/>
              </w:rPr>
              <w:t>100%</w:t>
            </w:r>
          </w:p>
        </w:tc>
        <w:tc>
          <w:tcPr>
            <w:tcW w:type="dxa" w:w="1520"/>
            <w:shd w:val="clear" w:color="auto" w:fill="E8F2FB"/>
          </w:tcPr>
          <w:p>
            <w:pPr>
              <w:jc w:val="center"/>
            </w:pPr>
            <w:r>
              <w:rPr>
                <w:b w:val="0"/>
                <w:sz w:val="20"/>
              </w:rPr>
              <w:t>75%</w:t>
            </w:r>
          </w:p>
        </w:tc>
        <w:tc>
          <w:tcPr>
            <w:tcW w:type="dxa" w:w="1520"/>
            <w:shd w:val="clear" w:color="auto" w:fill="E8F2FB"/>
          </w:tcPr>
          <w:p>
            <w:pPr>
              <w:jc w:val="center"/>
            </w:pPr>
            <w:r>
              <w:rPr>
                <w:b w:val="0"/>
                <w:sz w:val="20"/>
              </w:rPr>
              <w:t>50%</w:t>
            </w:r>
          </w:p>
        </w:tc>
        <w:tc>
          <w:tcPr>
            <w:tcW w:type="dxa" w:w="1520"/>
            <w:shd w:val="clear" w:color="auto" w:fill="E8F2FB"/>
          </w:tcPr>
          <w:p>
            <w:pPr>
              <w:jc w:val="center"/>
            </w:pPr>
            <w:r>
              <w:rPr>
                <w:b w:val="0"/>
                <w:sz w:val="20"/>
              </w:rPr>
              <w:t>25%</w:t>
            </w:r>
          </w:p>
        </w:tc>
      </w:tr>
    </w:tbl>
    <w:p>
      <w:pPr>
        <w:jc w:val="center"/>
      </w:pPr>
      <w:r>
        <w:rPr>
          <w:i/>
        </w:rPr>
        <w:t>Table 4: Euro NCAP AEB Scenario Pass/Fail Results</w:t>
      </w:r>
    </w:p>
    <w:p>
      <w:pPr>
        <w:pStyle w:val="Heading2"/>
        <w:jc w:val="left"/>
      </w:pPr>
      <w:r>
        <w:rPr>
          <w:color w:val="004080"/>
        </w:rPr>
        <w:t>6.7  Bird's-Eye View Radar Visualization</w:t>
      </w:r>
    </w:p>
    <w:p>
      <w:pPr>
        <w:jc w:val="both"/>
      </w:pPr>
      <w:r>
        <w:rPr>
          <w:b w:val="0"/>
          <w:i w:val="0"/>
          <w:sz w:val="22"/>
        </w:rPr>
        <w:t>A Bird's-Eye View (BEV) Radar module was implemented as a real-time spatial awareness display that converts 2D monocular camera detections into a calibrated top-down radar map. The module applies the depth and lateral projection equations (Eq. 4 and 5) per tracked pedestrian, then renders a top-down OpenCV canvas at up to 30 FPS.</w:t>
      </w:r>
    </w:p>
    <w:p>
      <w:pPr>
        <w:jc w:val="both"/>
      </w:pPr>
      <w:r>
        <w:rPr>
          <w:b w:val="0"/>
          <w:i w:val="0"/>
          <w:sz w:val="22"/>
        </w:rPr>
        <w:t>Time-to-Collision per track is colour-coded as:</w:t>
      </w:r>
    </w:p>
    <w:p>
      <w:pPr>
        <w:pStyle w:val="ListBullet"/>
        <w:ind w:left="283"/>
      </w:pPr>
      <w:r>
        <w:rPr>
          <w:sz w:val="22"/>
        </w:rPr>
        <w:t>Green: TTC &gt; 4 s  (SAFE)</w:t>
      </w:r>
    </w:p>
    <w:p>
      <w:pPr>
        <w:pStyle w:val="ListBullet"/>
        <w:ind w:left="283"/>
      </w:pPr>
      <w:r>
        <w:rPr>
          <w:sz w:val="22"/>
        </w:rPr>
        <w:t>Yellow: 2 s &lt; TTC &lt; 4 s  (WARNING)</w:t>
      </w:r>
    </w:p>
    <w:p>
      <w:pPr>
        <w:pStyle w:val="ListBullet"/>
        <w:ind w:left="283"/>
      </w:pPr>
      <w:r>
        <w:rPr>
          <w:sz w:val="22"/>
        </w:rPr>
        <w:t>Red: TTC &lt; 2 s  (CRITICAL - AEB trigger)</w:t>
      </w:r>
    </w:p>
    <w:p>
      <w:pPr>
        <w:jc w:val="both"/>
      </w:pPr>
      <w:r>
        <w:rPr>
          <w:b w:val="0"/>
          <w:i w:val="0"/>
          <w:sz w:val="22"/>
        </w:rPr>
        <w:t>A Gaussian threat heat map is overlaid on the BEV canvas with kernel amplitude weighted by risk level (1.0 for CRITICAL, 0.4 for WARNING, 0.08 for SAFE). The AEB danger cone is a symmetric forward-facing filled triangle from the ego vehicle representing the active braking zone. Concentric range rings are drawn at 5 m intervals up to 50 m.</w:t>
      </w:r>
    </w:p>
    <w:p>
      <w:pPr>
        <w:jc w:val="both"/>
      </w:pPr>
      <w:r>
        <w:rPr>
          <w:b w:val="0"/>
          <w:i w:val="0"/>
          <w:sz w:val="22"/>
        </w:rPr>
        <w:t>Figure 8 shows the BEV Radar top-down display for a representative sample frame with four simultaneous tracks. Detection results: ID:3 at 8 m (TTC = 1.5 s, CRITICAL - AEB triggered), ID:2 at 13 m (TTC = 2.6 s, WARNING), ID:5 at 15 m (TTC = 3.0 s, WARNING), ID:1 at 23 m (TTC = 4.6 s, SAFE).</w:t>
      </w:r>
    </w:p>
    <w:p>
      <w:pPr>
        <w:jc w:val="center"/>
      </w:pPr>
      <w:r>
        <w:drawing>
          <wp:inline xmlns:a="http://schemas.openxmlformats.org/drawingml/2006/main" xmlns:pic="http://schemas.openxmlformats.org/drawingml/2006/picture">
            <wp:extent cx="5669280" cy="3729789"/>
            <wp:docPr id="8" name="Picture 8"/>
            <wp:cNvGraphicFramePr>
              <a:graphicFrameLocks noChangeAspect="1"/>
            </wp:cNvGraphicFramePr>
            <a:graphic>
              <a:graphicData uri="http://schemas.openxmlformats.org/drawingml/2006/picture">
                <pic:pic>
                  <pic:nvPicPr>
                    <pic:cNvPr id="0" name="bev_PRO_radar_only.png"/>
                    <pic:cNvPicPr/>
                  </pic:nvPicPr>
                  <pic:blipFill>
                    <a:blip r:embed="rId16"/>
                    <a:stretch>
                      <a:fillRect/>
                    </a:stretch>
                  </pic:blipFill>
                  <pic:spPr>
                    <a:xfrm>
                      <a:off x="0" y="0"/>
                      <a:ext cx="5669280" cy="3729789"/>
                    </a:xfrm>
                    <a:prstGeom prst="rect"/>
                  </pic:spPr>
                </pic:pic>
              </a:graphicData>
            </a:graphic>
          </wp:inline>
        </w:drawing>
      </w:r>
    </w:p>
    <w:p>
      <w:pPr>
        <w:jc w:val="center"/>
      </w:pPr>
      <w:r>
        <w:rPr>
          <w:i/>
          <w:color w:val="505050"/>
          <w:sz w:val="20"/>
        </w:rPr>
        <w:t>Figure 8: BEV Radar top-down display. Gaussian threat heat map (orange to red) centred on CRITICAL detection at 8 m (TTC = 1.5 s). Green = SAFE (TTC &gt; 4 s), Yellow = WARNING (2 to 4 s), Red = CRITICAL / AEB (&lt; 2 s). Blue sedan = ego vehicle at origin; forward cone = active AEB braking zone.</w:t>
      </w:r>
    </w:p>
    <w:p/>
    <w:p>
      <w:pPr>
        <w:pStyle w:val="Heading1"/>
        <w:jc w:val="left"/>
      </w:pPr>
      <w:r>
        <w:rPr>
          <w:color w:val="004080"/>
        </w:rPr>
        <w:t>7.  CONCLUSIONS</w:t>
      </w:r>
    </w:p>
    <w:p>
      <w:pPr>
        <w:pStyle w:val="ListBullet"/>
        <w:ind w:left="283"/>
      </w:pPr>
      <w:r>
        <w:rPr>
          <w:sz w:val="22"/>
        </w:rPr>
        <w:t>C1: A complete 14-module ADAS Pedestrian AEB system was successfully implemented, integrating computer vision, multi-object tracking, physics-based vehicle dynamics, brake thermodynamics, driver monitoring, weather adaptation, and biomechanical consequence analysis into a single unified pipeline.</w:t>
      </w:r>
    </w:p>
    <w:p>
      <w:pPr>
        <w:pStyle w:val="ListBullet"/>
        <w:ind w:left="283"/>
      </w:pPr>
      <w:r>
        <w:rPr>
          <w:sz w:val="22"/>
        </w:rPr>
        <w:t>C2: The physics-based braking model (Pacejka Magic Formula with ABS) validated to within 5% of reference stopping distances across five surface types and two road grade conditions, confirming that the kinematic formula (Eq. 1) underestimates stopping distance by 15 to 30% in real conditions.</w:t>
      </w:r>
    </w:p>
    <w:p>
      <w:pPr>
        <w:pStyle w:val="ListBullet"/>
        <w:ind w:left="283"/>
      </w:pPr>
      <w:r>
        <w:rPr>
          <w:sz w:val="22"/>
        </w:rPr>
        <w:t>C3: The brake thermodynamic model demonstrates that repeated panic stops can elevate rotor temperature above 400 degrees C, reducing friction by 28% and requiring an additional 0.19 to 3.0 s of AEB trigger lead time - a factor entirely missed by commercial kinematic AEB systems.</w:t>
      </w:r>
    </w:p>
    <w:p>
      <w:pPr>
        <w:pStyle w:val="ListBullet"/>
        <w:ind w:left="283"/>
      </w:pPr>
      <w:r>
        <w:rPr>
          <w:sz w:val="22"/>
        </w:rPr>
        <w:t>C4: The adaptive AEB threshold framework (Eq. 16) successfully adjusts the TTC trigger from 1.5 s (baseline) to 3.5 s (worst case: Fog, Drowsy, Faded Brakes), providing robust collision avoidance across all tested operating conditions.</w:t>
      </w:r>
    </w:p>
    <w:p>
      <w:pPr>
        <w:pStyle w:val="ListBullet"/>
        <w:ind w:left="283"/>
      </w:pPr>
      <w:r>
        <w:rPr>
          <w:sz w:val="22"/>
        </w:rPr>
        <w:t>C5: Biomechanical analysis confirms that even partial AEB intervention - reducing impact speed from 50 to 30 km/h - reduces HIC from 2,200 to 280 (Eq. 20), converting a Critical (AIS 5) outcome to Moderate (AIS 2), an 8x reduction demonstrating life-saving value beyond binary collision avoidance.</w:t>
      </w:r>
    </w:p>
    <w:p>
      <w:pPr>
        <w:pStyle w:val="ListBullet"/>
        <w:ind w:left="283"/>
      </w:pPr>
      <w:r>
        <w:rPr>
          <w:sz w:val="22"/>
        </w:rPr>
        <w:t>C6: The BEV Radar module demonstrates real-time 3D spatial awareness from a single monocular camera using pinhole depth projection (Eq. 4 and 5), with per-track TTC colour coding that directly visualises the AEB trigger logic in a format proven in production ADAS systems.</w:t>
      </w:r>
    </w:p>
    <w:p>
      <w:pPr>
        <w:pStyle w:val="Heading1"/>
        <w:jc w:val="left"/>
      </w:pPr>
      <w:r>
        <w:rPr>
          <w:color w:val="004080"/>
        </w:rPr>
        <w:t>8.  FUTURE WORK</w:t>
      </w:r>
    </w:p>
    <w:p>
      <w:pPr>
        <w:pStyle w:val="ListBullet"/>
        <w:ind w:left="283"/>
      </w:pPr>
      <w:r>
        <w:rPr>
          <w:sz w:val="22"/>
        </w:rPr>
        <w:t>Sensor fusion with LiDAR point clouds to extend reliable detection range beyond 50 m and enable AEB compliance at 60 km/h or above in all Euro NCAP scenarios.</w:t>
      </w:r>
    </w:p>
    <w:p>
      <w:pPr>
        <w:pStyle w:val="ListBullet"/>
        <w:ind w:left="283"/>
      </w:pPr>
      <w:r>
        <w:rPr>
          <w:sz w:val="22"/>
        </w:rPr>
        <w:t>Full CARLA simulator closed-loop validation across 100 or more randomised pedestrian crossing scenarios to generate statistically significant AEB performance metrics under diverse traffic and environmental conditions.</w:t>
      </w:r>
    </w:p>
    <w:p>
      <w:pPr>
        <w:pStyle w:val="ListBullet"/>
        <w:ind w:left="283"/>
      </w:pPr>
      <w:r>
        <w:rPr>
          <w:sz w:val="22"/>
        </w:rPr>
        <w:t>V2X (Vehicle-to-Everything) communication integration to enable infrastructure-assisted pedestrian warnings from smart crossings and traffic management systems, extending effective detection range beyond camera limits.</w:t>
      </w:r>
    </w:p>
    <w:p>
      <w:pPr>
        <w:pStyle w:val="ListBullet"/>
        <w:ind w:left="283"/>
      </w:pPr>
      <w:r>
        <w:rPr>
          <w:sz w:val="22"/>
        </w:rPr>
        <w:t>Deployment on NVIDIA Jetson Orin (275 TOPS) embedded platform for real-time in-vehicle operation with power-constrained inference optimisation using TensorRT and INT8 quantisation.</w:t>
      </w:r>
    </w:p>
    <w:p>
      <w:pPr>
        <w:pStyle w:val="ListBullet"/>
        <w:ind w:left="283"/>
      </w:pPr>
      <w:r>
        <w:rPr>
          <w:sz w:val="22"/>
        </w:rPr>
        <w:t>Training the weather classifier ResNet-18 on a large labelled dataset (ACDC, FoggyDriving) and expanding to night rain and snow categories for improved accuracy beyond the heuristic fallback.</w:t>
      </w:r>
    </w:p>
    <w:p>
      <w:pPr>
        <w:pStyle w:val="ListBullet"/>
        <w:ind w:left="283"/>
      </w:pPr>
      <w:r>
        <w:rPr>
          <w:sz w:val="22"/>
        </w:rPr>
        <w:t>Kalman-filtered pedestrian velocity estimation to replace the constant-speed TTC model with a kinematically consistent prediction that accounts for pedestrian acceleration and direction changes.</w:t>
      </w:r>
    </w:p>
    <w:p>
      <w:pPr>
        <w:pStyle w:val="Heading1"/>
        <w:jc w:val="left"/>
      </w:pPr>
      <w:r>
        <w:rPr>
          <w:color w:val="004080"/>
        </w:rPr>
        <w:t>9.  REFERENCES</w:t>
      </w:r>
    </w:p>
    <w:p>
      <w:pPr>
        <w:pStyle w:val="ListNumber"/>
      </w:pPr>
      <w:r>
        <w:rPr>
          <w:sz w:val="20"/>
        </w:rPr>
        <w:t>Bewley, A., Ge, Z., Ott, L., Ramos, F., and Upcroft, B. (2016). Simple Online and Realtime Tracking. ICIP.</w:t>
      </w:r>
    </w:p>
    <w:p>
      <w:pPr>
        <w:pStyle w:val="ListNumber"/>
      </w:pPr>
      <w:r>
        <w:rPr>
          <w:sz w:val="20"/>
        </w:rPr>
        <w:t>Bochkovskiy, A., Wang, C. Y., and Liao, H. Y. M. (2020). YOLOv4: Optimal Speed and Accuracy of Object Detection. arXiv:2004.10934.</w:t>
      </w:r>
    </w:p>
    <w:p>
      <w:pPr>
        <w:pStyle w:val="ListNumber"/>
      </w:pPr>
      <w:r>
        <w:rPr>
          <w:sz w:val="20"/>
        </w:rPr>
        <w:t>Day, J. L. (2014). Braking of Road Vehicles. Butterworth-Heinemann.</w:t>
      </w:r>
    </w:p>
    <w:p>
      <w:pPr>
        <w:pStyle w:val="ListNumber"/>
      </w:pPr>
      <w:r>
        <w:rPr>
          <w:sz w:val="20"/>
        </w:rPr>
        <w:t>Euro NCAP. (2023). Pedestrian AEB Test Protocol v9.0. European New Car Assessment Programme.</w:t>
      </w:r>
    </w:p>
    <w:p>
      <w:pPr>
        <w:pStyle w:val="ListNumber"/>
      </w:pPr>
      <w:r>
        <w:rPr>
          <w:sz w:val="20"/>
        </w:rPr>
        <w:t>Geiger, A., Lenz, P., and Urtasun, R. (2012). Are we ready for autonomous driving? The KITTI vision benchmark suite. CVPR.</w:t>
      </w:r>
    </w:p>
    <w:p>
      <w:pPr>
        <w:pStyle w:val="ListNumber"/>
      </w:pPr>
      <w:r>
        <w:rPr>
          <w:sz w:val="20"/>
        </w:rPr>
        <w:t>Limpert, R. (1999). Brake Design and Safety (2nd ed.). SAE International.</w:t>
      </w:r>
    </w:p>
    <w:p>
      <w:pPr>
        <w:pStyle w:val="ListNumber"/>
      </w:pPr>
      <w:r>
        <w:rPr>
          <w:sz w:val="20"/>
        </w:rPr>
        <w:t>MoRTH. (2022). Road Accidents in India 2022. Ministry of Road Transport and Highways, Government of India.</w:t>
      </w:r>
    </w:p>
    <w:p>
      <w:pPr>
        <w:pStyle w:val="ListNumber"/>
      </w:pPr>
      <w:r>
        <w:rPr>
          <w:sz w:val="20"/>
        </w:rPr>
        <w:t>Pacejka, H. (2012). Tire and Vehicle Dynamics (3rd ed.). Butterworth-Heinemann.</w:t>
      </w:r>
    </w:p>
    <w:p>
      <w:pPr>
        <w:pStyle w:val="ListNumber"/>
      </w:pPr>
      <w:r>
        <w:rPr>
          <w:sz w:val="20"/>
        </w:rPr>
        <w:t>Rajamani, R. (2012). Vehicle Dynamics and Control (2nd ed.). Springer.</w:t>
      </w:r>
    </w:p>
    <w:p>
      <w:pPr>
        <w:pStyle w:val="ListNumber"/>
      </w:pPr>
      <w:r>
        <w:rPr>
          <w:sz w:val="20"/>
        </w:rPr>
        <w:t>Ranftl, R., Bochkovskiy, A., and Koltun, V. (2022). Vision Transformers for Dense Prediction. TPAMI.</w:t>
      </w:r>
    </w:p>
    <w:p>
      <w:pPr>
        <w:pStyle w:val="ListNumber"/>
      </w:pPr>
      <w:r>
        <w:rPr>
          <w:sz w:val="20"/>
        </w:rPr>
        <w:t>Rankin, J. S., and Iagnemma, K. (2010). A survey of tire force models for vehicle dynamics simulation. Journal of Terramechanics.</w:t>
      </w:r>
    </w:p>
    <w:p>
      <w:pPr>
        <w:pStyle w:val="ListNumber"/>
      </w:pPr>
      <w:r>
        <w:rPr>
          <w:sz w:val="20"/>
        </w:rPr>
        <w:t>Simms, C. K., and Wood, D. P. (2009). Pedestrian and Cyclist Impact: A Biomechanical Perspective. Springer.</w:t>
      </w:r>
    </w:p>
    <w:p>
      <w:pPr>
        <w:pStyle w:val="ListNumber"/>
      </w:pPr>
      <w:r>
        <w:rPr>
          <w:sz w:val="20"/>
        </w:rPr>
        <w:t>Ultralytics. (2023). YOLOv8 Documentation. Ultralytics Inc.</w:t>
      </w:r>
    </w:p>
    <w:p>
      <w:pPr>
        <w:pStyle w:val="ListNumber"/>
      </w:pPr>
      <w:r>
        <w:rPr>
          <w:sz w:val="20"/>
        </w:rPr>
        <w:t>Versace, J. (1971). A Review of the Severity Index. SAE Technical Paper 710881.</w:t>
      </w:r>
    </w:p>
    <w:p>
      <w:pPr>
        <w:pStyle w:val="ListNumber"/>
      </w:pPr>
      <w:r>
        <w:rPr>
          <w:sz w:val="20"/>
        </w:rPr>
        <w:t>WHO. (2023). Global Status Report on Road Safety 2023. World Health Organization, Geneva.</w:t>
      </w:r>
    </w:p>
    <w:p>
      <w:pPr>
        <w:pStyle w:val="ListNumber"/>
      </w:pPr>
      <w:r>
        <w:rPr>
          <w:sz w:val="20"/>
        </w:rPr>
        <w:t>Yu, F., et al. (2020). BDD100K: A Diverse Driving Dataset for Heterogeneous Multitask Learning. CVPR.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