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66534"/>
          <w:sz w:val="40"/>
          <w:szCs w:val="40"/>
        </w:rPr>
        <w:t xml:space="preserve">TOUTCI</w:t>
      </w:r>
    </w:p>
    <w:p>
      <w:pPr>
        <w:spacing w:after="60"/>
        <w:jc w:val="center"/>
      </w:pPr>
      <w:r>
        <w:rPr>
          <w:i/>
          <w:iCs/>
          <w:color w:val="555555"/>
          <w:sz w:val="20"/>
          <w:szCs w:val="20"/>
        </w:rPr>
        <w:t xml:space="preserve">une app pour tout</w:t>
      </w:r>
    </w:p>
    <w:p>
      <w:pPr>
        <w:spacing w:after="200"/>
        <w:jc w:val="center"/>
      </w:pPr>
      <w:r>
        <w:rPr>
          <w:b/>
          <w:bCs/>
          <w:color w:val="1A1A1A"/>
          <w:sz w:val="27"/>
          <w:szCs w:val="27"/>
        </w:rPr>
        <w:t xml:space="preserve">ANNEXE — CONDITIONS APPLICABLES AUX UTILISATEURS CONSOMMATEURS</w:t>
      </w:r>
    </w:p>
    <w:p>
      <w:pPr>
        <w:spacing w:after="400"/>
        <w:jc w:val="center"/>
      </w:pPr>
      <w:r>
        <w:rPr>
          <w:i/>
          <w:iCs/>
          <w:color w:val="555555"/>
          <w:sz w:val="20"/>
          <w:szCs w:val="20"/>
        </w:rPr>
        <w:t xml:space="preserve">Complète les Conditions Générales d'Utilisation (tronc commun) de Toutci</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Cette Annexe complète le document « CGU — Tronc commun ». En cas de contradiction sur un point qu'elle traite spécifiquement, l'Annexe prévaut pour les Utilisateurs consommateurs.</w:t>
            </w:r>
          </w:p>
        </w:tc>
      </w:tr>
    </w:tbl>
    <w:p>
      <w:pPr>
        <w:pStyle w:val="Heading1"/>
        <w:spacing w:after="200" w:before="400"/>
      </w:pPr>
      <w:r>
        <w:rPr>
          <w:b/>
          <w:bCs/>
          <w:color w:val="166534"/>
          <w:sz w:val="26"/>
          <w:szCs w:val="26"/>
        </w:rPr>
        <w:t xml:space="preserve">1. Objet et champ d'application</w:t>
      </w:r>
    </w:p>
    <w:p>
      <w:pPr>
        <w:spacing w:after="160" w:line="300"/>
      </w:pPr>
      <w:r>
        <w:rPr>
          <w:sz w:val="21"/>
          <w:szCs w:val="21"/>
        </w:rPr>
        <w:t xml:space="preserve">La présente Annexe précise les conditions particulières applicables aux Utilisateurs consommateurs de la Plateforme Toutci, notamment le processus de commande, le prix, le paiement, la livraison ou le retrait, et les modalités d'annulation.</w:t>
      </w:r>
    </w:p>
    <w:p>
      <w:pPr>
        <w:spacing w:after="160" w:line="300"/>
      </w:pPr>
      <w:r>
        <w:rPr>
          <w:sz w:val="21"/>
          <w:szCs w:val="21"/>
        </w:rPr>
        <w:t xml:space="preserve">Elle s'applique à la Verticale Restauration, actuellement active. Des dispositions complémentaires pourront être ajoutées lors de l'ouverture des Verticales Résidences et Événements, sans remise en cause des principes généraux ci-dessous.</w:t>
      </w:r>
    </w:p>
    <w:p>
      <w:pPr>
        <w:pStyle w:val="Heading1"/>
        <w:spacing w:after="200" w:before="400"/>
      </w:pPr>
      <w:r>
        <w:rPr>
          <w:b/>
          <w:bCs/>
          <w:color w:val="166534"/>
          <w:sz w:val="26"/>
          <w:szCs w:val="26"/>
        </w:rPr>
        <w:t xml:space="preserve">2. Compte consommateur</w:t>
      </w:r>
    </w:p>
    <w:p>
      <w:pPr>
        <w:spacing w:after="160" w:line="300"/>
      </w:pPr>
      <w:r>
        <w:rPr>
          <w:sz w:val="21"/>
          <w:szCs w:val="21"/>
        </w:rPr>
        <w:t xml:space="preserve">L'inscription en tant qu'Utilisateur consommateur est gratuite et s'effectue via l'application mobile, à l'aide d'un numéro de téléphone valide. L'Utilisateur doit être en mesure de conclure un contrat conformément au droit ivoirien.</w:t>
      </w:r>
    </w:p>
    <w:p>
      <w:pPr>
        <w:pStyle w:val="Heading1"/>
        <w:spacing w:after="200" w:before="400"/>
      </w:pPr>
      <w:r>
        <w:rPr>
          <w:b/>
          <w:bCs/>
          <w:color w:val="166534"/>
          <w:sz w:val="26"/>
          <w:szCs w:val="26"/>
        </w:rPr>
        <w:t xml:space="preserve">3. Processus de commande</w:t>
      </w:r>
    </w:p>
    <w:p>
      <w:pPr>
        <w:spacing w:after="160" w:line="300"/>
      </w:pPr>
      <w:r>
        <w:rPr>
          <w:sz w:val="21"/>
          <w:szCs w:val="21"/>
        </w:rPr>
        <w:t xml:space="preserve">L'Utilisateur consulte les établissements partenaires disponibles à proximité de sa localisation, sélectionne les produits souhaités et les ajoute à son panier. La Commande n'est définitivement transmise au Partenaire qu'après validation expresse par l'Utilisateur, laquelle constitue une offre d'achat ferme.</w:t>
      </w:r>
    </w:p>
    <w:p>
      <w:pPr>
        <w:spacing w:after="160" w:line="300"/>
      </w:pPr>
      <w:r>
        <w:rPr>
          <w:sz w:val="21"/>
          <w:szCs w:val="21"/>
        </w:rPr>
        <w:t xml:space="preserve">La Commande est réputée acceptée par le Partenaire lorsque son statut passe à « en_preparation ». Toutci ne garantit pas l'acceptation systématique d'une Commande par le Partenaire (indisponibilité de produit, fermeture de l'établissement, etc.).</w:t>
      </w:r>
    </w:p>
    <w:p>
      <w:pPr>
        <w:pStyle w:val="Heading1"/>
        <w:spacing w:after="200" w:before="400"/>
      </w:pPr>
      <w:r>
        <w:rPr>
          <w:b/>
          <w:bCs/>
          <w:color w:val="166534"/>
          <w:sz w:val="26"/>
          <w:szCs w:val="26"/>
        </w:rPr>
        <w:t xml:space="preserve">4. Suivi de la Commande</w:t>
      </w:r>
    </w:p>
    <w:p>
      <w:pPr>
        <w:spacing w:after="160" w:line="300"/>
      </w:pPr>
      <w:r>
        <w:rPr>
          <w:sz w:val="21"/>
          <w:szCs w:val="21"/>
        </w:rPr>
        <w:t xml:space="preserve">Chaque Commande évolue selon les statuts suivants, visibles par l'Utilisateur dans l'application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66534" w:val="clear"/>
            <w:tcMar>
              <w:top w:type="dxa" w:w="100"/>
              <w:left w:type="dxa" w:w="150"/>
              <w:bottom w:type="dxa" w:w="100"/>
              <w:right w:type="dxa" w:w="150"/>
            </w:tcMar>
          </w:tcPr>
          <w:p>
            <w:r>
              <w:rPr>
                <w:b/>
                <w:bCs/>
                <w:color w:val="FFFFFF"/>
                <w:sz w:val="20"/>
                <w:szCs w:val="20"/>
              </w:rPr>
              <w:t xml:space="preserve">Statut</w:t>
            </w:r>
          </w:p>
        </w:tc>
        <w:tc>
          <w:tcPr>
            <w:tcW w:type="dxa" w:w="7300"/>
            <w:shd w:fill="166534" w:val="clear"/>
            <w:tcMar>
              <w:top w:type="dxa" w:w="100"/>
              <w:left w:type="dxa" w:w="150"/>
              <w:bottom w:type="dxa" w:w="100"/>
              <w:right w:type="dxa" w:w="150"/>
            </w:tcMar>
          </w:tcPr>
          <w:p>
            <w:r>
              <w:rPr>
                <w:b/>
                <w:bCs/>
                <w:color w:val="FFFFFF"/>
                <w:sz w:val="20"/>
                <w:szCs w:val="20"/>
              </w:rPr>
              <w:t xml:space="preserve">Signification</w:t>
            </w:r>
          </w:p>
        </w:tc>
      </w:tr>
      <w:tr>
        <w:tc>
          <w:tcPr>
            <w:tcW w:type="dxa" w:w="2200"/>
            <w:tcMar>
              <w:top w:type="dxa" w:w="100"/>
              <w:left w:type="dxa" w:w="150"/>
              <w:bottom w:type="dxa" w:w="100"/>
              <w:right w:type="dxa" w:w="150"/>
            </w:tcMar>
          </w:tcPr>
          <w:p>
            <w:r>
              <w:rPr>
                <w:b w:val="false"/>
                <w:bCs w:val="false"/>
                <w:color w:val="1A1A1A"/>
                <w:sz w:val="20"/>
                <w:szCs w:val="20"/>
              </w:rPr>
              <w:t xml:space="preserve">recue</w:t>
            </w:r>
          </w:p>
        </w:tc>
        <w:tc>
          <w:tcPr>
            <w:tcW w:type="dxa" w:w="7300"/>
            <w:tcMar>
              <w:top w:type="dxa" w:w="100"/>
              <w:left w:type="dxa" w:w="150"/>
              <w:bottom w:type="dxa" w:w="100"/>
              <w:right w:type="dxa" w:w="150"/>
            </w:tcMar>
          </w:tcPr>
          <w:p>
            <w:r>
              <w:rPr>
                <w:b w:val="false"/>
                <w:bCs w:val="false"/>
                <w:color w:val="1A1A1A"/>
                <w:sz w:val="20"/>
                <w:szCs w:val="20"/>
              </w:rPr>
              <w:t xml:space="preserve">La Commande a été transmise au Partenaire et est en attente de prise en charge.</w:t>
            </w:r>
          </w:p>
        </w:tc>
      </w:tr>
      <w:tr>
        <w:tc>
          <w:tcPr>
            <w:tcW w:type="dxa" w:w="2200"/>
            <w:tcMar>
              <w:top w:type="dxa" w:w="100"/>
              <w:left w:type="dxa" w:w="150"/>
              <w:bottom w:type="dxa" w:w="100"/>
              <w:right w:type="dxa" w:w="150"/>
            </w:tcMar>
          </w:tcPr>
          <w:p>
            <w:r>
              <w:rPr>
                <w:b w:val="false"/>
                <w:bCs w:val="false"/>
                <w:color w:val="1A1A1A"/>
                <w:sz w:val="20"/>
                <w:szCs w:val="20"/>
              </w:rPr>
              <w:t xml:space="preserve">en_preparation</w:t>
            </w:r>
          </w:p>
        </w:tc>
        <w:tc>
          <w:tcPr>
            <w:tcW w:type="dxa" w:w="7300"/>
            <w:tcMar>
              <w:top w:type="dxa" w:w="100"/>
              <w:left w:type="dxa" w:w="150"/>
              <w:bottom w:type="dxa" w:w="100"/>
              <w:right w:type="dxa" w:w="150"/>
            </w:tcMar>
          </w:tcPr>
          <w:p>
            <w:r>
              <w:rPr>
                <w:b w:val="false"/>
                <w:bCs w:val="false"/>
                <w:color w:val="1A1A1A"/>
                <w:sz w:val="20"/>
                <w:szCs w:val="20"/>
              </w:rPr>
              <w:t xml:space="preserve">Le Partenaire a accepté et prépare la Commande.</w:t>
            </w:r>
          </w:p>
        </w:tc>
      </w:tr>
      <w:tr>
        <w:tc>
          <w:tcPr>
            <w:tcW w:type="dxa" w:w="2200"/>
            <w:tcMar>
              <w:top w:type="dxa" w:w="100"/>
              <w:left w:type="dxa" w:w="150"/>
              <w:bottom w:type="dxa" w:w="100"/>
              <w:right w:type="dxa" w:w="150"/>
            </w:tcMar>
          </w:tcPr>
          <w:p>
            <w:r>
              <w:rPr>
                <w:b w:val="false"/>
                <w:bCs w:val="false"/>
                <w:color w:val="1A1A1A"/>
                <w:sz w:val="20"/>
                <w:szCs w:val="20"/>
              </w:rPr>
              <w:t xml:space="preserve">prete</w:t>
            </w:r>
          </w:p>
        </w:tc>
        <w:tc>
          <w:tcPr>
            <w:tcW w:type="dxa" w:w="7300"/>
            <w:tcMar>
              <w:top w:type="dxa" w:w="100"/>
              <w:left w:type="dxa" w:w="150"/>
              <w:bottom w:type="dxa" w:w="100"/>
              <w:right w:type="dxa" w:w="150"/>
            </w:tcMar>
          </w:tcPr>
          <w:p>
            <w:r>
              <w:rPr>
                <w:b w:val="false"/>
                <w:bCs w:val="false"/>
                <w:color w:val="1A1A1A"/>
                <w:sz w:val="20"/>
                <w:szCs w:val="20"/>
              </w:rPr>
              <w:t xml:space="preserve">La Commande est prête (à récupérer ou à livrer).</w:t>
            </w:r>
          </w:p>
        </w:tc>
      </w:tr>
      <w:tr>
        <w:tc>
          <w:tcPr>
            <w:tcW w:type="dxa" w:w="2200"/>
            <w:tcMar>
              <w:top w:type="dxa" w:w="100"/>
              <w:left w:type="dxa" w:w="150"/>
              <w:bottom w:type="dxa" w:w="100"/>
              <w:right w:type="dxa" w:w="150"/>
            </w:tcMar>
          </w:tcPr>
          <w:p>
            <w:r>
              <w:rPr>
                <w:b w:val="false"/>
                <w:bCs w:val="false"/>
                <w:color w:val="1A1A1A"/>
                <w:sz w:val="20"/>
                <w:szCs w:val="20"/>
              </w:rPr>
              <w:t xml:space="preserve">servie</w:t>
            </w:r>
          </w:p>
        </w:tc>
        <w:tc>
          <w:tcPr>
            <w:tcW w:type="dxa" w:w="7300"/>
            <w:tcMar>
              <w:top w:type="dxa" w:w="100"/>
              <w:left w:type="dxa" w:w="150"/>
              <w:bottom w:type="dxa" w:w="100"/>
              <w:right w:type="dxa" w:w="150"/>
            </w:tcMar>
          </w:tcPr>
          <w:p>
            <w:r>
              <w:rPr>
                <w:b w:val="false"/>
                <w:bCs w:val="false"/>
                <w:color w:val="1A1A1A"/>
                <w:sz w:val="20"/>
                <w:szCs w:val="20"/>
              </w:rPr>
              <w:t xml:space="preserve">La Commande a été remise à l'Utilisateur consommateur.</w:t>
            </w:r>
          </w:p>
        </w:tc>
      </w:tr>
      <w:tr>
        <w:tc>
          <w:tcPr>
            <w:tcW w:type="dxa" w:w="2200"/>
            <w:tcMar>
              <w:top w:type="dxa" w:w="100"/>
              <w:left w:type="dxa" w:w="150"/>
              <w:bottom w:type="dxa" w:w="100"/>
              <w:right w:type="dxa" w:w="150"/>
            </w:tcMar>
          </w:tcPr>
          <w:p>
            <w:r>
              <w:rPr>
                <w:b w:val="false"/>
                <w:bCs w:val="false"/>
                <w:color w:val="1A1A1A"/>
                <w:sz w:val="20"/>
                <w:szCs w:val="20"/>
              </w:rPr>
              <w:t xml:space="preserve">annulee</w:t>
            </w:r>
          </w:p>
        </w:tc>
        <w:tc>
          <w:tcPr>
            <w:tcW w:type="dxa" w:w="7300"/>
            <w:tcMar>
              <w:top w:type="dxa" w:w="100"/>
              <w:left w:type="dxa" w:w="150"/>
              <w:bottom w:type="dxa" w:w="100"/>
              <w:right w:type="dxa" w:w="150"/>
            </w:tcMar>
          </w:tcPr>
          <w:p>
            <w:r>
              <w:rPr>
                <w:b w:val="false"/>
                <w:bCs w:val="false"/>
                <w:color w:val="1A1A1A"/>
                <w:sz w:val="20"/>
                <w:szCs w:val="20"/>
              </w:rPr>
              <w:t xml:space="preserve">La Commande a été annulée, par l'Utilisateur, le Partenaire, ou Toutci selon les cas prévus à l'article 6.</w:t>
            </w:r>
          </w:p>
        </w:tc>
      </w:tr>
    </w:tbl>
    <w:p>
      <w:pPr>
        <w:pStyle w:val="Heading1"/>
        <w:spacing w:after="200" w:before="400"/>
      </w:pPr>
      <w:r>
        <w:rPr>
          <w:b/>
          <w:bCs/>
          <w:color w:val="166534"/>
          <w:sz w:val="26"/>
          <w:szCs w:val="26"/>
        </w:rPr>
        <w:t xml:space="preserve">5. Prix et paiement</w:t>
      </w:r>
    </w:p>
    <w:p>
      <w:pPr>
        <w:spacing w:after="160" w:line="300"/>
      </w:pPr>
      <w:r>
        <w:rPr>
          <w:sz w:val="21"/>
          <w:szCs w:val="21"/>
        </w:rPr>
        <w:t xml:space="preserve">Les prix affichés sur la Plateforme sont exprimés en Francs CFA (FCFA), toutes taxes comprises lorsque applicable, et incluent le cas échéant les frais de livraison affichés distinctement avant validation de la Commande.</w:t>
      </w:r>
    </w:p>
    <w:p>
      <w:pPr>
        <w:spacing w:after="160" w:line="300"/>
      </w:pPr>
      <w:r>
        <w:rPr>
          <w:sz w:val="21"/>
          <w:szCs w:val="21"/>
        </w:rPr>
        <w:t xml:space="preserve">Le paiement s'effectue selon les moyens proposés sur la Plateforme (paiement à la livraison et/ou paiement en ligne via un prestataire de paiement tiers agréé). En cas de paiement en ligne, la transaction est traitée directement par ce prestataire, dans les conditions décrites par la Politique de confidentialité de Toutci.</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confirmer, une fois les intégrations finalisées, les moyens de paiement effectivement proposés (paiement à la livraison, mobile money via Wave/CinetPay, carte bancaire) afin d'ajuster cette section en conséquence.</w:t>
            </w:r>
          </w:p>
        </w:tc>
      </w:tr>
    </w:tbl>
    <w:p>
      <w:pPr>
        <w:pStyle w:val="Heading1"/>
        <w:spacing w:after="200" w:before="400"/>
      </w:pPr>
      <w:r>
        <w:rPr>
          <w:b/>
          <w:bCs/>
          <w:color w:val="166534"/>
          <w:sz w:val="26"/>
          <w:szCs w:val="26"/>
        </w:rPr>
        <w:t xml:space="preserve">6. Livraison, retrait et annulation</w:t>
      </w:r>
    </w:p>
    <w:p>
      <w:pPr>
        <w:spacing w:after="160" w:line="300"/>
      </w:pPr>
      <w:r>
        <w:rPr>
          <w:sz w:val="21"/>
          <w:szCs w:val="21"/>
        </w:rPr>
        <w:t xml:space="preserve">Selon les modalités proposées par chaque Partenaire, la Commande est soit livrée à l'adresse indiquée par l'Utilisateur, soit disponible pour retrait sur place. Les délais indiqués sur la Plateforme sont donnés à titre indicatif et peuvent varier selon la charge de l'établissement partenaire.</w:t>
      </w:r>
    </w:p>
    <w:p>
      <w:pPr>
        <w:spacing w:after="160" w:line="300"/>
      </w:pPr>
      <w:r>
        <w:rPr>
          <w:sz w:val="21"/>
          <w:szCs w:val="21"/>
        </w:rPr>
        <w:t xml:space="preserve">L'Utilisateur peut annuler une Commande tant qu'elle demeure au statut « recue ». Au-delà (statut « en_preparation » ou ultérieur), l'annulation n'est possible qu'avec l'accord du Partenaire, la préparation ayant pu débuter. Le Partenaire ou Toutci peuvent annuler une Commande, notamment en cas d'indisponibilité d'un produit, de fermeture imprévue de l'établissement, ou de suspicion de fraude ; l'Utilisateur en est alors informé sans délai.</w:t>
      </w:r>
    </w:p>
    <w:p>
      <w:pPr>
        <w:pStyle w:val="Heading1"/>
        <w:spacing w:after="200" w:before="400"/>
      </w:pPr>
      <w:r>
        <w:rPr>
          <w:b/>
          <w:bCs/>
          <w:color w:val="166534"/>
          <w:sz w:val="26"/>
          <w:szCs w:val="26"/>
        </w:rPr>
        <w:t xml:space="preserve">7. Remboursements</w:t>
      </w:r>
    </w:p>
    <w:p>
      <w:pPr>
        <w:spacing w:after="160" w:line="300"/>
      </w:pPr>
      <w:r>
        <w:rPr>
          <w:sz w:val="21"/>
          <w:szCs w:val="21"/>
        </w:rPr>
        <w:t xml:space="preserve">En cas d'annulation valable d'une Commande déjà payée en ligne, Toutci s'efforce d'organiser le remboursement de l'Utilisateur dans un délai raisonnable, selon les modalités propres au prestataire de paiement utilisé.</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préciser le délai contractuel de remboursement une fois le ou les prestataires de paiement définitivement intégrés.</w:t>
            </w:r>
          </w:p>
        </w:tc>
      </w:tr>
    </w:tbl>
    <w:p>
      <w:pPr>
        <w:pStyle w:val="Heading1"/>
        <w:spacing w:after="200" w:before="400"/>
      </w:pPr>
      <w:r>
        <w:rPr>
          <w:b/>
          <w:bCs/>
          <w:color w:val="166534"/>
          <w:sz w:val="26"/>
          <w:szCs w:val="26"/>
        </w:rPr>
        <w:t xml:space="preserve">8. Qualité des produits et réclamations</w:t>
      </w:r>
    </w:p>
    <w:p>
      <w:pPr>
        <w:spacing w:after="160" w:line="300"/>
      </w:pPr>
      <w:r>
        <w:rPr>
          <w:sz w:val="21"/>
          <w:szCs w:val="21"/>
        </w:rPr>
        <w:t xml:space="preserve">La responsabilité de la conformité, de la qualité et de la salubrité des produits proposés incombe au Partenaire qui les prépare. Toutci n'intervient pas dans la préparation des produits et ne saurait être tenue responsable d'un défaut de qualité imputable au Partenaire.</w:t>
      </w:r>
    </w:p>
    <w:p>
      <w:pPr>
        <w:spacing w:after="160" w:line="300"/>
      </w:pPr>
      <w:r>
        <w:rPr>
          <w:sz w:val="21"/>
          <w:szCs w:val="21"/>
        </w:rPr>
        <w:t xml:space="preserve">Toute réclamation relative à une Commande (produit non conforme, manquant, retard significatif) peut être signalée depuis l'application ou aux coordonnées de contact de Toutci, qui la transmettra le cas échéant au Partenaire concerné et pourra faciliter la résolution du litige.</w:t>
      </w:r>
    </w:p>
    <w:p>
      <w:pPr>
        <w:spacing w:after="160" w:line="300"/>
      </w:pPr>
      <w:r>
        <w:rPr>
          <w:sz w:val="21"/>
          <w:szCs w:val="21"/>
        </w:rPr>
        <w:t xml:space="preserve">Les Utilisateurs présentant une allergie ou une intolérance alimentaire sont invités à se renseigner directement auprès du Partenaire avant de valider leur Commande, la Plateforme ne garantissant pas l'exhaustivité des informations allergènes fournies par chaque établissement.</w:t>
      </w:r>
    </w:p>
    <w:p>
      <w:pPr>
        <w:pStyle w:val="Heading1"/>
        <w:spacing w:after="200" w:before="400"/>
      </w:pPr>
      <w:r>
        <w:rPr>
          <w:b/>
          <w:bCs/>
          <w:color w:val="166534"/>
          <w:sz w:val="26"/>
          <w:szCs w:val="26"/>
        </w:rPr>
        <w:t xml:space="preserve">9. Avis et évaluations</w:t>
      </w:r>
    </w:p>
    <w:p>
      <w:pPr>
        <w:spacing w:after="160" w:line="300"/>
      </w:pPr>
      <w:r>
        <w:rPr>
          <w:sz w:val="21"/>
          <w:szCs w:val="21"/>
        </w:rPr>
        <w:t xml:space="preserve">Si la Plateforme permet aux Utilisateurs de laisser un avis sur un Partenaire, cet avis doit être sincère, basé sur une expérience réelle, et respectueux des présentes CGU. Toutci se réserve le droit de modérer ou retirer tout avis manifestement abusif, diffamatoire ou trompeur.</w:t>
      </w:r>
    </w:p>
    <w:p>
      <w:pPr>
        <w:pStyle w:val="Heading1"/>
        <w:spacing w:after="200" w:before="400"/>
      </w:pPr>
      <w:r>
        <w:rPr>
          <w:b/>
          <w:bCs/>
          <w:color w:val="166534"/>
          <w:sz w:val="26"/>
          <w:szCs w:val="26"/>
        </w:rPr>
        <w:t xml:space="preserve">10. Résiliation du Compte consommateur</w:t>
      </w:r>
    </w:p>
    <w:p>
      <w:pPr>
        <w:spacing w:after="160" w:line="300"/>
      </w:pPr>
      <w:r>
        <w:rPr>
          <w:sz w:val="21"/>
          <w:szCs w:val="21"/>
        </w:rPr>
        <w:t xml:space="preserve">L'Utilisateur peut demander la suppression de son Compte à tout moment depuis l'application ou en contactant Toutci. La suppression du Compte n'affecte pas les Commandes déjà en cours, qui devront être menées à leur terme ou annulées selon les règles de l'article 6.</w:t>
      </w:r>
    </w:p>
    <w:p>
      <w:pPr>
        <w:pStyle w:val="Heading1"/>
        <w:spacing w:after="200" w:before="400"/>
      </w:pPr>
      <w:r>
        <w:rPr>
          <w:b/>
          <w:bCs/>
          <w:color w:val="166534"/>
          <w:sz w:val="26"/>
          <w:szCs w:val="26"/>
        </w:rPr>
        <w:t xml:space="preserve">11. Dispositions finales</w:t>
      </w:r>
    </w:p>
    <w:p>
      <w:pPr>
        <w:spacing w:after="160" w:line="300"/>
      </w:pPr>
      <w:r>
        <w:rPr>
          <w:sz w:val="21"/>
          <w:szCs w:val="21"/>
        </w:rPr>
        <w:t xml:space="preserve">Pour toute question relative à la présente Annexe, l'Utilisateur consommateur peut se référer aux CGU (tronc commun) et à la Politique de confidentialité de Toutci, qui s'appliquent conjointement au présent document.</w:t>
      </w:r>
    </w:p>
    <w:p>
      <w:pPr>
        <w:spacing w:before="400"/>
      </w:pPr>
      <w:r>
        <w:rPr>
          <w:i/>
          <w:iCs/>
          <w:color w:val="555555"/>
          <w:sz w:val="18"/>
          <w:szCs w:val="18"/>
        </w:rPr>
        <w:t xml:space="preserve">Dernière mise à jour : [date à compléter lors de la publication]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2026-07-18T11:57:23.988Z</dcterms:created>
  <dcterms:modified xsi:type="dcterms:W3CDTF">2026-07-18T11:57:24.000Z</dcterms:modified>
</cp:coreProperties>
</file>

<file path=docProps/custom.xml><?xml version="1.0" encoding="utf-8"?>
<Properties xmlns="http://schemas.openxmlformats.org/officeDocument/2006/custom-properties" xmlns:vt="http://schemas.openxmlformats.org/officeDocument/2006/docPropsVTypes"/>
</file>