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66534"/>
          <w:sz w:val="40"/>
          <w:szCs w:val="40"/>
        </w:rPr>
        <w:t xml:space="preserve">TOUTCI</w:t>
      </w:r>
    </w:p>
    <w:p>
      <w:pPr>
        <w:spacing w:after="60"/>
        <w:jc w:val="center"/>
      </w:pPr>
      <w:r>
        <w:rPr>
          <w:i/>
          <w:iCs/>
          <w:color w:val="555555"/>
          <w:sz w:val="20"/>
          <w:szCs w:val="20"/>
        </w:rPr>
        <w:t xml:space="preserve">une app pour tout</w:t>
      </w:r>
    </w:p>
    <w:p>
      <w:pPr>
        <w:spacing w:after="200"/>
        <w:jc w:val="center"/>
      </w:pPr>
      <w:r>
        <w:rPr>
          <w:b/>
          <w:bCs/>
          <w:color w:val="1A1A1A"/>
          <w:sz w:val="27"/>
          <w:szCs w:val="27"/>
        </w:rPr>
        <w:t xml:space="preserve">ANNEXE — CONDITIONS APPLICABLES AUX RESTAURATEURS PARTENAIRES</w:t>
      </w:r>
    </w:p>
    <w:p>
      <w:pPr>
        <w:spacing w:after="400"/>
        <w:jc w:val="center"/>
      </w:pPr>
      <w:r>
        <w:rPr>
          <w:i/>
          <w:iCs/>
          <w:color w:val="555555"/>
          <w:sz w:val="20"/>
          <w:szCs w:val="20"/>
        </w:rPr>
        <w:t xml:space="preserve">Complète les Conditions Générales d'Utilisation (tronc commun) de Toutci</w:t>
      </w:r>
    </w:p>
    <w:tbl>
      <w:tblPr>
        <w:tblW w:type="pct" w:w="100%"/>
        <w:tblBorders>
          <w:top w:val="single" w:color="9A6B1E" w:sz="4"/>
          <w:left w:val="single" w:color="9A6B1E" w:sz="4"/>
          <w:bottom w:val="single" w:color="9A6B1E" w:sz="4"/>
          <w:right w:val="single" w:color="9A6B1E" w:sz="4"/>
          <w:insideH w:val="none" w:color="FFFFFF" w:sz="0"/>
          <w:insideV w:val="none" w:color="FFFFFF" w:sz="0"/>
        </w:tblBorders>
      </w:tblPr>
      <w:tblGrid>
        <w:gridCol w:w="100"/>
      </w:tblGrid>
      <w:tr>
        <w:tc>
          <w:tcPr>
            <w:shd w:fill="FBF3E3" w:val="clear"/>
            <w:tcMar>
              <w:top w:type="dxa" w:w="150"/>
              <w:left w:type="dxa" w:w="200"/>
              <w:bottom w:type="dxa" w:w="150"/>
              <w:right w:type="dxa" w:w="200"/>
            </w:tcMar>
          </w:tcPr>
          <w:p>
            <w:r>
              <w:rPr>
                <w:b/>
                <w:bCs/>
                <w:color w:val="9A6B1E"/>
                <w:sz w:val="20"/>
                <w:szCs w:val="20"/>
              </w:rPr>
              <w:t xml:space="preserve">À COMPLÉTER — </w:t>
            </w:r>
            <w:r>
              <w:rPr>
                <w:i/>
                <w:iCs/>
                <w:color w:val="1A1A1A"/>
                <w:sz w:val="20"/>
                <w:szCs w:val="20"/>
              </w:rPr>
              <w:t xml:space="preserve">Cette Annexe complète le document « CGU — Tronc commun ». En cas de contradiction sur un point qu'elle traite spécifiquement, l'Annexe prévaut pour les Restaurateurs partenaires. Ce document constitue également les Conditions Générales de Vente (CGV) applicables à la relation commerciale entre Toutci et le Partenaire.</w:t>
            </w:r>
          </w:p>
        </w:tc>
      </w:tr>
    </w:tbl>
    <w:p>
      <w:pPr>
        <w:pStyle w:val="Heading1"/>
        <w:spacing w:after="200" w:before="400"/>
      </w:pPr>
      <w:r>
        <w:rPr>
          <w:b/>
          <w:bCs/>
          <w:color w:val="166534"/>
          <w:sz w:val="26"/>
          <w:szCs w:val="26"/>
        </w:rPr>
        <w:t xml:space="preserve">1. Objet et champ d'application</w:t>
      </w:r>
    </w:p>
    <w:p>
      <w:pPr>
        <w:spacing w:after="160" w:line="300"/>
      </w:pPr>
      <w:r>
        <w:rPr>
          <w:sz w:val="21"/>
          <w:szCs w:val="21"/>
        </w:rPr>
        <w:t xml:space="preserve">La présente Annexe régit la relation entre Toutci et tout établissement de restauration référencé sur la Plateforme en qualité de partenaire (ci-après le « Partenaire »), notamment les conditions de référencement, la gestion des commandes, la commission perçue par Toutci et les modalités de reversement.</w:t>
      </w:r>
    </w:p>
    <w:p>
      <w:pPr>
        <w:pStyle w:val="Heading1"/>
        <w:spacing w:after="200" w:before="400"/>
      </w:pPr>
      <w:r>
        <w:rPr>
          <w:b/>
          <w:bCs/>
          <w:color w:val="166534"/>
          <w:sz w:val="26"/>
          <w:szCs w:val="26"/>
        </w:rPr>
        <w:t xml:space="preserve">2. Inscription et vérification du Partenaire</w:t>
      </w:r>
    </w:p>
    <w:p>
      <w:pPr>
        <w:spacing w:after="160" w:line="300"/>
      </w:pPr>
      <w:r>
        <w:rPr>
          <w:sz w:val="21"/>
          <w:szCs w:val="21"/>
        </w:rPr>
        <w:t xml:space="preserve">L'inscription en tant que Partenaire s'effectue via le back-office Toutci, à l'aide d'un numéro de téléphone valide et des informations relatives à l'établissement (nom commercial, adresse, gérant).</w:t>
      </w:r>
    </w:p>
    <w:tbl>
      <w:tblPr>
        <w:tblW w:type="pct" w:w="100%"/>
        <w:tblBorders>
          <w:top w:val="single" w:color="9A6B1E" w:sz="4"/>
          <w:left w:val="single" w:color="9A6B1E" w:sz="4"/>
          <w:bottom w:val="single" w:color="9A6B1E" w:sz="4"/>
          <w:right w:val="single" w:color="9A6B1E" w:sz="4"/>
          <w:insideH w:val="none" w:color="FFFFFF" w:sz="0"/>
          <w:insideV w:val="none" w:color="FFFFFF" w:sz="0"/>
        </w:tblBorders>
      </w:tblPr>
      <w:tblGrid>
        <w:gridCol w:w="100"/>
      </w:tblGrid>
      <w:tr>
        <w:tc>
          <w:tcPr>
            <w:shd w:fill="FBF3E3" w:val="clear"/>
            <w:tcMar>
              <w:top w:type="dxa" w:w="150"/>
              <w:left w:type="dxa" w:w="200"/>
              <w:bottom w:type="dxa" w:w="150"/>
              <w:right w:type="dxa" w:w="200"/>
            </w:tcMar>
          </w:tcPr>
          <w:p>
            <w:r>
              <w:rPr>
                <w:b/>
                <w:bCs/>
                <w:color w:val="9A6B1E"/>
                <w:sz w:val="20"/>
                <w:szCs w:val="20"/>
              </w:rPr>
              <w:t xml:space="preserve">À COMPLÉTER — </w:t>
            </w:r>
            <w:r>
              <w:rPr>
                <w:i/>
                <w:iCs/>
                <w:color w:val="1A1A1A"/>
                <w:sz w:val="20"/>
                <w:szCs w:val="20"/>
              </w:rPr>
              <w:t xml:space="preserve">lister précisément les pièces justificatives requises pour la vérification d'un Partenaire (registre de commerce, autorisation d'exploitation, pièce d'identité du gérant, etc.) une fois le processus de vérification finalisé.</w:t>
            </w:r>
          </w:p>
        </w:tc>
      </w:tr>
    </w:tbl>
    <w:p>
      <w:pPr>
        <w:spacing w:after="160" w:line="300"/>
      </w:pPr>
      <w:r>
        <w:rPr>
          <w:sz w:val="21"/>
          <w:szCs w:val="21"/>
        </w:rPr>
        <w:t xml:space="preserve">Toutci se réserve le droit de refuser, suspendre ou différer le référencement d'un établissement ne répondant pas à ses critères de vérification, sans que ce refus n'ait à être motivé au-delà de ce qui est légalement requis.</w:t>
      </w:r>
    </w:p>
    <w:p>
      <w:pPr>
        <w:pStyle w:val="Heading1"/>
        <w:spacing w:after="200" w:before="400"/>
      </w:pPr>
      <w:r>
        <w:rPr>
          <w:b/>
          <w:bCs/>
          <w:color w:val="166534"/>
          <w:sz w:val="26"/>
          <w:szCs w:val="26"/>
        </w:rPr>
        <w:t xml:space="preserve">3. Gestion du menu et des disponibilités</w:t>
      </w:r>
    </w:p>
    <w:p>
      <w:pPr>
        <w:spacing w:after="160" w:line="300"/>
      </w:pPr>
      <w:r>
        <w:rPr>
          <w:sz w:val="21"/>
          <w:szCs w:val="21"/>
        </w:rPr>
        <w:t xml:space="preserve">Le Partenaire est seul responsable de l'exactitude, de la mise à jour et de la conformité des informations qu'il publie sur la Plateforme : intitulés, descriptions, prix, photos, disponibilité des produits et horaires d'ouverture.</w:t>
      </w:r>
    </w:p>
    <w:p>
      <w:pPr>
        <w:spacing w:after="160" w:line="300"/>
      </w:pPr>
      <w:r>
        <w:rPr>
          <w:sz w:val="21"/>
          <w:szCs w:val="21"/>
        </w:rPr>
        <w:t xml:space="preserve">Le Partenaire s'engage à retirer ou marquer comme indisponible tout produit qu'il ne serait plus en mesure de fournir, afin d'éviter toute Commande impossible à honorer.</w:t>
      </w:r>
    </w:p>
    <w:p>
      <w:pPr>
        <w:pStyle w:val="Heading1"/>
        <w:spacing w:after="200" w:before="400"/>
      </w:pPr>
      <w:r>
        <w:rPr>
          <w:b/>
          <w:bCs/>
          <w:color w:val="166534"/>
          <w:sz w:val="26"/>
          <w:szCs w:val="26"/>
        </w:rPr>
        <w:t xml:space="preserve">4. Réception et traitement des Commandes</w:t>
      </w:r>
    </w:p>
    <w:p>
      <w:pPr>
        <w:spacing w:after="160" w:line="300"/>
      </w:pPr>
      <w:r>
        <w:rPr>
          <w:sz w:val="21"/>
          <w:szCs w:val="21"/>
        </w:rPr>
        <w:t xml:space="preserve">Le Partenaire s'engage à consulter régulièrement les Commandes reçues via la Plateforme et à les faire progresser dans les statuts prévus (« recue », « en_preparation », « prete », « servie ») dans des délais raisonnables et conformes aux informations affichées aux Utilisateurs.</w:t>
      </w:r>
    </w:p>
    <w:p>
      <w:pPr>
        <w:spacing w:after="160" w:line="300"/>
      </w:pPr>
      <w:r>
        <w:rPr>
          <w:sz w:val="21"/>
          <w:szCs w:val="21"/>
        </w:rPr>
        <w:t xml:space="preserve">Le Partenaire ne peut annuler une Commande acceptée (statut « en_preparation » ou ultérieur) que pour un motif légitime (rupture de stock imprévue, impossibilité matérielle), et s'engage à en informer Toutci et l'Utilisateur sans délai via la Plateforme.</w:t>
      </w:r>
    </w:p>
    <w:p>
      <w:pPr>
        <w:pStyle w:val="Heading1"/>
        <w:spacing w:after="200" w:before="400"/>
      </w:pPr>
      <w:r>
        <w:rPr>
          <w:b/>
          <w:bCs/>
          <w:color w:val="166534"/>
          <w:sz w:val="26"/>
          <w:szCs w:val="26"/>
        </w:rPr>
        <w:t xml:space="preserve">5. Commission Toutci</w:t>
      </w:r>
    </w:p>
    <w:p>
      <w:pPr>
        <w:spacing w:after="160" w:line="300"/>
      </w:pPr>
      <w:r>
        <w:rPr>
          <w:sz w:val="21"/>
          <w:szCs w:val="21"/>
        </w:rPr>
        <w:t xml:space="preserve">En contrepartie de la mise à disposition de la Plateforme et des services de mise en relation, Toutci perçoit une commission calculée sur le montant de chaque Commande honorée par le Partenaire.</w:t>
      </w:r>
    </w:p>
    <w:tbl>
      <w:tblPr>
        <w:tblW w:type="pct" w:w="100%"/>
        <w:tblBorders>
          <w:top w:val="single" w:color="9A6B1E" w:sz="4"/>
          <w:left w:val="single" w:color="9A6B1E" w:sz="4"/>
          <w:bottom w:val="single" w:color="9A6B1E" w:sz="4"/>
          <w:right w:val="single" w:color="9A6B1E" w:sz="4"/>
          <w:insideH w:val="none" w:color="FFFFFF" w:sz="0"/>
          <w:insideV w:val="none" w:color="FFFFFF" w:sz="0"/>
        </w:tblBorders>
      </w:tblPr>
      <w:tblGrid>
        <w:gridCol w:w="100"/>
      </w:tblGrid>
      <w:tr>
        <w:tc>
          <w:tcPr>
            <w:shd w:fill="FBF3E3" w:val="clear"/>
            <w:tcMar>
              <w:top w:type="dxa" w:w="150"/>
              <w:left w:type="dxa" w:w="200"/>
              <w:bottom w:type="dxa" w:w="150"/>
              <w:right w:type="dxa" w:w="200"/>
            </w:tcMar>
          </w:tcPr>
          <w:p>
            <w:r>
              <w:rPr>
                <w:b/>
                <w:bCs/>
                <w:color w:val="9A6B1E"/>
                <w:sz w:val="20"/>
                <w:szCs w:val="20"/>
              </w:rPr>
              <w:t xml:space="preserve">À COMPLÉTER — </w:t>
            </w:r>
            <w:r>
              <w:rPr>
                <w:i/>
                <w:iCs/>
                <w:color w:val="1A1A1A"/>
                <w:sz w:val="20"/>
                <w:szCs w:val="20"/>
              </w:rPr>
              <w:t xml:space="preserve">préciser ici le taux de commission applicable (fixe ou variable selon la Verticale/le volume), son mode de calcul (assiette : prix des produits, frais de livraison inclus ou non), et toute condition d'évolution du taux, une fois le modèle commercial arrêté. Le champ interne tauxCommissionBps existe déjà côté back-office pour porter cette valeur par Partenaire.</w:t>
            </w:r>
          </w:p>
        </w:tc>
      </w:tr>
    </w:tbl>
    <w:p>
      <w:pPr>
        <w:pStyle w:val="Heading1"/>
        <w:spacing w:after="200" w:before="400"/>
      </w:pPr>
      <w:r>
        <w:rPr>
          <w:b/>
          <w:bCs/>
          <w:color w:val="166534"/>
          <w:sz w:val="26"/>
          <w:szCs w:val="26"/>
        </w:rPr>
        <w:t xml:space="preserve">6. Facturation et reversement</w:t>
      </w:r>
    </w:p>
    <w:p>
      <w:pPr>
        <w:spacing w:after="160" w:line="300"/>
      </w:pPr>
      <w:r>
        <w:rPr>
          <w:sz w:val="21"/>
          <w:szCs w:val="21"/>
        </w:rPr>
        <w:t xml:space="preserve">Le montant dû au Partenaire au titre des Commandes honorées, déduction faite de la commission Toutci, lui est reversé selon une périodicité et des modalités déterminées ci-dessous.</w:t>
      </w:r>
    </w:p>
    <w:tbl>
      <w:tblPr>
        <w:tblW w:type="pct" w:w="100%"/>
        <w:tblBorders>
          <w:top w:val="single" w:color="9A6B1E" w:sz="4"/>
          <w:left w:val="single" w:color="9A6B1E" w:sz="4"/>
          <w:bottom w:val="single" w:color="9A6B1E" w:sz="4"/>
          <w:right w:val="single" w:color="9A6B1E" w:sz="4"/>
          <w:insideH w:val="none" w:color="FFFFFF" w:sz="0"/>
          <w:insideV w:val="none" w:color="FFFFFF" w:sz="0"/>
        </w:tblBorders>
      </w:tblPr>
      <w:tblGrid>
        <w:gridCol w:w="100"/>
      </w:tblGrid>
      <w:tr>
        <w:tc>
          <w:tcPr>
            <w:shd w:fill="FBF3E3" w:val="clear"/>
            <w:tcMar>
              <w:top w:type="dxa" w:w="150"/>
              <w:left w:type="dxa" w:w="200"/>
              <w:bottom w:type="dxa" w:w="150"/>
              <w:right w:type="dxa" w:w="200"/>
            </w:tcMar>
          </w:tcPr>
          <w:p>
            <w:r>
              <w:rPr>
                <w:b/>
                <w:bCs/>
                <w:color w:val="9A6B1E"/>
                <w:sz w:val="20"/>
                <w:szCs w:val="20"/>
              </w:rPr>
              <w:t xml:space="preserve">À COMPLÉTER — </w:t>
            </w:r>
            <w:r>
              <w:rPr>
                <w:i/>
                <w:iCs/>
                <w:color w:val="1A1A1A"/>
                <w:sz w:val="20"/>
                <w:szCs w:val="20"/>
              </w:rPr>
              <w:t xml:space="preserve">préciser la périodicité de reversement (hebdomadaire, mensuelle...), le moyen de reversement (virement, mobile money via le prestataire de paiement retenu), le délai après clôture de période, et les modalités de mise à disposition d'un récapitulatif ou d'une facture au Partenaire.</w:t>
            </w:r>
          </w:p>
        </w:tc>
      </w:tr>
    </w:tbl>
    <w:p>
      <w:pPr>
        <w:spacing w:after="160" w:line="300"/>
      </w:pPr>
      <w:r>
        <w:rPr>
          <w:sz w:val="21"/>
          <w:szCs w:val="21"/>
        </w:rPr>
        <w:t xml:space="preserve">Les montants affichés et reversés sont exprimés en Francs CFA (FCFA). Le Partenaire demeure seul responsable de ses obligations fiscales et comptables relatives aux sommes perçues via la Plateforme.</w:t>
      </w:r>
    </w:p>
    <w:p>
      <w:pPr>
        <w:pStyle w:val="Heading1"/>
        <w:spacing w:after="200" w:before="400"/>
      </w:pPr>
      <w:r>
        <w:rPr>
          <w:b/>
          <w:bCs/>
          <w:color w:val="166534"/>
          <w:sz w:val="26"/>
          <w:szCs w:val="26"/>
        </w:rPr>
        <w:t xml:space="preserve">7. Obligations du Partenaire</w:t>
      </w:r>
    </w:p>
    <w:p>
      <w:pPr>
        <w:spacing w:after="160" w:line="300"/>
      </w:pPr>
      <w:r>
        <w:rPr>
          <w:sz w:val="21"/>
          <w:szCs w:val="21"/>
        </w:rPr>
        <w:t xml:space="preserve">Le Partenaire s'engage à :</w:t>
      </w:r>
    </w:p>
    <w:p>
      <w:pPr>
        <w:pStyle w:val="ListParagraph"/>
        <w:numPr>
          <w:ilvl w:val="0"/>
          <w:numId w:val="2"/>
        </w:numPr>
        <w:spacing w:after="100" w:line="300"/>
      </w:pPr>
      <w:r>
        <w:rPr>
          <w:sz w:val="21"/>
          <w:szCs w:val="21"/>
        </w:rPr>
        <w:t xml:space="preserve">Disposer de toutes les autorisations administratives et sanitaires nécessaires à l'exploitation de son activité de restauration ;</w:t>
      </w:r>
    </w:p>
    <w:p>
      <w:pPr>
        <w:pStyle w:val="ListParagraph"/>
        <w:numPr>
          <w:ilvl w:val="0"/>
          <w:numId w:val="2"/>
        </w:numPr>
        <w:spacing w:after="100" w:line="300"/>
      </w:pPr>
      <w:r>
        <w:rPr>
          <w:sz w:val="21"/>
          <w:szCs w:val="21"/>
        </w:rPr>
        <w:t xml:space="preserve">Garantir la qualité, la salubrité et la conformité des produits proposés aux normes applicables en Côte d'Ivoire ;</w:t>
      </w:r>
    </w:p>
    <w:p>
      <w:pPr>
        <w:pStyle w:val="ListParagraph"/>
        <w:numPr>
          <w:ilvl w:val="0"/>
          <w:numId w:val="2"/>
        </w:numPr>
        <w:spacing w:after="100" w:line="300"/>
      </w:pPr>
      <w:r>
        <w:rPr>
          <w:sz w:val="21"/>
          <w:szCs w:val="21"/>
        </w:rPr>
        <w:t xml:space="preserve">Afficher des prix exacts et à jour sur la Plateforme ;</w:t>
      </w:r>
    </w:p>
    <w:p>
      <w:pPr>
        <w:pStyle w:val="ListParagraph"/>
        <w:numPr>
          <w:ilvl w:val="0"/>
          <w:numId w:val="2"/>
        </w:numPr>
        <w:spacing w:after="100" w:line="300"/>
      </w:pPr>
      <w:r>
        <w:rPr>
          <w:sz w:val="21"/>
          <w:szCs w:val="21"/>
        </w:rPr>
        <w:t xml:space="preserve">Traiter les Commandes reçues avec diligence et dans le respect des délais annoncés ;</w:t>
      </w:r>
    </w:p>
    <w:p>
      <w:pPr>
        <w:pStyle w:val="ListParagraph"/>
        <w:numPr>
          <w:ilvl w:val="0"/>
          <w:numId w:val="2"/>
        </w:numPr>
        <w:spacing w:after="100" w:line="300"/>
      </w:pPr>
      <w:r>
        <w:rPr>
          <w:sz w:val="21"/>
          <w:szCs w:val="21"/>
        </w:rPr>
        <w:t xml:space="preserve">Ne pas détourner les Utilisateurs de la Plateforme pour éluder la commission due à Toutci sur une Commande initiée via Toutci ;</w:t>
      </w:r>
    </w:p>
    <w:p>
      <w:pPr>
        <w:pStyle w:val="ListParagraph"/>
        <w:numPr>
          <w:ilvl w:val="0"/>
          <w:numId w:val="2"/>
        </w:numPr>
        <w:spacing w:after="100" w:line="300"/>
      </w:pPr>
      <w:r>
        <w:rPr>
          <w:sz w:val="21"/>
          <w:szCs w:val="21"/>
        </w:rPr>
        <w:t xml:space="preserve">Informer Toutci de toute fermeture temporaire ou définitive de l'établissement dans les meilleurs délais.</w:t>
      </w:r>
    </w:p>
    <w:p>
      <w:pPr>
        <w:pStyle w:val="Heading1"/>
        <w:spacing w:after="200" w:before="400"/>
      </w:pPr>
      <w:r>
        <w:rPr>
          <w:b/>
          <w:bCs/>
          <w:color w:val="166534"/>
          <w:sz w:val="26"/>
          <w:szCs w:val="26"/>
        </w:rPr>
        <w:t xml:space="preserve">8. Responsabilité du Partenaire</w:t>
      </w:r>
    </w:p>
    <w:p>
      <w:pPr>
        <w:spacing w:after="160" w:line="300"/>
      </w:pPr>
      <w:r>
        <w:rPr>
          <w:sz w:val="21"/>
          <w:szCs w:val="21"/>
        </w:rPr>
        <w:t xml:space="preserve">Le Partenaire est seul responsable, à l'égard des Utilisateurs consommateurs, de la préparation, de la qualité, de la conformité et de la sécurité sanitaire des produits qu'il propose. Toutci n'intervient pas dans la préparation des produits et ne saurait être tenue responsable d'un manquement imputable au Partenaire.</w:t>
      </w:r>
    </w:p>
    <w:p>
      <w:pPr>
        <w:spacing w:after="160" w:line="300"/>
      </w:pPr>
      <w:r>
        <w:rPr>
          <w:sz w:val="21"/>
          <w:szCs w:val="21"/>
        </w:rPr>
        <w:t xml:space="preserve">Le Partenaire garantit Toutci contre toute réclamation, action ou condamnation résultant d'un manquement du Partenaire à ses propres obligations légales, réglementaires ou contractuelles.</w:t>
      </w:r>
    </w:p>
    <w:p>
      <w:pPr>
        <w:pStyle w:val="Heading1"/>
        <w:spacing w:after="200" w:before="400"/>
      </w:pPr>
      <w:r>
        <w:rPr>
          <w:b/>
          <w:bCs/>
          <w:color w:val="166534"/>
          <w:sz w:val="26"/>
          <w:szCs w:val="26"/>
        </w:rPr>
        <w:t xml:space="preserve">9. Suspension et résiliation du partenariat</w:t>
      </w:r>
    </w:p>
    <w:p>
      <w:pPr>
        <w:spacing w:after="160" w:line="300"/>
      </w:pPr>
      <w:r>
        <w:rPr>
          <w:sz w:val="21"/>
          <w:szCs w:val="21"/>
        </w:rPr>
        <w:t xml:space="preserve">Toutci peut suspendre ou résilier l'accès d'un Partenaire à la Plateforme en cas de manquement aux présentes conditions, de réclamations répétées d'Utilisateurs, de non-respect des délais de préparation, ou de tout comportement portant atteinte à la confiance des Utilisateurs envers la Plateforme.</w:t>
      </w:r>
    </w:p>
    <w:p>
      <w:pPr>
        <w:spacing w:after="160" w:line="300"/>
      </w:pPr>
      <w:r>
        <w:rPr>
          <w:sz w:val="21"/>
          <w:szCs w:val="21"/>
        </w:rPr>
        <w:t xml:space="preserve">Chaque partie peut mettre fin au partenariat moyennant un préavis raisonnable, sauf manquement grave justifiant une résiliation immédiate.</w:t>
      </w:r>
    </w:p>
    <w:tbl>
      <w:tblPr>
        <w:tblW w:type="pct" w:w="100%"/>
        <w:tblBorders>
          <w:top w:val="single" w:color="9A6B1E" w:sz="4"/>
          <w:left w:val="single" w:color="9A6B1E" w:sz="4"/>
          <w:bottom w:val="single" w:color="9A6B1E" w:sz="4"/>
          <w:right w:val="single" w:color="9A6B1E" w:sz="4"/>
          <w:insideH w:val="none" w:color="FFFFFF" w:sz="0"/>
          <w:insideV w:val="none" w:color="FFFFFF" w:sz="0"/>
        </w:tblBorders>
      </w:tblPr>
      <w:tblGrid>
        <w:gridCol w:w="100"/>
      </w:tblGrid>
      <w:tr>
        <w:tc>
          <w:tcPr>
            <w:shd w:fill="FBF3E3" w:val="clear"/>
            <w:tcMar>
              <w:top w:type="dxa" w:w="150"/>
              <w:left w:type="dxa" w:w="200"/>
              <w:bottom w:type="dxa" w:w="150"/>
              <w:right w:type="dxa" w:w="200"/>
            </w:tcMar>
          </w:tcPr>
          <w:p>
            <w:r>
              <w:rPr>
                <w:b/>
                <w:bCs/>
                <w:color w:val="9A6B1E"/>
                <w:sz w:val="20"/>
                <w:szCs w:val="20"/>
              </w:rPr>
              <w:t xml:space="preserve">À COMPLÉTER — </w:t>
            </w:r>
            <w:r>
              <w:rPr>
                <w:i/>
                <w:iCs/>
                <w:color w:val="1A1A1A"/>
                <w:sz w:val="20"/>
                <w:szCs w:val="20"/>
              </w:rPr>
              <w:t xml:space="preserve">fixer une durée de préavis précise (ex. 30 jours) une fois le modèle contractuel validé avec un juriste.</w:t>
            </w:r>
          </w:p>
        </w:tc>
      </w:tr>
    </w:tbl>
    <w:p>
      <w:pPr>
        <w:pStyle w:val="Heading1"/>
        <w:spacing w:after="200" w:before="400"/>
      </w:pPr>
      <w:r>
        <w:rPr>
          <w:b/>
          <w:bCs/>
          <w:color w:val="166534"/>
          <w:sz w:val="26"/>
          <w:szCs w:val="26"/>
        </w:rPr>
        <w:t xml:space="preserve">10. Utilisation des données de vente</w:t>
      </w:r>
    </w:p>
    <w:p>
      <w:pPr>
        <w:spacing w:after="160" w:line="300"/>
      </w:pPr>
      <w:r>
        <w:rPr>
          <w:sz w:val="21"/>
          <w:szCs w:val="21"/>
        </w:rPr>
        <w:t xml:space="preserve">Toutci peut utiliser les données agrégées et anonymisées issues de l'activité des Partenaires à des fins statistiques, d'amélioration de la Plateforme et de développement de nouvelles fonctionnalités. Les données individuelles d'un Partenaire ne sont pas communiquées à d'autres Partenaires.</w:t>
      </w:r>
    </w:p>
    <w:p>
      <w:pPr>
        <w:spacing w:after="160" w:line="300"/>
      </w:pPr>
      <w:r>
        <w:rPr>
          <w:sz w:val="21"/>
          <w:szCs w:val="21"/>
        </w:rPr>
        <w:t xml:space="preserve">Les champs internes de gestion (tels que les motifs de rejet ou de suspension d'un compte) sont réservés à un usage interne de Toutci et ne sont pas exposés au Partenaire ni à des tiers.</w:t>
      </w:r>
    </w:p>
    <w:p>
      <w:pPr>
        <w:pStyle w:val="Heading1"/>
        <w:spacing w:after="200" w:before="400"/>
      </w:pPr>
      <w:r>
        <w:rPr>
          <w:b/>
          <w:bCs/>
          <w:color w:val="166534"/>
          <w:sz w:val="26"/>
          <w:szCs w:val="26"/>
        </w:rPr>
        <w:t xml:space="preserve">11. Non-exclusivité</w:t>
      </w:r>
    </w:p>
    <w:p>
      <w:pPr>
        <w:spacing w:after="160" w:line="300"/>
      </w:pPr>
      <w:r>
        <w:rPr>
          <w:sz w:val="21"/>
          <w:szCs w:val="21"/>
        </w:rPr>
        <w:t xml:space="preserve">Sauf accord contraire, le référencement d'un établissement sur Toutci n'est pas exclusif : le Partenaire demeure libre de recourir à d'autres canaux de vente ou plateformes concurrentes.</w:t>
      </w:r>
    </w:p>
    <w:p>
      <w:pPr>
        <w:pStyle w:val="Heading1"/>
        <w:spacing w:after="200" w:before="400"/>
      </w:pPr>
      <w:r>
        <w:rPr>
          <w:b/>
          <w:bCs/>
          <w:color w:val="166534"/>
          <w:sz w:val="26"/>
          <w:szCs w:val="26"/>
        </w:rPr>
        <w:t xml:space="preserve">12. Dispositions finales</w:t>
      </w:r>
    </w:p>
    <w:p>
      <w:pPr>
        <w:spacing w:after="160" w:line="300"/>
      </w:pPr>
      <w:r>
        <w:rPr>
          <w:sz w:val="21"/>
          <w:szCs w:val="21"/>
        </w:rPr>
        <w:t xml:space="preserve">Pour toute question relative à la présente Annexe, le Partenaire peut se référer aux CGU (tronc commun) et à la Politique de confidentialité de Toutci, qui s'appliquent conjointement au présent document.</w:t>
      </w:r>
    </w:p>
    <w:p>
      <w:pPr>
        <w:spacing w:before="400"/>
      </w:pPr>
      <w:r>
        <w:rPr>
          <w:i/>
          <w:iCs/>
          <w:color w:val="555555"/>
          <w:sz w:val="18"/>
          <w:szCs w:val="18"/>
        </w:rPr>
        <w:t xml:space="preserve">Dernière mise à jour : [date à compléter lors de la publication]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2026-07-18T11:58:28.982Z</dcterms:created>
  <dcterms:modified xsi:type="dcterms:W3CDTF">2026-07-18T11:58:28.982Z</dcterms:modified>
</cp:coreProperties>
</file>

<file path=docProps/custom.xml><?xml version="1.0" encoding="utf-8"?>
<Properties xmlns="http://schemas.openxmlformats.org/officeDocument/2006/custom-properties" xmlns:vt="http://schemas.openxmlformats.org/officeDocument/2006/docPropsVTypes"/>
</file>