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400"/>
        <w:jc w:val="center"/>
      </w:pPr>
      <w:r>
        <w:rPr>
          <w:b/>
          <w:bCs/>
          <w:color w:val="1A1A1A"/>
          <w:sz w:val="30"/>
          <w:szCs w:val="30"/>
        </w:rPr>
        <w:t xml:space="preserve">POLITIQUE DE CONFIDENTIALITÉ</w:t>
      </w:r>
    </w:p>
    <w:p>
      <w:pPr>
        <w:spacing w:after="400"/>
        <w:jc w:val="center"/>
      </w:pPr>
      <w:r>
        <w:rPr>
          <w:i/>
          <w:iCs/>
          <w:color w:val="555555"/>
          <w:sz w:val="20"/>
          <w:szCs w:val="20"/>
        </w:rPr>
        <w:t xml:space="preserve">Applicable au site web et à l'application mobile Toutci</w:t>
      </w:r>
    </w:p>
    <w:p>
      <w:pPr>
        <w:pStyle w:val="Heading1"/>
        <w:spacing w:after="200" w:before="400"/>
      </w:pPr>
      <w:r>
        <w:rPr>
          <w:b/>
          <w:bCs/>
          <w:color w:val="166534"/>
          <w:sz w:val="26"/>
          <w:szCs w:val="26"/>
        </w:rPr>
        <w:t xml:space="preserve">Préambule</w:t>
      </w:r>
    </w:p>
    <w:p>
      <w:pPr>
        <w:spacing w:after="160" w:line="300"/>
      </w:pPr>
      <w:r>
        <w:rPr>
          <w:sz w:val="21"/>
          <w:szCs w:val="21"/>
        </w:rPr>
        <w:t xml:space="preserve">La présente politique de confidentialité (ci-après la « Politique ») décrit la manière dont Toutci collecte, utilise, conserve et protège les données à caractère personnel des personnes qui utilisent le site web et l'application mobile Toutci (ci-après, ensemble, la « Plateforme »).</w:t>
      </w:r>
    </w:p>
    <w:p>
      <w:pPr>
        <w:spacing w:after="160" w:line="300"/>
      </w:pPr>
      <w:r>
        <w:rPr>
          <w:sz w:val="21"/>
          <w:szCs w:val="21"/>
        </w:rPr>
        <w:t xml:space="preserve">Toutci est une place de marché (marketplace) locale mettant en relation des utilisateurs avec des professionnels partenaires — restaurateurs dans un premier temps, puis progressivement d'autres catégories telles que des résidences et des organisateurs d'événements. Toutci n'est ni restaurateur, ni hébergeur, ni organisateur d'événements : elle exploite la Plateforme technique qui permet la mise en relation.</w:t>
      </w:r>
    </w:p>
    <w:p>
      <w:pPr>
        <w:spacing w:after="160" w:line="300"/>
      </w:pPr>
      <w:r>
        <w:rPr>
          <w:sz w:val="21"/>
          <w:szCs w:val="21"/>
        </w:rPr>
        <w:t xml:space="preserve">La présente Politique s'applique à toutes les catégories d'utilisateurs de la Plateforme : utilisateurs consommateurs, restaurateurs partenaires, et plus généralement tout professionnel partenaire référencé sur la Plateforme.</w:t>
      </w:r>
    </w:p>
    <w:p>
      <w:pPr>
        <w:pStyle w:val="Heading1"/>
        <w:spacing w:after="200" w:before="400"/>
      </w:pPr>
      <w:r>
        <w:rPr>
          <w:b/>
          <w:bCs/>
          <w:color w:val="166534"/>
          <w:sz w:val="26"/>
          <w:szCs w:val="26"/>
        </w:rPr>
        <w:t xml:space="preserve">1. Responsable du traitement</w:t>
      </w:r>
    </w:p>
    <w:p>
      <w:pPr>
        <w:spacing w:after="160" w:line="300"/>
      </w:pPr>
      <w:r>
        <w:rPr>
          <w:sz w:val="21"/>
          <w:szCs w:val="21"/>
        </w:rPr>
        <w:t xml:space="preserve">Le responsable du traitement des données à caractère personnel collectées via la Plateforme est :</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dénomination sociale, forme juridique, numéro RCCM, siège social, et adresse e-mail du délégué à la protection des données (DPO) ou du contact vie privée, dès l'immatriculation de la société.</w:t>
            </w:r>
          </w:p>
        </w:tc>
      </w:tr>
    </w:tbl>
    <w:p>
      <w:pPr>
        <w:spacing w:after="160" w:line="300"/>
      </w:pPr>
      <w:r>
        <w:rPr>
          <w:sz w:val="21"/>
          <w:szCs w:val="21"/>
        </w:rPr>
        <w:t xml:space="preserve">Jusqu'à finalisation de l'immatriculation, le porteur du projet Toutci agit en qualité de responsable de traitement de fait pour les besoins du développement et des tests de la Plateforme.</w:t>
      </w:r>
    </w:p>
    <w:p>
      <w:pPr>
        <w:pStyle w:val="Heading1"/>
        <w:spacing w:after="200" w:before="400"/>
      </w:pPr>
      <w:r>
        <w:rPr>
          <w:b/>
          <w:bCs/>
          <w:color w:val="166534"/>
          <w:sz w:val="26"/>
          <w:szCs w:val="26"/>
        </w:rPr>
        <w:t xml:space="preserve">2. Champ d'application</w:t>
      </w:r>
    </w:p>
    <w:p>
      <w:pPr>
        <w:spacing w:after="160" w:line="300"/>
      </w:pPr>
      <w:r>
        <w:rPr>
          <w:sz w:val="21"/>
          <w:szCs w:val="21"/>
        </w:rPr>
        <w:t xml:space="preserve">Cette Politique couvre :</w:t>
      </w:r>
    </w:p>
    <w:p>
      <w:pPr>
        <w:pStyle w:val="ListParagraph"/>
        <w:numPr>
          <w:ilvl w:val="0"/>
          <w:numId w:val="2"/>
        </w:numPr>
        <w:spacing w:after="100" w:line="300"/>
      </w:pPr>
      <w:r>
        <w:rPr>
          <w:sz w:val="21"/>
          <w:szCs w:val="21"/>
        </w:rPr>
        <w:t xml:space="preserve">L'application mobile Toutci (consommateurs) ;</w:t>
      </w:r>
    </w:p>
    <w:p>
      <w:pPr>
        <w:pStyle w:val="ListParagraph"/>
        <w:numPr>
          <w:ilvl w:val="0"/>
          <w:numId w:val="2"/>
        </w:numPr>
        <w:spacing w:after="100" w:line="300"/>
      </w:pPr>
      <w:r>
        <w:rPr>
          <w:sz w:val="21"/>
          <w:szCs w:val="21"/>
        </w:rPr>
        <w:t xml:space="preserve">Le site web / back-office Toutci (interface restaurateurs et, à terme, autres partenaires) ;</w:t>
      </w:r>
    </w:p>
    <w:p>
      <w:pPr>
        <w:pStyle w:val="ListParagraph"/>
        <w:numPr>
          <w:ilvl w:val="0"/>
          <w:numId w:val="2"/>
        </w:numPr>
        <w:spacing w:after="100" w:line="300"/>
      </w:pPr>
      <w:r>
        <w:rPr>
          <w:sz w:val="21"/>
          <w:szCs w:val="21"/>
        </w:rPr>
        <w:t xml:space="preserve">L'ensemble des verticales proposées sur la Plateforme : restauration (vertical actif), résidences et événements (verticales à venir).</w:t>
      </w:r>
    </w:p>
    <w:p>
      <w:pPr>
        <w:spacing w:after="160" w:line="300"/>
      </w:pPr>
      <w:r>
        <w:rPr>
          <w:sz w:val="21"/>
          <w:szCs w:val="21"/>
        </w:rPr>
        <w:t xml:space="preserve">Des mentions spécifiques par plateforme (mobile / web) et par verticale sont signalées lorsque nécessaire dans les sections ci-dessous.</w:t>
      </w:r>
    </w:p>
    <w:p>
      <w:pPr>
        <w:pStyle w:val="Heading1"/>
        <w:spacing w:after="200" w:before="400"/>
      </w:pPr>
      <w:r>
        <w:rPr>
          <w:b/>
          <w:bCs/>
          <w:color w:val="166534"/>
          <w:sz w:val="26"/>
          <w:szCs w:val="26"/>
        </w:rPr>
        <w:t xml:space="preserve">3. Données collectées</w:t>
      </w:r>
    </w:p>
    <w:p>
      <w:pPr>
        <w:pStyle w:val="Heading2"/>
        <w:spacing w:after="120" w:before="280"/>
      </w:pPr>
      <w:r>
        <w:rPr>
          <w:b/>
          <w:bCs/>
          <w:color w:val="1A1A1A"/>
          <w:sz w:val="22"/>
          <w:szCs w:val="22"/>
        </w:rPr>
        <w:t xml:space="preserve">3.1 Données des utilisateurs consommateurs</w:t>
      </w:r>
    </w:p>
    <w:p>
      <w:pPr>
        <w:pStyle w:val="ListParagraph"/>
        <w:numPr>
          <w:ilvl w:val="0"/>
          <w:numId w:val="2"/>
        </w:numPr>
        <w:spacing w:after="100" w:line="300"/>
      </w:pPr>
      <w:r>
        <w:rPr>
          <w:sz w:val="21"/>
          <w:szCs w:val="21"/>
        </w:rPr>
        <w:t xml:space="preserve">Données d'identification : numéro de téléphone (identifiant principal de connexion), nom, prénom ;</w:t>
      </w:r>
    </w:p>
    <w:p>
      <w:pPr>
        <w:pStyle w:val="ListParagraph"/>
        <w:numPr>
          <w:ilvl w:val="0"/>
          <w:numId w:val="2"/>
        </w:numPr>
        <w:spacing w:after="100" w:line="300"/>
      </w:pPr>
      <w:r>
        <w:rPr>
          <w:sz w:val="21"/>
          <w:szCs w:val="21"/>
        </w:rPr>
        <w:t xml:space="preserve">Données de commande : historique des commandes, produits commandés, montants, statut de commande ;</w:t>
      </w:r>
    </w:p>
    <w:p>
      <w:pPr>
        <w:pStyle w:val="ListParagraph"/>
        <w:numPr>
          <w:ilvl w:val="0"/>
          <w:numId w:val="2"/>
        </w:numPr>
        <w:spacing w:after="100" w:line="300"/>
      </w:pPr>
      <w:r>
        <w:rPr>
          <w:sz w:val="21"/>
          <w:szCs w:val="21"/>
        </w:rPr>
        <w:t xml:space="preserve">Données de localisation : position ou quartier renseigné, utilisés pour l'affichage de la carte et la mise en relation avec les restaurateurs à proximité ;</w:t>
      </w:r>
    </w:p>
    <w:p>
      <w:pPr>
        <w:pStyle w:val="ListParagraph"/>
        <w:numPr>
          <w:ilvl w:val="0"/>
          <w:numId w:val="2"/>
        </w:numPr>
        <w:spacing w:after="100" w:line="300"/>
      </w:pPr>
      <w:r>
        <w:rPr>
          <w:sz w:val="21"/>
          <w:szCs w:val="21"/>
        </w:rPr>
        <w:t xml:space="preserve">Données de paiement : Toutci ne stocke aucune donnée bancaire ou de moyen de paiement ; ces données sont traitées directement par le prestataire de paiement tiers (voir section 7) ;</w:t>
      </w:r>
    </w:p>
    <w:p>
      <w:pPr>
        <w:pStyle w:val="ListParagraph"/>
        <w:numPr>
          <w:ilvl w:val="0"/>
          <w:numId w:val="2"/>
        </w:numPr>
        <w:spacing w:after="100" w:line="300"/>
      </w:pPr>
      <w:r>
        <w:rPr>
          <w:sz w:val="21"/>
          <w:szCs w:val="21"/>
        </w:rPr>
        <w:t xml:space="preserve">Préférences et favoris déclarés sur l'application.</w:t>
      </w:r>
    </w:p>
    <w:p>
      <w:pPr>
        <w:pStyle w:val="Heading2"/>
        <w:spacing w:after="120" w:before="280"/>
      </w:pPr>
      <w:r>
        <w:rPr>
          <w:b/>
          <w:bCs/>
          <w:color w:val="1A1A1A"/>
          <w:sz w:val="22"/>
          <w:szCs w:val="22"/>
        </w:rPr>
        <w:t xml:space="preserve">3.2 Données des restaurateurs partenaires</w:t>
      </w:r>
    </w:p>
    <w:p>
      <w:pPr>
        <w:pStyle w:val="ListParagraph"/>
        <w:numPr>
          <w:ilvl w:val="0"/>
          <w:numId w:val="2"/>
        </w:numPr>
        <w:spacing w:after="100" w:line="300"/>
      </w:pPr>
      <w:r>
        <w:rPr>
          <w:sz w:val="21"/>
          <w:szCs w:val="21"/>
        </w:rPr>
        <w:t xml:space="preserve">Données d'identification du compte et de l'établissement : nom du gérant, nom commercial, numéro de téléphone, adresse de l'établissement ;</w:t>
      </w:r>
    </w:p>
    <w:p>
      <w:pPr>
        <w:pStyle w:val="ListParagraph"/>
        <w:numPr>
          <w:ilvl w:val="0"/>
          <w:numId w:val="2"/>
        </w:numPr>
        <w:spacing w:after="100" w:line="300"/>
      </w:pPr>
      <w:r>
        <w:rPr>
          <w:sz w:val="21"/>
          <w:szCs w:val="21"/>
        </w:rPr>
        <w:t xml:space="preserve">Données professionnelles nécessaires à la vérification du partenaire (selon les pièces requises lors de l'inscription) ;</w:t>
      </w:r>
    </w:p>
    <w:p>
      <w:pPr>
        <w:pStyle w:val="ListParagraph"/>
        <w:numPr>
          <w:ilvl w:val="0"/>
          <w:numId w:val="2"/>
        </w:numPr>
        <w:spacing w:after="100" w:line="300"/>
      </w:pPr>
      <w:r>
        <w:rPr>
          <w:sz w:val="21"/>
          <w:szCs w:val="21"/>
        </w:rPr>
        <w:t xml:space="preserve">Données de gestion du menu, des créneaux de disponibilité et des commandes reçues ;</w:t>
      </w:r>
    </w:p>
    <w:p>
      <w:pPr>
        <w:pStyle w:val="ListParagraph"/>
        <w:numPr>
          <w:ilvl w:val="0"/>
          <w:numId w:val="2"/>
        </w:numPr>
        <w:spacing w:after="100" w:line="300"/>
      </w:pPr>
      <w:r>
        <w:rPr>
          <w:sz w:val="21"/>
          <w:szCs w:val="21"/>
        </w:rPr>
        <w:t xml:space="preserve">Données de facturation et de reversement liées aux commissions perçues par Toutci.</w:t>
      </w:r>
    </w:p>
    <w:p>
      <w:pPr>
        <w:pStyle w:val="Heading2"/>
        <w:spacing w:after="120" w:before="280"/>
      </w:pPr>
      <w:r>
        <w:rPr>
          <w:b/>
          <w:bCs/>
          <w:color w:val="1A1A1A"/>
          <w:sz w:val="22"/>
          <w:szCs w:val="22"/>
        </w:rPr>
        <w:t xml:space="preserve">3.3 Données collectées automatiquement</w:t>
      </w:r>
    </w:p>
    <w:p>
      <w:pPr>
        <w:pStyle w:val="ListParagraph"/>
        <w:numPr>
          <w:ilvl w:val="0"/>
          <w:numId w:val="2"/>
        </w:numPr>
        <w:spacing w:after="100" w:line="300"/>
      </w:pPr>
      <w:r>
        <w:rPr>
          <w:sz w:val="21"/>
          <w:szCs w:val="21"/>
        </w:rPr>
        <w:t xml:space="preserve">Données techniques : type d'appareil, système d'exploitation, identifiants applicatifs, journaux de connexion ;</w:t>
      </w:r>
    </w:p>
    <w:p>
      <w:pPr>
        <w:pStyle w:val="ListParagraph"/>
        <w:numPr>
          <w:ilvl w:val="0"/>
          <w:numId w:val="2"/>
        </w:numPr>
        <w:spacing w:after="100" w:line="300"/>
      </w:pPr>
      <w:r>
        <w:rPr>
          <w:sz w:val="21"/>
          <w:szCs w:val="21"/>
        </w:rPr>
        <w:t xml:space="preserve">Données de géolocalisation transmises par l'application mobile (avec autorisation de l'utilisateur, via le système d'exploitation) ;</w:t>
      </w:r>
    </w:p>
    <w:p>
      <w:pPr>
        <w:pStyle w:val="ListParagraph"/>
        <w:numPr>
          <w:ilvl w:val="0"/>
          <w:numId w:val="2"/>
        </w:numPr>
        <w:spacing w:after="100" w:line="300"/>
      </w:pPr>
      <w:r>
        <w:rPr>
          <w:sz w:val="21"/>
          <w:szCs w:val="21"/>
        </w:rPr>
        <w:t xml:space="preserve">Sur le site web : cookies et traceurs, décrits dans une Politique de cookies dédiée.</w:t>
      </w:r>
    </w:p>
    <w:p>
      <w:pPr>
        <w:pStyle w:val="Heading1"/>
        <w:spacing w:after="200" w:before="400"/>
      </w:pPr>
      <w:r>
        <w:rPr>
          <w:b/>
          <w:bCs/>
          <w:color w:val="166534"/>
          <w:sz w:val="26"/>
          <w:szCs w:val="26"/>
        </w:rPr>
        <w:t xml:space="preserve">4. Finalités du traitement</w:t>
      </w:r>
    </w:p>
    <w:p>
      <w:pPr>
        <w:spacing w:after="160" w:line="300"/>
      </w:pPr>
      <w:r>
        <w:rPr>
          <w:sz w:val="21"/>
          <w:szCs w:val="21"/>
        </w:rPr>
        <w:t xml:space="preserve">Les données collectées sont utilisées pour :</w:t>
      </w:r>
    </w:p>
    <w:p>
      <w:pPr>
        <w:pStyle w:val="ListParagraph"/>
        <w:numPr>
          <w:ilvl w:val="0"/>
          <w:numId w:val="2"/>
        </w:numPr>
        <w:spacing w:after="100" w:line="300"/>
      </w:pPr>
      <w:r>
        <w:rPr>
          <w:sz w:val="21"/>
          <w:szCs w:val="21"/>
        </w:rPr>
        <w:t xml:space="preserve">Créer et gérer le compte utilisateur ou partenaire, et authentifier les connexions par numéro de téléphone ;</w:t>
      </w:r>
    </w:p>
    <w:p>
      <w:pPr>
        <w:pStyle w:val="ListParagraph"/>
        <w:numPr>
          <w:ilvl w:val="0"/>
          <w:numId w:val="2"/>
        </w:numPr>
        <w:spacing w:after="100" w:line="300"/>
      </w:pPr>
      <w:r>
        <w:rPr>
          <w:sz w:val="21"/>
          <w:szCs w:val="21"/>
        </w:rPr>
        <w:t xml:space="preserve">Permettre la prise, le suivi et la livraison des commandes entre utilisateurs et restaurateurs partenaires ;</w:t>
      </w:r>
    </w:p>
    <w:p>
      <w:pPr>
        <w:pStyle w:val="ListParagraph"/>
        <w:numPr>
          <w:ilvl w:val="0"/>
          <w:numId w:val="2"/>
        </w:numPr>
        <w:spacing w:after="100" w:line="300"/>
      </w:pPr>
      <w:r>
        <w:rPr>
          <w:sz w:val="21"/>
          <w:szCs w:val="21"/>
        </w:rPr>
        <w:t xml:space="preserve">Afficher les établissements partenaires à proximité de l'utilisateur (fonctionnalités cartographiques) ;</w:t>
      </w:r>
    </w:p>
    <w:p>
      <w:pPr>
        <w:pStyle w:val="ListParagraph"/>
        <w:numPr>
          <w:ilvl w:val="0"/>
          <w:numId w:val="2"/>
        </w:numPr>
        <w:spacing w:after="100" w:line="300"/>
      </w:pPr>
      <w:r>
        <w:rPr>
          <w:sz w:val="21"/>
          <w:szCs w:val="21"/>
        </w:rPr>
        <w:t xml:space="preserve">Gérer la relation contractuelle avec les restaurateurs partenaires (commissions, reversements) ;</w:t>
      </w:r>
    </w:p>
    <w:p>
      <w:pPr>
        <w:pStyle w:val="ListParagraph"/>
        <w:numPr>
          <w:ilvl w:val="0"/>
          <w:numId w:val="2"/>
        </w:numPr>
        <w:spacing w:after="100" w:line="300"/>
      </w:pPr>
      <w:r>
        <w:rPr>
          <w:sz w:val="21"/>
          <w:szCs w:val="21"/>
        </w:rPr>
        <w:t xml:space="preserve">Assurer la sécurité de la Plateforme et prévenir la fraude ;</w:t>
      </w:r>
    </w:p>
    <w:p>
      <w:pPr>
        <w:pStyle w:val="ListParagraph"/>
        <w:numPr>
          <w:ilvl w:val="0"/>
          <w:numId w:val="2"/>
        </w:numPr>
        <w:spacing w:after="100" w:line="300"/>
      </w:pPr>
      <w:r>
        <w:rPr>
          <w:sz w:val="21"/>
          <w:szCs w:val="21"/>
        </w:rPr>
        <w:t xml:space="preserve">Réaliser des statistiques agrégées d'usage afin d'améliorer le service ;</w:t>
      </w:r>
    </w:p>
    <w:p>
      <w:pPr>
        <w:pStyle w:val="ListParagraph"/>
        <w:numPr>
          <w:ilvl w:val="0"/>
          <w:numId w:val="2"/>
        </w:numPr>
        <w:spacing w:after="100" w:line="300"/>
      </w:pPr>
      <w:r>
        <w:rPr>
          <w:sz w:val="21"/>
          <w:szCs w:val="21"/>
        </w:rPr>
        <w:t xml:space="preserve">Adresser des notifications relatives aux commandes et, sous réserve du consentement de l'utilisateur, des communications marketing ;</w:t>
      </w:r>
    </w:p>
    <w:p>
      <w:pPr>
        <w:pStyle w:val="ListParagraph"/>
        <w:numPr>
          <w:ilvl w:val="0"/>
          <w:numId w:val="2"/>
        </w:numPr>
        <w:spacing w:after="100" w:line="300"/>
      </w:pPr>
      <w:r>
        <w:rPr>
          <w:sz w:val="21"/>
          <w:szCs w:val="21"/>
        </w:rPr>
        <w:t xml:space="preserve">Répondre aux obligations légales et réglementaires applicables en Côte d'Ivoire.</w:t>
      </w:r>
    </w:p>
    <w:p>
      <w:pPr>
        <w:pStyle w:val="Heading1"/>
        <w:spacing w:after="200" w:before="400"/>
      </w:pPr>
      <w:r>
        <w:rPr>
          <w:b/>
          <w:bCs/>
          <w:color w:val="166534"/>
          <w:sz w:val="26"/>
          <w:szCs w:val="26"/>
        </w:rPr>
        <w:t xml:space="preserve">5. Base légale des traitements</w:t>
      </w:r>
    </w:p>
    <w:p>
      <w:pPr>
        <w:pStyle w:val="ListParagraph"/>
        <w:numPr>
          <w:ilvl w:val="0"/>
          <w:numId w:val="2"/>
        </w:numPr>
        <w:spacing w:after="100" w:line="300"/>
      </w:pPr>
      <w:r>
        <w:rPr>
          <w:sz w:val="21"/>
          <w:szCs w:val="21"/>
        </w:rPr>
        <w:t xml:space="preserve">Exécution du contrat : gestion du compte, des commandes, de la relation avec les restaurateurs partenaires ;</w:t>
      </w:r>
    </w:p>
    <w:p>
      <w:pPr>
        <w:pStyle w:val="ListParagraph"/>
        <w:numPr>
          <w:ilvl w:val="0"/>
          <w:numId w:val="2"/>
        </w:numPr>
        <w:spacing w:after="100" w:line="300"/>
      </w:pPr>
      <w:r>
        <w:rPr>
          <w:sz w:val="21"/>
          <w:szCs w:val="21"/>
        </w:rPr>
        <w:t xml:space="preserve">Consentement : géolocalisation précise, notifications marketing, cookies non essentiels ;</w:t>
      </w:r>
    </w:p>
    <w:p>
      <w:pPr>
        <w:pStyle w:val="ListParagraph"/>
        <w:numPr>
          <w:ilvl w:val="0"/>
          <w:numId w:val="2"/>
        </w:numPr>
        <w:spacing w:after="100" w:line="300"/>
      </w:pPr>
      <w:r>
        <w:rPr>
          <w:sz w:val="21"/>
          <w:szCs w:val="21"/>
        </w:rPr>
        <w:t xml:space="preserve">Intérêt légitime de Toutci : sécurité de la Plateforme, prévention de la fraude, amélioration du service ;</w:t>
      </w:r>
    </w:p>
    <w:p>
      <w:pPr>
        <w:pStyle w:val="ListParagraph"/>
        <w:numPr>
          <w:ilvl w:val="0"/>
          <w:numId w:val="2"/>
        </w:numPr>
        <w:spacing w:after="100" w:line="300"/>
      </w:pPr>
      <w:r>
        <w:rPr>
          <w:sz w:val="21"/>
          <w:szCs w:val="21"/>
        </w:rPr>
        <w:t xml:space="preserve">Obligation légale : conservation de certaines données à des fins comptables ou en réponse à une réquisition des autorités compétentes.</w:t>
      </w:r>
    </w:p>
    <w:p>
      <w:pPr>
        <w:pStyle w:val="Heading1"/>
        <w:spacing w:after="200" w:before="400"/>
      </w:pPr>
      <w:r>
        <w:rPr>
          <w:b/>
          <w:bCs/>
          <w:color w:val="166534"/>
          <w:sz w:val="26"/>
          <w:szCs w:val="26"/>
        </w:rPr>
        <w:t xml:space="preserve">6. Destinataires des données</w:t>
      </w:r>
    </w:p>
    <w:p>
      <w:pPr>
        <w:spacing w:after="160" w:line="300"/>
      </w:pPr>
      <w:r>
        <w:rPr>
          <w:sz w:val="21"/>
          <w:szCs w:val="21"/>
        </w:rPr>
        <w:t xml:space="preserve">Les données personnelles peuvent être communiquées, dans la limite de ce qui est nécessaire à chaque finalité, aux catégories de destinataires suivantes :</w:t>
      </w:r>
    </w:p>
    <w:p>
      <w:pPr>
        <w:pStyle w:val="ListParagraph"/>
        <w:numPr>
          <w:ilvl w:val="0"/>
          <w:numId w:val="2"/>
        </w:numPr>
        <w:spacing w:after="100" w:line="300"/>
      </w:pPr>
      <w:r>
        <w:rPr>
          <w:sz w:val="21"/>
          <w:szCs w:val="21"/>
        </w:rPr>
        <w:t xml:space="preserve">Le restaurateur partenaire concerné, pour le traitement de la commande de l'utilisateur ;</w:t>
      </w:r>
    </w:p>
    <w:p>
      <w:pPr>
        <w:pStyle w:val="ListParagraph"/>
        <w:numPr>
          <w:ilvl w:val="0"/>
          <w:numId w:val="2"/>
        </w:numPr>
        <w:spacing w:after="100" w:line="300"/>
      </w:pPr>
      <w:r>
        <w:rPr>
          <w:sz w:val="21"/>
          <w:szCs w:val="21"/>
        </w:rPr>
        <w:t xml:space="preserve">Les prestataires techniques de Toutci (hébergement, infrastructure, envoi de notifications) ;</w:t>
      </w:r>
    </w:p>
    <w:p>
      <w:pPr>
        <w:pStyle w:val="ListParagraph"/>
        <w:numPr>
          <w:ilvl w:val="0"/>
          <w:numId w:val="2"/>
        </w:numPr>
        <w:spacing w:after="100" w:line="300"/>
      </w:pPr>
      <w:r>
        <w:rPr>
          <w:sz w:val="21"/>
          <w:szCs w:val="21"/>
        </w:rPr>
        <w:t xml:space="preserve">Le ou les prestataires de paiement tiers utilisés par la Plateforme (voir section 7) ;</w:t>
      </w:r>
    </w:p>
    <w:p>
      <w:pPr>
        <w:pStyle w:val="ListParagraph"/>
        <w:numPr>
          <w:ilvl w:val="0"/>
          <w:numId w:val="2"/>
        </w:numPr>
        <w:spacing w:after="100" w:line="300"/>
      </w:pPr>
      <w:r>
        <w:rPr>
          <w:sz w:val="21"/>
          <w:szCs w:val="21"/>
        </w:rPr>
        <w:t xml:space="preserve">Les autorités administratives ou judiciaires compétentes, sur réquisition et dans les limites prévues par la loi.</w:t>
      </w:r>
    </w:p>
    <w:p>
      <w:pPr>
        <w:spacing w:after="160" w:line="300"/>
      </w:pPr>
      <w:r>
        <w:rPr>
          <w:sz w:val="21"/>
          <w:szCs w:val="21"/>
        </w:rPr>
        <w:t xml:space="preserve">Toutci ne vend ni ne loue les données personnelles des utilisateurs à des tiers à des fins commerciales.</w:t>
      </w:r>
    </w:p>
    <w:p>
      <w:pPr>
        <w:pStyle w:val="Heading1"/>
        <w:spacing w:after="200" w:before="400"/>
      </w:pPr>
      <w:r>
        <w:rPr>
          <w:b/>
          <w:bCs/>
          <w:color w:val="166534"/>
          <w:sz w:val="26"/>
          <w:szCs w:val="26"/>
        </w:rPr>
        <w:t xml:space="preserve">7. Paiement et prestataires tiers</w:t>
      </w:r>
    </w:p>
    <w:p>
      <w:pPr>
        <w:spacing w:after="160" w:line="300"/>
      </w:pPr>
      <w:r>
        <w:rPr>
          <w:sz w:val="21"/>
          <w:szCs w:val="21"/>
        </w:rPr>
        <w:t xml:space="preserve">Les paiements effectués sur la Plateforme sont traités par un ou plusieurs prestataires de paiement tiers agréés (par exemple CinetPay, Wave, ou tout autre prestataire de monnaie électronique opérant dans l'espace UEMOA).</w:t>
      </w:r>
    </w:p>
    <w:p>
      <w:pPr>
        <w:spacing w:after="160" w:line="300"/>
      </w:pPr>
      <w:r>
        <w:rPr>
          <w:sz w:val="21"/>
          <w:szCs w:val="21"/>
        </w:rPr>
        <w:t xml:space="preserve">Ces prestataires disposent de leur propre politique de confidentialité et sont seuls responsables du traitement des données bancaires et de paiement. Toutci ne collecte, ne stocke ni ne traite directement les numéros de carte bancaire ou les identifiants de paiement mobile ; seules les informations nécessaires à la confirmation de la transaction (statut, montant, référence) sont transmises à Toutci.</w:t>
      </w:r>
    </w:p>
    <w:p>
      <w:pPr>
        <w:pStyle w:val="Heading1"/>
        <w:spacing w:after="200" w:before="400"/>
      </w:pPr>
      <w:r>
        <w:rPr>
          <w:b/>
          <w:bCs/>
          <w:color w:val="166534"/>
          <w:sz w:val="26"/>
          <w:szCs w:val="26"/>
        </w:rPr>
        <w:t xml:space="preserve">8. Durée de conservation</w:t>
      </w:r>
    </w:p>
    <w:p>
      <w:pPr>
        <w:pStyle w:val="ListParagraph"/>
        <w:numPr>
          <w:ilvl w:val="0"/>
          <w:numId w:val="2"/>
        </w:numPr>
        <w:spacing w:after="100" w:line="300"/>
      </w:pPr>
      <w:r>
        <w:rPr>
          <w:sz w:val="21"/>
          <w:szCs w:val="21"/>
        </w:rPr>
        <w:t xml:space="preserve">Données de compte : pendant toute la durée d'utilisation active du compte, puis archivées pour une durée limitée après clôture, à des fins probatoires ou comptables ;</w:t>
      </w:r>
    </w:p>
    <w:p>
      <w:pPr>
        <w:pStyle w:val="ListParagraph"/>
        <w:numPr>
          <w:ilvl w:val="0"/>
          <w:numId w:val="2"/>
        </w:numPr>
        <w:spacing w:after="100" w:line="300"/>
      </w:pPr>
      <w:r>
        <w:rPr>
          <w:sz w:val="21"/>
          <w:szCs w:val="21"/>
        </w:rPr>
        <w:t xml:space="preserve">Données de commande : conservées pendant la durée nécessaire à la gestion commerciale et comptable, conformément aux obligations légales applicables ;</w:t>
      </w:r>
    </w:p>
    <w:p>
      <w:pPr>
        <w:pStyle w:val="ListParagraph"/>
        <w:numPr>
          <w:ilvl w:val="0"/>
          <w:numId w:val="2"/>
        </w:numPr>
        <w:spacing w:after="100" w:line="300"/>
      </w:pPr>
      <w:r>
        <w:rPr>
          <w:sz w:val="21"/>
          <w:szCs w:val="21"/>
        </w:rPr>
        <w:t xml:space="preserve">Données de géolocalisation ponctuelles : non conservées au-delà du temps nécessaire à l'affichage de la carte et à la mise en relation ;</w:t>
      </w:r>
    </w:p>
    <w:p>
      <w:pPr>
        <w:pStyle w:val="ListParagraph"/>
        <w:numPr>
          <w:ilvl w:val="0"/>
          <w:numId w:val="2"/>
        </w:numPr>
        <w:spacing w:after="100" w:line="300"/>
      </w:pPr>
      <w:r>
        <w:rPr>
          <w:sz w:val="21"/>
          <w:szCs w:val="21"/>
        </w:rPr>
        <w:t xml:space="preserve">Données de connexion et journaux techniques : conservés pour une durée limitée à des fins de sécurité.</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les durées précises de conservation, exprimées en mois/années, à fixer avec un juriste selon les obligations comptables et fiscales applicables en Côte d'Ivoire.</w:t>
            </w:r>
          </w:p>
        </w:tc>
      </w:tr>
    </w:tbl>
    <w:p>
      <w:pPr>
        <w:pStyle w:val="Heading1"/>
        <w:spacing w:after="200" w:before="400"/>
      </w:pPr>
      <w:r>
        <w:rPr>
          <w:b/>
          <w:bCs/>
          <w:color w:val="166534"/>
          <w:sz w:val="26"/>
          <w:szCs w:val="26"/>
        </w:rPr>
        <w:t xml:space="preserve">9. Sécurité des données</w:t>
      </w:r>
    </w:p>
    <w:p>
      <w:pPr>
        <w:spacing w:after="160" w:line="300"/>
      </w:pPr>
      <w:r>
        <w:rPr>
          <w:sz w:val="21"/>
          <w:szCs w:val="21"/>
        </w:rPr>
        <w:t xml:space="preserve">Toutci met en œuvre des mesures techniques et organisationnelles raisonnables pour protéger les données personnelles contre l'accès non autorisé, la perte, l'altération ou la divulgation, notamment le chiffrement des communications, le contrôle d'accès aux comptes administrateurs, et l'exclusion des champs internes sensibles de toute interface utilisateur.</w:t>
      </w:r>
    </w:p>
    <w:p>
      <w:pPr>
        <w:pStyle w:val="Heading1"/>
        <w:spacing w:after="200" w:before="400"/>
      </w:pPr>
      <w:r>
        <w:rPr>
          <w:b/>
          <w:bCs/>
          <w:color w:val="166534"/>
          <w:sz w:val="26"/>
          <w:szCs w:val="26"/>
        </w:rPr>
        <w:t xml:space="preserve">10. Transfert de données hors de Côte d'Ivoire</w:t>
      </w:r>
    </w:p>
    <w:p>
      <w:pPr>
        <w:spacing w:after="160" w:line="300"/>
      </w:pPr>
      <w:r>
        <w:rPr>
          <w:sz w:val="21"/>
          <w:szCs w:val="21"/>
        </w:rPr>
        <w:t xml:space="preserve">Certains prestataires techniques (hébergement, infrastructure cloud) peuvent traiter des données en dehors du territoire ivoirien. Dans ce cas, Toutci s'assure que ces transferts bénéficient d'un niveau de protection adéquat, conformément à la réglementation applicable en matière de protection des données à caractère personnel.</w:t>
      </w:r>
    </w:p>
    <w:p>
      <w:pPr>
        <w:pStyle w:val="Heading1"/>
        <w:spacing w:after="200" w:before="400"/>
      </w:pPr>
      <w:r>
        <w:rPr>
          <w:b/>
          <w:bCs/>
          <w:color w:val="166534"/>
          <w:sz w:val="26"/>
          <w:szCs w:val="26"/>
        </w:rPr>
        <w:t xml:space="preserve">11. Vos droits</w:t>
      </w:r>
    </w:p>
    <w:p>
      <w:pPr>
        <w:spacing w:after="160" w:line="300"/>
      </w:pPr>
      <w:r>
        <w:rPr>
          <w:sz w:val="21"/>
          <w:szCs w:val="21"/>
        </w:rPr>
        <w:t xml:space="preserve">Conformément à la loi ivoirienne n° 2013-450 du 19 juin 2013 relative à la protection des données à caractère personnel, et sous le contrôle de l'Autorité de Régulation des Télécommunications/TIC de Côte d'Ivoire (ARTCI), toute personne concernée dispose des droits suivants sur ses données :</w:t>
      </w:r>
    </w:p>
    <w:p>
      <w:pPr>
        <w:pStyle w:val="ListParagraph"/>
        <w:numPr>
          <w:ilvl w:val="0"/>
          <w:numId w:val="2"/>
        </w:numPr>
        <w:spacing w:after="100" w:line="300"/>
      </w:pPr>
      <w:r>
        <w:rPr>
          <w:sz w:val="21"/>
          <w:szCs w:val="21"/>
        </w:rPr>
        <w:t xml:space="preserve">Droit d'accès à ses données personnelles ;</w:t>
      </w:r>
    </w:p>
    <w:p>
      <w:pPr>
        <w:pStyle w:val="ListParagraph"/>
        <w:numPr>
          <w:ilvl w:val="0"/>
          <w:numId w:val="2"/>
        </w:numPr>
        <w:spacing w:after="100" w:line="300"/>
      </w:pPr>
      <w:r>
        <w:rPr>
          <w:sz w:val="21"/>
          <w:szCs w:val="21"/>
        </w:rPr>
        <w:t xml:space="preserve">Droit de rectification des données inexactes ou incomplètes ;</w:t>
      </w:r>
    </w:p>
    <w:p>
      <w:pPr>
        <w:pStyle w:val="ListParagraph"/>
        <w:numPr>
          <w:ilvl w:val="0"/>
          <w:numId w:val="2"/>
        </w:numPr>
        <w:spacing w:after="100" w:line="300"/>
      </w:pPr>
      <w:r>
        <w:rPr>
          <w:sz w:val="21"/>
          <w:szCs w:val="21"/>
        </w:rPr>
        <w:t xml:space="preserve">Droit d'effacement, dans les limites prévues par la loi ;</w:t>
      </w:r>
    </w:p>
    <w:p>
      <w:pPr>
        <w:pStyle w:val="ListParagraph"/>
        <w:numPr>
          <w:ilvl w:val="0"/>
          <w:numId w:val="2"/>
        </w:numPr>
        <w:spacing w:after="100" w:line="300"/>
      </w:pPr>
      <w:r>
        <w:rPr>
          <w:sz w:val="21"/>
          <w:szCs w:val="21"/>
        </w:rPr>
        <w:t xml:space="preserve">Droit d'opposition, notamment aux communications marketing ;</w:t>
      </w:r>
    </w:p>
    <w:p>
      <w:pPr>
        <w:pStyle w:val="ListParagraph"/>
        <w:numPr>
          <w:ilvl w:val="0"/>
          <w:numId w:val="2"/>
        </w:numPr>
        <w:spacing w:after="100" w:line="300"/>
      </w:pPr>
      <w:r>
        <w:rPr>
          <w:sz w:val="21"/>
          <w:szCs w:val="21"/>
        </w:rPr>
        <w:t xml:space="preserve">Droit de retirer son consentement à tout moment lorsque le traitement repose sur celui-ci.</w:t>
      </w:r>
    </w:p>
    <w:p>
      <w:pPr>
        <w:spacing w:after="160" w:line="300"/>
      </w:pPr>
      <w:r>
        <w:rPr>
          <w:sz w:val="21"/>
          <w:szCs w:val="21"/>
        </w:rPr>
        <w:t xml:space="preserve">Ces droits peuvent être exercés en écrivant à l'adresse de contact indiquée à la section 15. En cas de désaccord persistant, une réclamation peut être introduite auprès de l'ARTCI.</w:t>
      </w:r>
    </w:p>
    <w:p>
      <w:pPr>
        <w:pStyle w:val="Heading1"/>
        <w:spacing w:after="200" w:before="400"/>
      </w:pPr>
      <w:r>
        <w:rPr>
          <w:b/>
          <w:bCs/>
          <w:color w:val="166534"/>
          <w:sz w:val="26"/>
          <w:szCs w:val="26"/>
        </w:rPr>
        <w:t xml:space="preserve">12. Cookies et traceurs</w:t>
      </w:r>
    </w:p>
    <w:p>
      <w:pPr>
        <w:spacing w:after="160" w:line="300"/>
      </w:pPr>
      <w:r>
        <w:rPr>
          <w:sz w:val="21"/>
          <w:szCs w:val="21"/>
        </w:rPr>
        <w:t xml:space="preserve">Le site web Toutci utilise des cookies. Les modalités d'utilisation de ces cookies (finalités, durée de conservation, gestion des préférences) sont détaillées dans une Politique de cookies distincte, accessible depuis le site web.</w:t>
      </w:r>
    </w:p>
    <w:p>
      <w:pPr>
        <w:pStyle w:val="Heading1"/>
        <w:spacing w:after="200" w:before="400"/>
      </w:pPr>
      <w:r>
        <w:rPr>
          <w:b/>
          <w:bCs/>
          <w:color w:val="166534"/>
          <w:sz w:val="26"/>
          <w:szCs w:val="26"/>
        </w:rPr>
        <w:t xml:space="preserve">13. Mineurs</w:t>
      </w:r>
    </w:p>
    <w:p>
      <w:pPr>
        <w:spacing w:after="160" w:line="300"/>
      </w:pPr>
      <w:r>
        <w:rPr>
          <w:sz w:val="21"/>
          <w:szCs w:val="21"/>
        </w:rPr>
        <w:t xml:space="preserve">La Plateforme n'est pas destinée aux personnes mineures non accompagnées. Toutci ne collecte pas sciemment de données concernant des mineurs sans l'autorisation d'un représentant légal.</w:t>
      </w:r>
    </w:p>
    <w:p>
      <w:pPr>
        <w:pStyle w:val="Heading1"/>
        <w:spacing w:after="200" w:before="400"/>
      </w:pPr>
      <w:r>
        <w:rPr>
          <w:b/>
          <w:bCs/>
          <w:color w:val="166534"/>
          <w:sz w:val="26"/>
          <w:szCs w:val="26"/>
        </w:rPr>
        <w:t xml:space="preserve">14. Modification de la présente Politique</w:t>
      </w:r>
    </w:p>
    <w:p>
      <w:pPr>
        <w:spacing w:after="160" w:line="300"/>
      </w:pPr>
      <w:r>
        <w:rPr>
          <w:sz w:val="21"/>
          <w:szCs w:val="21"/>
        </w:rPr>
        <w:t xml:space="preserve">Toutci peut modifier la présente Politique à tout moment, notamment pour tenir compte de l'évolution de la réglementation ou de nouvelles fonctionnalités (par exemple l'ouverture des verticales résidences et événements). Toute modification substantielle sera portée à la connaissance des utilisateurs via l'application ou le site web.</w:t>
      </w:r>
    </w:p>
    <w:p>
      <w:pPr>
        <w:pStyle w:val="Heading1"/>
        <w:spacing w:after="200" w:before="400"/>
      </w:pPr>
      <w:r>
        <w:rPr>
          <w:b/>
          <w:bCs/>
          <w:color w:val="166534"/>
          <w:sz w:val="26"/>
          <w:szCs w:val="26"/>
        </w:rPr>
        <w:t xml:space="preserve">15. Contact</w:t>
      </w:r>
    </w:p>
    <w:p>
      <w:pPr>
        <w:spacing w:after="160" w:line="300"/>
      </w:pPr>
      <w:r>
        <w:rPr>
          <w:sz w:val="21"/>
          <w:szCs w:val="21"/>
        </w:rPr>
        <w:t xml:space="preserve">Pour toute question relative à la présente Politique ou à l'exercice de vos droits, vous pouvez contacter :</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adresse e-mail dédiée (ex. confidentialite@toutci.ci) et/ou adresse postale, à activer avant publication.</w:t>
            </w:r>
          </w:p>
        </w:tc>
      </w:tr>
    </w:tbl>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2026-07-18T08:51:04.029Z</dcterms:created>
  <dcterms:modified xsi:type="dcterms:W3CDTF">2026-07-18T08:51:04.042Z</dcterms:modified>
</cp:coreProperties>
</file>

<file path=docProps/custom.xml><?xml version="1.0" encoding="utf-8"?>
<Properties xmlns="http://schemas.openxmlformats.org/officeDocument/2006/custom-properties" xmlns:vt="http://schemas.openxmlformats.org/officeDocument/2006/docPropsVTypes"/>
</file>