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Pensions &amp; OPEB Projections Model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w:t>
        <w:tab/>
        <w:t xml:space="preserve">The following document expounds the methodologies used to calculate the projections of a given city. The city of Boston’s  </w:t>
      </w:r>
      <w:r w:rsidDel="00000000" w:rsidR="00000000" w:rsidRPr="00000000">
        <w:rPr>
          <w:rFonts w:ascii="Times New Roman" w:cs="Times New Roman" w:eastAsia="Times New Roman" w:hAnsi="Times New Roman"/>
          <w:color w:val="222222"/>
          <w:sz w:val="24"/>
          <w:szCs w:val="24"/>
          <w:highlight w:val="white"/>
          <w:rtl w:val="0"/>
        </w:rPr>
        <w:t xml:space="preserve">other post-employment benefits</w:t>
      </w:r>
      <w:r w:rsidDel="00000000" w:rsidR="00000000" w:rsidRPr="00000000">
        <w:rPr>
          <w:b w:val="1"/>
          <w:color w:val="222222"/>
          <w:sz w:val="24"/>
          <w:szCs w:val="24"/>
          <w:highlight w:val="white"/>
          <w:rtl w:val="0"/>
        </w:rPr>
        <w:t xml:space="preserve"> </w:t>
      </w:r>
      <w:r w:rsidDel="00000000" w:rsidR="00000000" w:rsidRPr="00000000">
        <w:rPr>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OPEB) fund is used as a case study to further illustrate these calculations.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OPEB Assets Fund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and Source: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 Value of Fund: For the city of Boston, it was </w:t>
      </w:r>
      <w:r w:rsidDel="00000000" w:rsidR="00000000" w:rsidRPr="00000000">
        <w:rPr>
          <w:rFonts w:ascii="Times New Roman" w:cs="Times New Roman" w:eastAsia="Times New Roman" w:hAnsi="Times New Roman"/>
          <w:b w:val="1"/>
          <w:sz w:val="24"/>
          <w:szCs w:val="24"/>
          <w:rtl w:val="0"/>
        </w:rPr>
        <w:t xml:space="preserve">$204,567,000</w:t>
      </w:r>
      <w:r w:rsidDel="00000000" w:rsidR="00000000" w:rsidRPr="00000000">
        <w:rPr>
          <w:rFonts w:ascii="Times New Roman" w:cs="Times New Roman" w:eastAsia="Times New Roman" w:hAnsi="Times New Roman"/>
          <w:sz w:val="24"/>
          <w:szCs w:val="24"/>
          <w:rtl w:val="0"/>
        </w:rPr>
        <w:t xml:space="preserve"> in 2013.</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0"/>
          <w:szCs w:val="20"/>
          <w:u w:val="single"/>
          <w:rtl w:val="0"/>
        </w:rPr>
        <w:t xml:space="preserve">Source</w:t>
      </w:r>
      <w:r w:rsidDel="00000000" w:rsidR="00000000" w:rsidRPr="00000000">
        <w:rPr>
          <w:rFonts w:ascii="Cardo" w:cs="Cardo" w:eastAsia="Cardo" w:hAnsi="Cardo"/>
          <w:sz w:val="20"/>
          <w:szCs w:val="20"/>
          <w:rtl w:val="0"/>
        </w:rPr>
        <w:t xml:space="preserve">: Boston 2014 CAFR → Notes to the basic Financial Statement → 12. OPEB → d. Funded Status and Funding Progress of the Plan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Inflation Rate: For the city of Boston, it was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(0.02). </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0"/>
          <w:szCs w:val="20"/>
          <w:u w:val="single"/>
          <w:rtl w:val="0"/>
        </w:rPr>
        <w:t xml:space="preserve">Source</w:t>
      </w:r>
      <w:r w:rsidDel="00000000" w:rsidR="00000000" w:rsidRPr="00000000">
        <w:rPr>
          <w:rFonts w:ascii="Cardo" w:cs="Cardo" w:eastAsia="Cardo" w:hAnsi="Cardo"/>
          <w:sz w:val="20"/>
          <w:szCs w:val="20"/>
          <w:rtl w:val="0"/>
        </w:rPr>
        <w:t xml:space="preserve">: OPEB_6_cities.xlsx → Fund Projections → Cell E4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Assets Rate of Return: For the city of Boston, it was </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(0.03).</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0"/>
          <w:szCs w:val="20"/>
          <w:u w:val="single"/>
          <w:rtl w:val="0"/>
        </w:rPr>
        <w:t xml:space="preserve">Source</w:t>
      </w:r>
      <w:r w:rsidDel="00000000" w:rsidR="00000000" w:rsidRPr="00000000">
        <w:rPr>
          <w:rFonts w:ascii="Cardo" w:cs="Cardo" w:eastAsia="Cardo" w:hAnsi="Cardo"/>
          <w:sz w:val="20"/>
          <w:szCs w:val="20"/>
          <w:rtl w:val="0"/>
        </w:rPr>
        <w:t xml:space="preserve">: OPEB_6_cities.xlsx → Fund Projections → Cell 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Employer and Employee Contributions: The city of Boston pledged to contribute </w:t>
      </w:r>
      <w:r w:rsidDel="00000000" w:rsidR="00000000" w:rsidRPr="00000000">
        <w:rPr>
          <w:rFonts w:ascii="Times New Roman" w:cs="Times New Roman" w:eastAsia="Times New Roman" w:hAnsi="Times New Roman"/>
          <w:b w:val="1"/>
          <w:sz w:val="24"/>
          <w:szCs w:val="24"/>
          <w:rtl w:val="0"/>
        </w:rPr>
        <w:t xml:space="preserve">$40 million</w:t>
      </w:r>
      <w:r w:rsidDel="00000000" w:rsidR="00000000" w:rsidRPr="00000000">
        <w:rPr>
          <w:rFonts w:ascii="Times New Roman" w:cs="Times New Roman" w:eastAsia="Times New Roman" w:hAnsi="Times New Roman"/>
          <w:sz w:val="24"/>
          <w:szCs w:val="24"/>
          <w:rtl w:val="0"/>
        </w:rPr>
        <w:t xml:space="preserve"> per year to the fund. There were no employee contributions. </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0"/>
          <w:szCs w:val="20"/>
          <w:u w:val="single"/>
          <w:rtl w:val="0"/>
        </w:rPr>
        <w:t xml:space="preserve">Source</w:t>
      </w:r>
      <w:r w:rsidDel="00000000" w:rsidR="00000000" w:rsidRPr="00000000">
        <w:rPr>
          <w:rFonts w:ascii="Cardo" w:cs="Cardo" w:eastAsia="Cardo" w:hAnsi="Cardo"/>
          <w:sz w:val="20"/>
          <w:szCs w:val="20"/>
          <w:rtl w:val="0"/>
        </w:rPr>
        <w:t xml:space="preserve">: opeb_paper_20160405.pdf → page 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Methodology: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formula is used to get the value of the fund in the next period or year: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Fun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t+1 </m:t>
            </m:r>
          </m:sub>
        </m:sSub>
        <m:r>
          <w:rPr>
            <w:rFonts w:ascii="Times New Roman" w:cs="Times New Roman" w:eastAsia="Times New Roman" w:hAnsi="Times New Roman"/>
            <w:sz w:val="24"/>
            <w:szCs w:val="24"/>
          </w:rPr>
          <m:t xml:space="preserve">= Fun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 * (1 +Assets Rate of Return) + Employer Contributio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 + Employee Contributio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oMath>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formulas are used to get the value of the employer and employee contributions in the next period: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Employer Contributio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 t+1</m:t>
            </m:r>
          </m:sub>
        </m:sSub>
        <m:r>
          <w:rPr>
            <w:rFonts w:ascii="Times New Roman" w:cs="Times New Roman" w:eastAsia="Times New Roman" w:hAnsi="Times New Roman"/>
            <w:sz w:val="24"/>
            <w:szCs w:val="24"/>
          </w:rPr>
          <m:t xml:space="preserve"> = Employer Contributio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 * (1 + Inflation Rate) </m:t>
        </m:r>
      </m:oMath>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Employee Contributio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 t+1</m:t>
            </m:r>
          </m:sub>
        </m:sSub>
        <m:r>
          <w:rPr>
            <w:rFonts w:ascii="Times New Roman" w:cs="Times New Roman" w:eastAsia="Times New Roman" w:hAnsi="Times New Roman"/>
            <w:sz w:val="24"/>
            <w:szCs w:val="24"/>
          </w:rPr>
          <m:t xml:space="preserve"> = Employee Contributio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 * (1 + Inflation Rate)</m:t>
        </m:r>
      </m:oMath>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data and the methodology presented above, we will show the projections of the city of Boston’s OPEB Fund from 2014 to 2025 in Table 1.</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tbl>
      <w:tblPr>
        <w:tblStyle w:val="Table1"/>
        <w:tblW w:w="71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3570"/>
        <w:gridCol w:w="2745"/>
        <w:tblGridChange w:id="0">
          <w:tblGrid>
            <w:gridCol w:w="870"/>
            <w:gridCol w:w="3570"/>
            <w:gridCol w:w="2745"/>
          </w:tblGrid>
        </w:tblGridChange>
      </w:tblGrid>
      <w:tr>
        <w:tc>
          <w:tcPr>
            <w:tcBorders>
              <w:bottom w:color="000000" w:space="0" w:sz="4"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tcBorders>
              <w:bottom w:color="000000" w:space="0" w:sz="4"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of Boston Fund Value</w:t>
            </w:r>
          </w:p>
        </w:tc>
        <w:tc>
          <w:tcPr>
            <w:tcBorders>
              <w:bottom w:color="000000" w:space="0" w:sz="4"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 Contribution</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250704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298225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40800</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347972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41616</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42448</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454476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43297</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511407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44163</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570912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45046</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633085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45947</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698025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46866</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765832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47803</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836610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48759</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910467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49734</w:t>
            </w:r>
          </w:p>
        </w:tc>
      </w:tr>
    </w:tbl>
    <w:p w:rsidR="00000000" w:rsidDel="00000000" w:rsidP="00000000" w:rsidRDefault="00000000" w:rsidRPr="00000000" w14:paraId="00000050">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 1.</w:t>
        <w:tab/>
        <w:t xml:space="preserve"> City of Boston Fund Projections (2014 to 2025)</w:t>
      </w:r>
    </w:p>
    <w:p w:rsidR="00000000" w:rsidDel="00000000" w:rsidP="00000000" w:rsidRDefault="00000000" w:rsidRPr="00000000" w14:paraId="00000051">
      <w:pPr>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OPEB Liabilities Projection Model</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and Source:</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Accrued Actuarial Liability (AAL): It is the present value of benefits accrued in past years, i.e years of employment prior to the valuation date. For the city of Boston it was </w:t>
      </w:r>
      <w:r w:rsidDel="00000000" w:rsidR="00000000" w:rsidRPr="00000000">
        <w:rPr>
          <w:rFonts w:ascii="Times New Roman" w:cs="Times New Roman" w:eastAsia="Times New Roman" w:hAnsi="Times New Roman"/>
          <w:b w:val="1"/>
          <w:sz w:val="24"/>
          <w:szCs w:val="24"/>
          <w:rtl w:val="0"/>
        </w:rPr>
        <w:t xml:space="preserve">$2,257,699,000</w:t>
      </w:r>
      <w:r w:rsidDel="00000000" w:rsidR="00000000" w:rsidRPr="00000000">
        <w:rPr>
          <w:rFonts w:ascii="Times New Roman" w:cs="Times New Roman" w:eastAsia="Times New Roman" w:hAnsi="Times New Roman"/>
          <w:sz w:val="24"/>
          <w:szCs w:val="24"/>
          <w:rtl w:val="0"/>
        </w:rPr>
        <w:t xml:space="preserve"> in 2013. </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0"/>
          <w:szCs w:val="20"/>
          <w:u w:val="single"/>
          <w:rtl w:val="0"/>
        </w:rPr>
        <w:t xml:space="preserve">Source: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rdo" w:cs="Cardo" w:eastAsia="Cardo" w:hAnsi="Cardo"/>
          <w:sz w:val="20"/>
          <w:szCs w:val="20"/>
          <w:rtl w:val="0"/>
        </w:rPr>
        <w:t xml:space="preserve">Boston 2014 CAFR → Notes to the basic Financial Statement → 12. OPEB → d. Funded Status and Funding Progress of the Plan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Discount Rate: It refers to the interest rate used to determine the present value of future OPEB benefit payments. It plays a pivotal role in assessing how much should be contributed now to ensure that an adequate level of resources is available in the future. In fact, the higher the discount rate, the lower the present value, and vice versa. The City of Boston used a discount rate of </w:t>
      </w:r>
      <w:r w:rsidDel="00000000" w:rsidR="00000000" w:rsidRPr="00000000">
        <w:rPr>
          <w:rFonts w:ascii="Times New Roman" w:cs="Times New Roman" w:eastAsia="Times New Roman" w:hAnsi="Times New Roman"/>
          <w:b w:val="1"/>
          <w:sz w:val="24"/>
          <w:szCs w:val="24"/>
          <w:rtl w:val="0"/>
        </w:rPr>
        <w:t xml:space="preserve">7.5%</w:t>
      </w:r>
      <w:r w:rsidDel="00000000" w:rsidR="00000000" w:rsidRPr="00000000">
        <w:rPr>
          <w:rFonts w:ascii="Times New Roman" w:cs="Times New Roman" w:eastAsia="Times New Roman" w:hAnsi="Times New Roman"/>
          <w:sz w:val="24"/>
          <w:szCs w:val="24"/>
          <w:rtl w:val="0"/>
        </w:rPr>
        <w:t xml:space="preserve"> (0.075) in 2013.</w:t>
      </w:r>
    </w:p>
    <w:p w:rsidR="00000000" w:rsidDel="00000000" w:rsidP="00000000" w:rsidRDefault="00000000" w:rsidRPr="00000000" w14:paraId="0000005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0"/>
          <w:szCs w:val="20"/>
          <w:u w:val="single"/>
          <w:rtl w:val="0"/>
        </w:rPr>
        <w:t xml:space="preserve">Source: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rdo" w:cs="Cardo" w:eastAsia="Cardo" w:hAnsi="Cardo"/>
          <w:sz w:val="20"/>
          <w:szCs w:val="20"/>
          <w:rtl w:val="0"/>
        </w:rPr>
        <w:t xml:space="preserve">Boston 2014 CAFR → Notes to the basic Financial Statement → 12. OPEB → e. Actuarial Methods and Assumptions)</w:t>
      </w:r>
    </w:p>
    <w:p w:rsidR="00000000" w:rsidDel="00000000" w:rsidP="00000000" w:rsidRDefault="00000000" w:rsidRPr="00000000" w14:paraId="0000005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Methodology:</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formula is used to get the OPEB Actuarial Accrued Liability using a discount different from the one used by the city officials. </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AA</m:t>
        </m:r>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L</m:t>
            </m:r>
          </m:e>
          <m:sub>
            <m:r>
              <w:rPr>
                <w:rFonts w:ascii="Times New Roman" w:cs="Times New Roman" w:eastAsia="Times New Roman" w:hAnsi="Times New Roman"/>
                <w:sz w:val="30"/>
                <w:szCs w:val="30"/>
              </w:rPr>
              <m:t xml:space="preserve">new rate</m:t>
            </m:r>
          </m:sub>
        </m:sSub>
        <m:r>
          <w:rPr>
            <w:rFonts w:ascii="Times New Roman" w:cs="Times New Roman" w:eastAsia="Times New Roman" w:hAnsi="Times New Roman"/>
            <w:sz w:val="30"/>
            <w:szCs w:val="30"/>
          </w:rPr>
          <m:t xml:space="preserve">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AA</m:t>
            </m:r>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L</m:t>
                </m:r>
              </m:e>
              <m:sub>
                <m:r>
                  <w:rPr>
                    <w:rFonts w:ascii="Times New Roman" w:cs="Times New Roman" w:eastAsia="Times New Roman" w:hAnsi="Times New Roman"/>
                    <w:sz w:val="30"/>
                    <w:szCs w:val="30"/>
                  </w:rPr>
                  <m:t xml:space="preserve">city rate</m:t>
                </m:r>
              </m:sub>
            </m:sSub>
            <m:r>
              <w:rPr>
                <w:rFonts w:ascii="Times New Roman" w:cs="Times New Roman" w:eastAsia="Times New Roman" w:hAnsi="Times New Roman"/>
                <w:sz w:val="30"/>
                <w:szCs w:val="30"/>
              </w:rPr>
              <m:t xml:space="preserve"> * (1 + city rate</m:t>
            </m:r>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m:t>
                </m:r>
              </m:e>
              <m:sup>
                <m:r>
                  <w:rPr>
                    <w:rFonts w:ascii="Times New Roman" w:cs="Times New Roman" w:eastAsia="Times New Roman" w:hAnsi="Times New Roman"/>
                    <w:sz w:val="30"/>
                    <w:szCs w:val="30"/>
                  </w:rPr>
                  <m:t xml:space="preserve">n</m:t>
                </m:r>
              </m:sup>
            </m:sSup>
          </m:num>
          <m:den>
            <m:r>
              <w:rPr>
                <w:rFonts w:ascii="Times New Roman" w:cs="Times New Roman" w:eastAsia="Times New Roman" w:hAnsi="Times New Roman"/>
                <w:sz w:val="30"/>
                <w:szCs w:val="30"/>
              </w:rPr>
              <m:t xml:space="preserve">(1 + new rate</m:t>
            </m:r>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m:t>
                </m:r>
              </m:e>
              <m:sup>
                <m:r>
                  <w:rPr>
                    <w:rFonts w:ascii="Times New Roman" w:cs="Times New Roman" w:eastAsia="Times New Roman" w:hAnsi="Times New Roman"/>
                    <w:sz w:val="30"/>
                    <w:szCs w:val="30"/>
                  </w:rPr>
                  <m:t xml:space="preserve">n</m:t>
                </m:r>
              </m:sup>
            </m:sSup>
          </m:den>
        </m:f>
      </m:oMath>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city rate, new rate </m:t>
        </m:r>
      </m:oMath>
      <w:r w:rsidDel="00000000" w:rsidR="00000000" w:rsidRPr="00000000">
        <w:rPr>
          <w:rFonts w:ascii="Times New Roman" w:cs="Times New Roman" w:eastAsia="Times New Roman" w:hAnsi="Times New Roman"/>
          <w:sz w:val="24"/>
          <w:szCs w:val="24"/>
          <w:rtl w:val="0"/>
        </w:rPr>
        <w:t xml:space="preserve">and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are the discount rate used by the city, the new discount rate and the number of periods (or years) respectively. </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illustration, we will evaluate the AAL for the city of Boston using a more realistic discount rate of 3% over a period of 15 years. </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30"/>
            <w:szCs w:val="30"/>
          </w:rPr>
          <m:t xml:space="preserve">AA</m:t>
        </m:r>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L</m:t>
            </m:r>
          </m:e>
          <m:sub>
            <m:r>
              <w:rPr>
                <w:rFonts w:ascii="Times New Roman" w:cs="Times New Roman" w:eastAsia="Times New Roman" w:hAnsi="Times New Roman"/>
                <w:sz w:val="30"/>
                <w:szCs w:val="30"/>
              </w:rPr>
              <m:t xml:space="preserve">3%</m:t>
            </m:r>
          </m:sub>
        </m:sSub>
        <m:r>
          <w:rPr>
            <w:rFonts w:ascii="Times New Roman" w:cs="Times New Roman" w:eastAsia="Times New Roman" w:hAnsi="Times New Roman"/>
            <w:sz w:val="30"/>
            <w:szCs w:val="30"/>
          </w:rPr>
          <m:t xml:space="preserve">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2257699000  * (1.075</m:t>
            </m:r>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m:t>
                </m:r>
              </m:e>
              <m:sup>
                <m:r>
                  <w:rPr>
                    <w:rFonts w:ascii="Times New Roman" w:cs="Times New Roman" w:eastAsia="Times New Roman" w:hAnsi="Times New Roman"/>
                    <w:sz w:val="30"/>
                    <w:szCs w:val="30"/>
                  </w:rPr>
                  <m:t xml:space="preserve">15</m:t>
                </m:r>
              </m:sup>
            </m:sSup>
          </m:num>
          <m:den>
            <m:r>
              <w:rPr>
                <w:rFonts w:ascii="Times New Roman" w:cs="Times New Roman" w:eastAsia="Times New Roman" w:hAnsi="Times New Roman"/>
                <w:sz w:val="30"/>
                <w:szCs w:val="30"/>
              </w:rPr>
              <m:t xml:space="preserve">(1.03</m:t>
            </m:r>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m:t>
                </m:r>
              </m:e>
              <m:sup>
                <m:r>
                  <w:rPr>
                    <w:rFonts w:ascii="Times New Roman" w:cs="Times New Roman" w:eastAsia="Times New Roman" w:hAnsi="Times New Roman"/>
                    <w:sz w:val="30"/>
                    <w:szCs w:val="30"/>
                  </w:rPr>
                  <m:t xml:space="preserve">15</m:t>
                </m:r>
              </m:sup>
            </m:sSup>
          </m:den>
        </m:f>
        <m:r>
          <w:rPr>
            <w:rFonts w:ascii="Times New Roman" w:cs="Times New Roman" w:eastAsia="Times New Roman" w:hAnsi="Times New Roman"/>
            <w:sz w:val="30"/>
            <w:szCs w:val="30"/>
          </w:rPr>
          <m:t xml:space="preserve"> =</m:t>
        </m:r>
        <m:r>
          <w:rPr>
            <w:rFonts w:ascii="Times New Roman" w:cs="Times New Roman" w:eastAsia="Times New Roman" w:hAnsi="Times New Roman"/>
            <w:b w:val="1"/>
            <w:sz w:val="30"/>
            <w:szCs w:val="30"/>
          </w:rPr>
          <m:t xml:space="preserve">$4,287,801,000</m:t>
        </m:r>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OPEB Unfunded Actuarial Accrued Liability/ Funded Ratio</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Unfunded Actuarial Accrued Liability (UAAL) is the difference between the AAL and the present value of the OPEB Asset Fund. Therefore the UAAL is the amount that is still “owed” to the fund for past obligations. </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