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39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livrée, voir 7.28 ; phase 3 (analyse IA) prévue.</w:t>
      </w:r>
    </w:p>
    <w:p>
      <w:pPr>
        <w:pStyle w:val="ListParagraph"/>
        <w:numPr>
          <w:ilvl w:val="0"/>
          <w:numId w:val="1"/>
        </w:numPr>
        <w:spacing w:after="60"/>
      </w:pPr>
      <w:r>
        <w:t xml:space="preserve">Inscription : page publique sur-mesure.html (encart sur l'accueil)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Vérifié le 20 septembre 2026 : scénario SQL de 26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spacing w:after="120"/>
      </w:pPr>
      <w:r>
        <w:t xml:space="preserve">Document tenu à jour à partir de l’état du code — dernière mise à jour le 20 septembre 2026 (cession de station et offre Sur mesure phases 1 et 2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