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seize points d'entrée HTML réels (index.html, login.html, dashboard.html, reset-password.html, forgot-password.html, accept-invitation.html, accept-transfer.html,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36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1"/>
        <w:spacing w:after="160" w:before="360"/>
      </w:pPr>
      <w:r>
        <w:t xml:space="preserve">8. Couche marketing / SEO (site statique)</w:t>
      </w:r>
    </w:p>
    <w:p>
      <w:pPr>
        <w:spacing w:after="120"/>
      </w:pPr>
      <w:r>
        <w:t xml:space="preserve">Seize pages HTML sont bâties par Vite (index.html, login.html, dashboard.html, reset-password.html, forgot-password.html, accept-invitation.html, accept-transfer.html,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spacing w:after="120"/>
      </w:pPr>
      <w:r>
        <w:t xml:space="preserve">Document tenu à jour à partir de l’état du code — dernière mise à jour le 20 septembre 2026 (cession de station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