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39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Phases suivantes prévues : tableau de bord consolidé (2), analyse IA (3).</w:t>
      </w:r>
    </w:p>
    <w:p>
      <w:pPr>
        <w:pStyle w:val="ListParagraph"/>
        <w:numPr>
          <w:ilvl w:val="0"/>
          <w:numId w:val="1"/>
        </w:numPr>
        <w:spacing w:after="60"/>
      </w:pPr>
      <w:r>
        <w:t xml:space="preserve">Inscription : page publique sur-mesure.html (encart sur l'accueil) → createGroupOwnerAccount crée un compte automobiliste puis appelle convert_account_to_group → session avec le drapeau isGroupOwner → /groupe. La connexion habituelle (login.html) redirige aussi le patron vers /groupe. L'espace /groupe (GroupLayout :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spacing w:after="120"/>
      </w:pPr>
      <w:r>
        <w:t xml:space="preserve">Document tenu à jour à partir de l’état du code — dernière mise à jour le 20 septembre 2026 (cession de station et offre Sur mesure phase 1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