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D4ED8"/>
          <w:sz w:val="52"/>
          <w:szCs w:val="52"/>
        </w:rPr>
        <w:t xml:space="preserve">CLEAN CAR GALSEN</w:t>
      </w:r>
    </w:p>
    <w:p>
      <w:pPr>
        <w:spacing w:after="40"/>
        <w:jc w:val="center"/>
      </w:pPr>
      <w:r>
        <w:rPr>
          <w:color w:val="111827"/>
          <w:sz w:val="30"/>
          <w:szCs w:val="30"/>
        </w:rPr>
        <w:t xml:space="preserve">Gestion Saas Lavage Auto</w:t>
      </w:r>
    </w:p>
    <w:p>
      <w:pPr>
        <w:spacing w:after="500"/>
        <w:jc w:val="center"/>
      </w:pPr>
      <w:r>
        <w:rPr>
          <w:i/>
          <w:iCs/>
          <w:color w:val="6B7280"/>
          <w:sz w:val="24"/>
          <w:szCs w:val="24"/>
        </w:rPr>
        <w:t xml:space="preserve">Document d'architecture technique</w:t>
      </w:r>
    </w:p>
    <w:p>
      <w:pPr>
        <w:spacing w:after="40"/>
        <w:jc w:val="center"/>
      </w:pPr>
      <w:r>
        <w:rPr>
          <w:color w:val="111827"/>
          <w:sz w:val="20"/>
          <w:szCs w:val="20"/>
        </w:rPr>
        <w:t xml:space="preserve">Plateforme SaaS multi-stations de lavage automobile — Sénégal</w:t>
      </w:r>
    </w:p>
    <w:p>
      <w:pPr>
        <w:spacing w:after="400"/>
        <w:jc w:val="center"/>
      </w:pPr>
      <w:r>
        <w:rPr>
          <w:color w:val="6B7280"/>
          <w:sz w:val="18"/>
          <w:szCs w:val="18"/>
        </w:rPr>
        <w:t xml:space="preserve">Généré le 19 août 2026</w:t>
      </w:r>
    </w:p>
    <w:p>
      <w:pPr>
        <w:pageBreakBefore/>
      </w:pPr>
    </w:p>
    <w:p>
      <w:pPr>
        <w:pStyle w:val="Heading1"/>
        <w:pBdr>
          <w:bottom w:val="single" w:color="1D4ED8" w:sz="6" w:space="4"/>
        </w:pBdr>
        <w:spacing w:after="200" w:before="400"/>
      </w:pPr>
      <w:r>
        <w:rPr>
          <w:b/>
          <w:bCs/>
          <w:color w:val="1D4ED8"/>
          <w:sz w:val="30"/>
          <w:szCs w:val="30"/>
        </w:rPr>
        <w:t xml:space="preserve">1. Présentation générale</w:t>
      </w:r>
    </w:p>
    <w:p>
      <w:pPr>
        <w:spacing w:after="140"/>
      </w:pPr>
      <w:r>
        <w:rPr>
          <w:color w:val="111827"/>
          <w:sz w:val="21"/>
          <w:szCs w:val="21"/>
        </w:rPr>
        <w:t xml:space="preserve">Clean Car Galsen est une application SaaS de gestion de stations de lavage automobile au Sénégal. Elle met en relation trois profils d'utilisateurs distincts, chacun disposant de son propre espace applicatif :</w:t>
      </w:r>
    </w:p>
    <w:p>
      <w:pPr>
        <w:pStyle w:val="ListParagraph"/>
        <w:numPr>
          <w:ilvl w:val="0"/>
          <w:numId w:val="2"/>
        </w:numPr>
        <w:spacing w:after="60"/>
      </w:pPr>
      <w:r>
        <w:rPr>
          <w:color w:val="111827"/>
          <w:sz w:val="21"/>
          <w:szCs w:val="21"/>
        </w:rPr>
        <w:t xml:space="preserve">Automobiliste (client) : recherche une station, réserve un lavage, suit sa file d'attente en direct, paie en ligne ou sur place, gère son garage de véhicules.</w:t>
      </w:r>
    </w:p>
    <w:p>
      <w:pPr>
        <w:pStyle w:val="ListParagraph"/>
        <w:numPr>
          <w:ilvl w:val="0"/>
          <w:numId w:val="2"/>
        </w:numPr>
        <w:spacing w:after="60"/>
      </w:pPr>
      <w:r>
        <w:rPr>
          <w:color w:val="111827"/>
          <w:sz w:val="21"/>
          <w:szCs w:val="21"/>
        </w:rPr>
        <w:t xml:space="preserve">Station (admin) : gère sa file d'attente, ses laveurs et leur pointage, sa tarification, ses promotions, sa comptabilité.</w:t>
      </w:r>
    </w:p>
    <w:p>
      <w:pPr>
        <w:pStyle w:val="ListParagraph"/>
        <w:numPr>
          <w:ilvl w:val="0"/>
          <w:numId w:val="2"/>
        </w:numPr>
        <w:spacing w:after="60"/>
      </w:pPr>
      <w:r>
        <w:rPr>
          <w:color w:val="111827"/>
          <w:sz w:val="21"/>
          <w:szCs w:val="21"/>
        </w:rPr>
        <w:t xml:space="preserve">Super Admin (opérateur de la plateforme) : supervise l'ensemble du réseau de stations, la facturation SaaS, les abonnements Super User et les publicités payantes, les litiges.</w:t>
      </w:r>
    </w:p>
    <w:p>
      <w:pPr>
        <w:spacing w:after="100"/>
      </w:pPr>
    </w:p>
    <w:p>
      <w:pPr>
        <w:spacing w:after="140"/>
      </w:pPr>
      <w:r>
        <w:rPr>
          <w:color w:val="111827"/>
          <w:sz w:val="21"/>
          <w:szCs w:val="21"/>
        </w:rPr>
        <w:t xml:space="preserve">L'interface est entièrement en français, les montants en FCFA, les moyens de paiement affichés sont Wave et Orange Money.</w:t>
      </w:r>
    </w:p>
    <w:p>
      <w:pPr>
        <w:pStyle w:val="Heading1"/>
        <w:pBdr>
          <w:bottom w:val="single" w:color="1D4ED8" w:sz="6" w:space="4"/>
        </w:pBdr>
        <w:spacing w:after="200" w:before="400"/>
      </w:pPr>
      <w:r>
        <w:rPr>
          <w:b/>
          <w:bCs/>
          <w:color w:val="1D4ED8"/>
          <w:sz w:val="30"/>
          <w:szCs w:val="30"/>
        </w:rPr>
        <w:t xml:space="preserve">2. Stack technique</w:t>
      </w:r>
    </w:p>
    <w:p>
      <w:pPr>
        <w:pStyle w:val="Heading2"/>
        <w:spacing w:after="140" w:before="300"/>
      </w:pPr>
      <w:r>
        <w:rPr>
          <w:b/>
          <w:bCs/>
          <w:color w:val="111827"/>
          <w:sz w:val="24"/>
          <w:szCs w:val="24"/>
        </w:rPr>
        <w:t xml:space="preserve">2.1 Frontend</w:t>
      </w:r>
    </w:p>
    <w:p>
      <w:pPr>
        <w:pStyle w:val="ListParagraph"/>
        <w:numPr>
          <w:ilvl w:val="0"/>
          <w:numId w:val="2"/>
        </w:numPr>
        <w:spacing w:after="60"/>
      </w:pPr>
      <w:r>
        <w:rPr>
          <w:b/>
          <w:bCs/>
          <w:color w:val="111827"/>
          <w:sz w:val="21"/>
          <w:szCs w:val="21"/>
        </w:rPr>
        <w:t xml:space="preserve">Framework : </w:t>
      </w:r>
      <w:r>
        <w:rPr>
          <w:color w:val="111827"/>
          <w:sz w:val="21"/>
          <w:szCs w:val="21"/>
        </w:rPr>
        <w:t xml:space="preserve">React (SPA), routage via react-router-dom.</w:t>
      </w:r>
    </w:p>
    <w:p>
      <w:pPr>
        <w:pStyle w:val="ListParagraph"/>
        <w:numPr>
          <w:ilvl w:val="0"/>
          <w:numId w:val="2"/>
        </w:numPr>
        <w:spacing w:after="60"/>
      </w:pPr>
      <w:r>
        <w:rPr>
          <w:b/>
          <w:bCs/>
          <w:color w:val="111827"/>
          <w:sz w:val="21"/>
          <w:szCs w:val="21"/>
        </w:rPr>
        <w:t xml:space="preserve">Build : </w:t>
      </w:r>
      <w:r>
        <w:rPr>
          <w:color w:val="111827"/>
          <w:sz w:val="21"/>
          <w:szCs w:val="21"/>
        </w:rPr>
        <w:t xml:space="preserve">Vite — plusieurs points d'entrée HTML réels (index.html, login.html, dashboard.html, reset-password.html), pas un unique index.html.</w:t>
      </w:r>
    </w:p>
    <w:p>
      <w:pPr>
        <w:pStyle w:val="ListParagraph"/>
        <w:numPr>
          <w:ilvl w:val="0"/>
          <w:numId w:val="2"/>
        </w:numPr>
        <w:spacing w:after="60"/>
      </w:pPr>
      <w:r>
        <w:rPr>
          <w:b/>
          <w:bCs/>
          <w:color w:val="111827"/>
          <w:sz w:val="21"/>
          <w:szCs w:val="21"/>
        </w:rPr>
        <w:t xml:space="preserve">UI : </w:t>
      </w:r>
      <w:r>
        <w:rPr>
          <w:color w:val="111827"/>
          <w:sz w:val="21"/>
          <w:szCs w:val="21"/>
        </w:rPr>
        <w:t xml:space="preserve">Tailwind CSS, Framer Motion (animations/transitions), lucide-react (icônes).</w:t>
      </w:r>
    </w:p>
    <w:p>
      <w:pPr>
        <w:pStyle w:val="ListParagraph"/>
        <w:numPr>
          <w:ilvl w:val="0"/>
          <w:numId w:val="2"/>
        </w:numPr>
        <w:spacing w:after="60"/>
      </w:pPr>
      <w:r>
        <w:rPr>
          <w:b/>
          <w:bCs/>
          <w:color w:val="111827"/>
          <w:sz w:val="21"/>
          <w:szCs w:val="21"/>
        </w:rPr>
        <w:t xml:space="preserve">État global : </w:t>
      </w:r>
      <w:r>
        <w:rPr>
          <w:color w:val="111827"/>
          <w:sz w:val="21"/>
          <w:szCs w:val="21"/>
        </w:rPr>
        <w:t xml:space="preserve">React Context (pas de Redux/Zustand) — trois providers dédiés, voir section 4.</w:t>
      </w:r>
    </w:p>
    <w:p>
      <w:pPr>
        <w:pStyle w:val="ListParagraph"/>
        <w:numPr>
          <w:ilvl w:val="0"/>
          <w:numId w:val="2"/>
        </w:numPr>
        <w:spacing w:after="60"/>
      </w:pPr>
      <w:r>
        <w:rPr>
          <w:b/>
          <w:bCs/>
          <w:color w:val="111827"/>
          <w:sz w:val="21"/>
          <w:szCs w:val="21"/>
        </w:rPr>
        <w:t xml:space="preserve">Graphiques : </w:t>
      </w:r>
      <w:r>
        <w:rPr>
          <w:color w:val="111827"/>
          <w:sz w:val="21"/>
          <w:szCs w:val="21"/>
        </w:rPr>
        <w:t xml:space="preserve">Composants SVG faits maison (aucune librairie de charts externe type Recharts/Chart.js).</w:t>
      </w:r>
    </w:p>
    <w:p>
      <w:pPr>
        <w:pStyle w:val="ListParagraph"/>
        <w:numPr>
          <w:ilvl w:val="0"/>
          <w:numId w:val="2"/>
        </w:numPr>
        <w:spacing w:after="60"/>
      </w:pPr>
      <w:r>
        <w:rPr>
          <w:b/>
          <w:bCs/>
          <w:color w:val="111827"/>
          <w:sz w:val="21"/>
          <w:szCs w:val="21"/>
        </w:rPr>
        <w:t xml:space="preserve">Export Excel : </w:t>
      </w:r>
      <w:r>
        <w:rPr>
          <w:color w:val="111827"/>
          <w:sz w:val="21"/>
          <w:szCs w:val="21"/>
        </w:rPr>
        <w:t xml:space="preserve">xlsx (SheetJS), utilisé pour l'export du planning des laveurs.</w:t>
      </w:r>
    </w:p>
    <w:p>
      <w:pPr>
        <w:spacing w:after="100"/>
      </w:pPr>
    </w:p>
    <w:p>
      <w:pPr>
        <w:pStyle w:val="Heading2"/>
        <w:spacing w:after="140" w:before="300"/>
      </w:pPr>
      <w:r>
        <w:rPr>
          <w:b/>
          <w:bCs/>
          <w:color w:val="111827"/>
          <w:sz w:val="24"/>
          <w:szCs w:val="24"/>
        </w:rPr>
        <w:t xml:space="preserve">2.2 Backend</w:t>
      </w:r>
    </w:p>
    <w:p>
      <w:pPr>
        <w:pStyle w:val="ListParagraph"/>
        <w:numPr>
          <w:ilvl w:val="0"/>
          <w:numId w:val="2"/>
        </w:numPr>
        <w:spacing w:after="60"/>
      </w:pPr>
      <w:r>
        <w:rPr>
          <w:b/>
          <w:bCs/>
          <w:color w:val="111827"/>
          <w:sz w:val="21"/>
          <w:szCs w:val="21"/>
        </w:rPr>
        <w:t xml:space="preserve">Plateforme : </w:t>
      </w:r>
      <w:r>
        <w:rPr>
          <w:color w:val="111827"/>
          <w:sz w:val="21"/>
          <w:szCs w:val="21"/>
        </w:rPr>
        <w:t xml:space="preserve">Supabase — Postgres, Auth, Realtime, Row Level Security. Aucun serveur applicatif séparé (pas d'API Node/Express) : le frontend interroge Supabase directement via son client JS.</w:t>
      </w:r>
    </w:p>
    <w:p>
      <w:pPr>
        <w:pStyle w:val="ListParagraph"/>
        <w:numPr>
          <w:ilvl w:val="0"/>
          <w:numId w:val="2"/>
        </w:numPr>
        <w:spacing w:after="60"/>
      </w:pPr>
      <w:r>
        <w:rPr>
          <w:b/>
          <w:bCs/>
          <w:color w:val="111827"/>
          <w:sz w:val="21"/>
          <w:szCs w:val="21"/>
        </w:rPr>
        <w:t xml:space="preserve">Authentification : </w:t>
      </w:r>
      <w:r>
        <w:rPr>
          <w:color w:val="111827"/>
          <w:sz w:val="21"/>
          <w:szCs w:val="21"/>
        </w:rPr>
        <w:t xml:space="preserve">Supabase Auth (comptes réels, pas de mots de passe en clair) — src/lib/accounts.js.</w:t>
      </w:r>
    </w:p>
    <w:p>
      <w:pPr>
        <w:pStyle w:val="ListParagraph"/>
        <w:numPr>
          <w:ilvl w:val="0"/>
          <w:numId w:val="2"/>
        </w:numPr>
        <w:spacing w:after="60"/>
      </w:pPr>
      <w:r>
        <w:rPr>
          <w:b/>
          <w:bCs/>
          <w:color w:val="111827"/>
          <w:sz w:val="21"/>
          <w:szCs w:val="21"/>
        </w:rPr>
        <w:t xml:space="preserve">Fichiers/Images : </w:t>
      </w:r>
      <w:r>
        <w:rPr>
          <w:color w:val="111827"/>
          <w:sz w:val="21"/>
          <w:szCs w:val="21"/>
        </w:rPr>
        <w:t xml:space="preserve">Aucun bucket Supabase Storage utilisé : logos, cachets, photos de profil et images de publicité sont stockés en base64 (Data URL) directement dans les colonnes texte, plafonnés à 1,5 Mo.</w:t>
      </w:r>
    </w:p>
    <w:p>
      <w:pPr>
        <w:pStyle w:val="ListParagraph"/>
        <w:numPr>
          <w:ilvl w:val="0"/>
          <w:numId w:val="2"/>
        </w:numPr>
        <w:spacing w:after="60"/>
      </w:pPr>
      <w:r>
        <w:rPr>
          <w:b/>
          <w:bCs/>
          <w:color w:val="111827"/>
          <w:sz w:val="21"/>
          <w:szCs w:val="21"/>
        </w:rPr>
        <w:t xml:space="preserve">Tâches planifiées : </w:t>
      </w:r>
      <w:r>
        <w:rPr>
          <w:color w:val="111827"/>
          <w:sz w:val="21"/>
          <w:szCs w:val="21"/>
        </w:rPr>
        <w:t xml:space="preserve">Aucune (pas d'Edge Function/cron) — les statuts qui "expirent" (abonnement Super User, publicité, bandeau promo) sont recalculés à la volée à chaque lecture plutôt que mis à jour en base par un job.</w:t>
      </w:r>
    </w:p>
    <w:p>
      <w:pPr>
        <w:spacing w:after="100"/>
      </w:pPr>
    </w:p>
    <w:p>
      <w:pPr>
        <w:pStyle w:val="Heading2"/>
        <w:spacing w:after="140" w:before="300"/>
      </w:pPr>
      <w:r>
        <w:rPr>
          <w:b/>
          <w:bCs/>
          <w:color w:val="111827"/>
          <w:sz w:val="24"/>
          <w:szCs w:val="24"/>
        </w:rPr>
        <w:t xml:space="preserve">2.3 Paiement</w:t>
      </w:r>
    </w:p>
    <w:p>
      <w:pPr>
        <w:spacing w:after="140"/>
      </w:pPr>
      <w:r>
        <w:rPr>
          <w:color w:val="111827"/>
          <w:sz w:val="21"/>
          <w:szCs w:val="21"/>
        </w:rPr>
        <w:t xml:space="preserve">Il n'existe aucune passerelle de paiement réelle intégrée (pas d'API Wave/Orange Money). Deux mécanismes coexistent :</w:t>
      </w:r>
    </w:p>
    <w:p>
      <w:pPr>
        <w:pStyle w:val="ListParagraph"/>
        <w:numPr>
          <w:ilvl w:val="0"/>
          <w:numId w:val="2"/>
        </w:numPr>
        <w:spacing w:after="60"/>
      </w:pPr>
      <w:r>
        <w:rPr>
          <w:color w:val="111827"/>
          <w:sz w:val="21"/>
          <w:szCs w:val="21"/>
        </w:rPr>
        <w:t xml:space="preserve">Paiement "réservation" (file d'attente) : simulé côté client (délai artificiel puis confirmation), à but de démonstration du parcours.</w:t>
      </w:r>
    </w:p>
    <w:p>
      <w:pPr>
        <w:pStyle w:val="ListParagraph"/>
        <w:numPr>
          <w:ilvl w:val="0"/>
          <w:numId w:val="2"/>
        </w:numPr>
        <w:spacing w:after="60"/>
      </w:pPr>
      <w:r>
        <w:rPr>
          <w:color w:val="111827"/>
          <w:sz w:val="21"/>
          <w:szCs w:val="21"/>
        </w:rPr>
        <w:t xml:space="preserve">Paiement "abonnement" (Super User automobiliste, Publicité station) : le client saisit un numéro et clique payer, ce qui crée une ligne en base au statut PENDING. Seul le Super Admin peut la faire passer à ACTIVE, une fois l'argent réellement reçu par un autre canal (Wave/OM manuel). Aucune activation automatique n'existe.</w:t>
      </w:r>
    </w:p>
    <w:p>
      <w:pPr>
        <w:pStyle w:val="Heading1"/>
        <w:pBdr>
          <w:bottom w:val="single" w:color="1D4ED8" w:sz="6" w:space="4"/>
        </w:pBdr>
        <w:spacing w:after="200" w:before="400"/>
      </w:pPr>
      <w:r>
        <w:rPr>
          <w:b/>
          <w:bCs/>
          <w:color w:val="1D4ED8"/>
          <w:sz w:val="30"/>
          <w:szCs w:val="30"/>
        </w:rPr>
        <w:t xml:space="preserve">3. Espaces applicatifs et routage</w:t>
      </w:r>
    </w:p>
    <w:p>
      <w:pPr>
        <w:spacing w:after="140"/>
      </w:pPr>
      <w:r>
        <w:rPr>
          <w:color w:val="111827"/>
          <w:sz w:val="21"/>
          <w:szCs w:val="21"/>
        </w:rPr>
        <w:t xml:space="preserve">Trois zones de routes, chacune enveloppée par son propre Layout React et protégée par un contrôle de rôle (redirection vers login.html si non autorisé) :</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1D4ED8" w:val="clear"/>
            <w:tcMar>
              <w:top w:type="dxa" w:w="80"/>
              <w:left w:type="dxa" w:w="120"/>
              <w:bottom w:type="dxa" w:w="80"/>
              <w:right w:type="dxa" w:w="120"/>
            </w:tcMar>
          </w:tcPr>
          <w:p>
            <w:r>
              <w:rPr>
                <w:b/>
                <w:bCs/>
                <w:color w:val="FFFFFF"/>
                <w:sz w:val="19"/>
                <w:szCs w:val="19"/>
              </w:rPr>
              <w:t xml:space="preserve">Espace</w:t>
            </w:r>
          </w:p>
        </w:tc>
        <w:tc>
          <w:tcPr>
            <w:tcW w:type="pct" w:w="25%"/>
            <w:shd w:fill="1D4ED8" w:val="clear"/>
            <w:tcMar>
              <w:top w:type="dxa" w:w="80"/>
              <w:left w:type="dxa" w:w="120"/>
              <w:bottom w:type="dxa" w:w="80"/>
              <w:right w:type="dxa" w:w="120"/>
            </w:tcMar>
          </w:tcPr>
          <w:p>
            <w:r>
              <w:rPr>
                <w:b/>
                <w:bCs/>
                <w:color w:val="FFFFFF"/>
                <w:sz w:val="19"/>
                <w:szCs w:val="19"/>
              </w:rPr>
              <w:t xml:space="preserve">Préfixe de route</w:t>
            </w:r>
          </w:p>
        </w:tc>
        <w:tc>
          <w:tcPr>
            <w:tcW w:type="pct" w:w="25%"/>
            <w:shd w:fill="1D4ED8" w:val="clear"/>
            <w:tcMar>
              <w:top w:type="dxa" w:w="80"/>
              <w:left w:type="dxa" w:w="120"/>
              <w:bottom w:type="dxa" w:w="80"/>
              <w:right w:type="dxa" w:w="120"/>
            </w:tcMar>
          </w:tcPr>
          <w:p>
            <w:r>
              <w:rPr>
                <w:b/>
                <w:bCs/>
                <w:color w:val="FFFFFF"/>
                <w:sz w:val="19"/>
                <w:szCs w:val="19"/>
              </w:rPr>
              <w:t xml:space="preserve">Layout</w:t>
            </w:r>
          </w:p>
        </w:tc>
        <w:tc>
          <w:tcPr>
            <w:tcW w:type="pct" w:w="25%"/>
            <w:shd w:fill="1D4ED8" w:val="clear"/>
            <w:tcMar>
              <w:top w:type="dxa" w:w="80"/>
              <w:left w:type="dxa" w:w="120"/>
              <w:bottom w:type="dxa" w:w="80"/>
              <w:right w:type="dxa" w:w="120"/>
            </w:tcMar>
          </w:tcPr>
          <w:p>
            <w:r>
              <w:rPr>
                <w:b/>
                <w:bCs/>
                <w:color w:val="FFFFFF"/>
                <w:sz w:val="19"/>
                <w:szCs w:val="19"/>
              </w:rPr>
              <w:t xml:space="preserve">Provider d'état</w:t>
            </w:r>
          </w:p>
        </w:tc>
      </w:tr>
      <w:tr>
        <w:tc>
          <w:tcPr>
            <w:tcW w:type="pct" w:w="25%"/>
            <w:tcMar>
              <w:top w:type="dxa" w:w="80"/>
              <w:left w:type="dxa" w:w="120"/>
              <w:bottom w:type="dxa" w:w="80"/>
              <w:right w:type="dxa" w:w="120"/>
            </w:tcMar>
          </w:tcPr>
          <w:p>
            <w:r>
              <w:rPr>
                <w:b w:val="false"/>
                <w:bCs w:val="false"/>
                <w:color w:val="111827"/>
                <w:sz w:val="19"/>
                <w:szCs w:val="19"/>
              </w:rPr>
              <w:t xml:space="preserve">Public / vitrine</w:t>
            </w:r>
          </w:p>
        </w:tc>
        <w:tc>
          <w:tcPr>
            <w:tcW w:type="pct" w:w="25%"/>
            <w:tcMar>
              <w:top w:type="dxa" w:w="80"/>
              <w:left w:type="dxa" w:w="120"/>
              <w:bottom w:type="dxa" w:w="80"/>
              <w:right w:type="dxa" w:w="120"/>
            </w:tcMar>
          </w:tcPr>
          <w:p>
            <w:r>
              <w:rPr>
                <w:b w:val="false"/>
                <w:bCs w:val="false"/>
                <w:color w:val="111827"/>
                <w:sz w:val="19"/>
                <w:szCs w:val="19"/>
              </w:rPr>
              <w:t xml:space="preserve">/  ,  /stations</w:t>
            </w:r>
          </w:p>
        </w:tc>
        <w:tc>
          <w:tcPr>
            <w:tcW w:type="pct" w:w="25%"/>
            <w:tcMar>
              <w:top w:type="dxa" w:w="80"/>
              <w:left w:type="dxa" w:w="120"/>
              <w:bottom w:type="dxa" w:w="80"/>
              <w:right w:type="dxa" w:w="120"/>
            </w:tcMar>
          </w:tcPr>
          <w:p>
            <w:r>
              <w:rPr>
                <w:b w:val="false"/>
                <w:bCs w:val="false"/>
                <w:color w:val="111827"/>
                <w:sz w:val="19"/>
                <w:szCs w:val="19"/>
              </w:rPr>
              <w:t xml:space="preserve">MainLayout</w:t>
            </w:r>
          </w:p>
        </w:tc>
        <w:tc>
          <w:tcPr>
            <w:tcW w:type="pct" w:w="25%"/>
            <w:tcMar>
              <w:top w:type="dxa" w:w="80"/>
              <w:left w:type="dxa" w:w="120"/>
              <w:bottom w:type="dxa" w:w="80"/>
              <w:right w:type="dxa" w:w="120"/>
            </w:tcMar>
          </w:tcPr>
          <w:p>
            <w:r>
              <w:rPr>
                <w:b w:val="false"/>
                <w:bCs w:val="false"/>
                <w:color w:val="111827"/>
                <w:sz w:val="19"/>
                <w:szCs w:val="19"/>
              </w:rPr>
              <w:t xml:space="preserve">—</w:t>
            </w:r>
          </w:p>
        </w:tc>
      </w:tr>
      <w:tr>
        <w:tc>
          <w:tcPr>
            <w:tcW w:type="pct" w:w="25%"/>
            <w:tcMar>
              <w:top w:type="dxa" w:w="80"/>
              <w:left w:type="dxa" w:w="120"/>
              <w:bottom w:type="dxa" w:w="80"/>
              <w:right w:type="dxa" w:w="120"/>
            </w:tcMar>
          </w:tcPr>
          <w:p>
            <w:r>
              <w:rPr>
                <w:b w:val="false"/>
                <w:bCs w:val="false"/>
                <w:color w:val="111827"/>
                <w:sz w:val="19"/>
                <w:szCs w:val="19"/>
              </w:rPr>
              <w:t xml:space="preserve">Automobiliste</w:t>
            </w:r>
          </w:p>
        </w:tc>
        <w:tc>
          <w:tcPr>
            <w:tcW w:type="pct" w:w="25%"/>
            <w:tcMar>
              <w:top w:type="dxa" w:w="80"/>
              <w:left w:type="dxa" w:w="120"/>
              <w:bottom w:type="dxa" w:w="80"/>
              <w:right w:type="dxa" w:w="120"/>
            </w:tcMar>
          </w:tcPr>
          <w:p>
            <w:r>
              <w:rPr>
                <w:b w:val="false"/>
                <w:bCs w:val="false"/>
                <w:color w:val="111827"/>
                <w:sz w:val="19"/>
                <w:szCs w:val="19"/>
              </w:rPr>
              <w:t xml:space="preserve">/dashboard/*</w:t>
            </w:r>
          </w:p>
        </w:tc>
        <w:tc>
          <w:tcPr>
            <w:tcW w:type="pct" w:w="25%"/>
            <w:tcMar>
              <w:top w:type="dxa" w:w="80"/>
              <w:left w:type="dxa" w:w="120"/>
              <w:bottom w:type="dxa" w:w="80"/>
              <w:right w:type="dxa" w:w="120"/>
            </w:tcMar>
          </w:tcPr>
          <w:p>
            <w:r>
              <w:rPr>
                <w:b w:val="false"/>
                <w:bCs w:val="false"/>
                <w:color w:val="111827"/>
                <w:sz w:val="19"/>
                <w:szCs w:val="19"/>
              </w:rPr>
              <w:t xml:space="preserve">ClientLayout</w:t>
            </w:r>
          </w:p>
        </w:tc>
        <w:tc>
          <w:tcPr>
            <w:tcW w:type="pct" w:w="25%"/>
            <w:tcMar>
              <w:top w:type="dxa" w:w="80"/>
              <w:left w:type="dxa" w:w="120"/>
              <w:bottom w:type="dxa" w:w="80"/>
              <w:right w:type="dxa" w:w="120"/>
            </w:tcMar>
          </w:tcPr>
          <w:p>
            <w:r>
              <w:rPr>
                <w:b w:val="false"/>
                <w:bCs w:val="false"/>
                <w:color w:val="111827"/>
                <w:sz w:val="19"/>
                <w:szCs w:val="19"/>
              </w:rPr>
              <w:t xml:space="preserve">ClientAccountProvider</w:t>
            </w:r>
          </w:p>
        </w:tc>
      </w:tr>
      <w:tr>
        <w:tc>
          <w:tcPr>
            <w:tcW w:type="pct" w:w="25%"/>
            <w:tcMar>
              <w:top w:type="dxa" w:w="80"/>
              <w:left w:type="dxa" w:w="120"/>
              <w:bottom w:type="dxa" w:w="80"/>
              <w:right w:type="dxa" w:w="120"/>
            </w:tcMar>
          </w:tcPr>
          <w:p>
            <w:r>
              <w:rPr>
                <w:b w:val="false"/>
                <w:bCs w:val="false"/>
                <w:color w:val="111827"/>
                <w:sz w:val="19"/>
                <w:szCs w:val="19"/>
              </w:rPr>
              <w:t xml:space="preserve">Station</w:t>
            </w:r>
          </w:p>
        </w:tc>
        <w:tc>
          <w:tcPr>
            <w:tcW w:type="pct" w:w="25%"/>
            <w:tcMar>
              <w:top w:type="dxa" w:w="80"/>
              <w:left w:type="dxa" w:w="120"/>
              <w:bottom w:type="dxa" w:w="80"/>
              <w:right w:type="dxa" w:w="120"/>
            </w:tcMar>
          </w:tcPr>
          <w:p>
            <w:r>
              <w:rPr>
                <w:b w:val="false"/>
                <w:bCs w:val="false"/>
                <w:color w:val="111827"/>
                <w:sz w:val="19"/>
                <w:szCs w:val="19"/>
              </w:rPr>
              <w:t xml:space="preserve">/admin/*</w:t>
            </w:r>
          </w:p>
        </w:tc>
        <w:tc>
          <w:tcPr>
            <w:tcW w:type="pct" w:w="25%"/>
            <w:tcMar>
              <w:top w:type="dxa" w:w="80"/>
              <w:left w:type="dxa" w:w="120"/>
              <w:bottom w:type="dxa" w:w="80"/>
              <w:right w:type="dxa" w:w="120"/>
            </w:tcMar>
          </w:tcPr>
          <w:p>
            <w:r>
              <w:rPr>
                <w:b w:val="false"/>
                <w:bCs w:val="false"/>
                <w:color w:val="111827"/>
                <w:sz w:val="19"/>
                <w:szCs w:val="19"/>
              </w:rPr>
              <w:t xml:space="preserve">AdminLayout</w:t>
            </w:r>
          </w:p>
        </w:tc>
        <w:tc>
          <w:tcPr>
            <w:tcW w:type="pct" w:w="25%"/>
            <w:tcMar>
              <w:top w:type="dxa" w:w="80"/>
              <w:left w:type="dxa" w:w="120"/>
              <w:bottom w:type="dxa" w:w="80"/>
              <w:right w:type="dxa" w:w="120"/>
            </w:tcMar>
          </w:tcPr>
          <w:p>
            <w:r>
              <w:rPr>
                <w:b w:val="false"/>
                <w:bCs w:val="false"/>
                <w:color w:val="111827"/>
                <w:sz w:val="19"/>
                <w:szCs w:val="19"/>
              </w:rPr>
              <w:t xml:space="preserve">AppStateProvider</w:t>
            </w:r>
          </w:p>
        </w:tc>
      </w:tr>
      <w:tr>
        <w:tc>
          <w:tcPr>
            <w:tcW w:type="pct" w:w="25%"/>
            <w:tcMar>
              <w:top w:type="dxa" w:w="80"/>
              <w:left w:type="dxa" w:w="120"/>
              <w:bottom w:type="dxa" w:w="80"/>
              <w:right w:type="dxa" w:w="120"/>
            </w:tcMar>
          </w:tcPr>
          <w:p>
            <w:r>
              <w:rPr>
                <w:b w:val="false"/>
                <w:bCs w:val="false"/>
                <w:color w:val="111827"/>
                <w:sz w:val="19"/>
                <w:szCs w:val="19"/>
              </w:rPr>
              <w:t xml:space="preserve">Super Admin</w:t>
            </w:r>
          </w:p>
        </w:tc>
        <w:tc>
          <w:tcPr>
            <w:tcW w:type="pct" w:w="25%"/>
            <w:tcMar>
              <w:top w:type="dxa" w:w="80"/>
              <w:left w:type="dxa" w:w="120"/>
              <w:bottom w:type="dxa" w:w="80"/>
              <w:right w:type="dxa" w:w="120"/>
            </w:tcMar>
          </w:tcPr>
          <w:p>
            <w:r>
              <w:rPr>
                <w:b w:val="false"/>
                <w:bCs w:val="false"/>
                <w:color w:val="111827"/>
                <w:sz w:val="19"/>
                <w:szCs w:val="19"/>
              </w:rPr>
              <w:t xml:space="preserve">/superadmin/*</w:t>
            </w:r>
          </w:p>
        </w:tc>
        <w:tc>
          <w:tcPr>
            <w:tcW w:type="pct" w:w="25%"/>
            <w:tcMar>
              <w:top w:type="dxa" w:w="80"/>
              <w:left w:type="dxa" w:w="120"/>
              <w:bottom w:type="dxa" w:w="80"/>
              <w:right w:type="dxa" w:w="120"/>
            </w:tcMar>
          </w:tcPr>
          <w:p>
            <w:r>
              <w:rPr>
                <w:b w:val="false"/>
                <w:bCs w:val="false"/>
                <w:color w:val="111827"/>
                <w:sz w:val="19"/>
                <w:szCs w:val="19"/>
              </w:rPr>
              <w:t xml:space="preserve">SuperAdminLayout</w:t>
            </w:r>
          </w:p>
        </w:tc>
        <w:tc>
          <w:tcPr>
            <w:tcW w:type="pct" w:w="25%"/>
            <w:tcMar>
              <w:top w:type="dxa" w:w="80"/>
              <w:left w:type="dxa" w:w="120"/>
              <w:bottom w:type="dxa" w:w="80"/>
              <w:right w:type="dxa" w:w="120"/>
            </w:tcMar>
          </w:tcPr>
          <w:p>
            <w:r>
              <w:rPr>
                <w:b w:val="false"/>
                <w:bCs w:val="false"/>
                <w:color w:val="111827"/>
                <w:sz w:val="19"/>
                <w:szCs w:val="19"/>
              </w:rPr>
              <w:t xml:space="preserve">SuperAdminStateProvider</w:t>
            </w:r>
          </w:p>
        </w:tc>
      </w:tr>
    </w:tbl>
    <w:p>
      <w:pPr>
        <w:spacing w:after="200"/>
      </w:pPr>
    </w:p>
    <w:p>
      <w:pPr>
        <w:spacing w:after="140"/>
      </w:pPr>
      <w:r>
        <w:rPr>
          <w:color w:val="111827"/>
          <w:sz w:val="21"/>
          <w:szCs w:val="21"/>
        </w:rP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00"/>
      </w:pPr>
    </w:p>
    <w:p>
      <w:pPr>
        <w:spacing w:after="140"/>
      </w:pPr>
      <w:r>
        <w:rPr>
          <w:color w:val="111827"/>
          <w:sz w:val="21"/>
          <w:szCs w:val="21"/>
        </w:rP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00"/>
      </w:pPr>
    </w:p>
    <w:p>
      <w:pPr>
        <w:spacing w:after="140"/>
      </w:pPr>
      <w:r>
        <w:rPr>
          <w:color w:val="111827"/>
          <w:sz w:val="21"/>
          <w:szCs w:val="21"/>
        </w:rP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00"/>
      </w:pPr>
    </w:p>
    <w:p>
      <w:pPr>
        <w:spacing w:after="140"/>
      </w:pPr>
      <w:r>
        <w:rPr>
          <w:color w:val="111827"/>
          <w:sz w:val="21"/>
          <w:szCs w:val="21"/>
        </w:rPr>
        <w:t xml:space="preserve">Pages statiques additionnelles (public/) : 404.html, merci.html et confidentialite.html sont de VRAIES pages servies en production, mais copiées telles quelles au build (aucun traitement Vite, pas de bundling) — comme robots.txt ou sitemap.xml. Voir section 8.</w:t>
      </w:r>
    </w:p>
    <w:p>
      <w:pPr>
        <w:pStyle w:val="Heading1"/>
        <w:pBdr>
          <w:bottom w:val="single" w:color="1D4ED8" w:sz="6" w:space="4"/>
        </w:pBdr>
        <w:spacing w:after="200" w:before="400"/>
      </w:pPr>
      <w:r>
        <w:rPr>
          <w:b/>
          <w:bCs/>
          <w:color w:val="1D4ED8"/>
          <w:sz w:val="30"/>
          <w:szCs w:val="30"/>
        </w:rPr>
        <w:t xml:space="preserve">4. Gestion d'état (Context Providers)</w:t>
      </w:r>
    </w:p>
    <w:p>
      <w:pPr>
        <w:pStyle w:val="Heading2"/>
        <w:spacing w:after="140" w:before="300"/>
      </w:pPr>
      <w:r>
        <w:rPr>
          <w:b/>
          <w:bCs/>
          <w:color w:val="111827"/>
          <w:sz w:val="24"/>
          <w:szCs w:val="24"/>
        </w:rPr>
        <w:t xml:space="preserve">4.1 useAppState.jsx — données d'UNE station</w:t>
      </w:r>
    </w:p>
    <w:p>
      <w:pPr>
        <w:spacing w:after="140"/>
      </w:pPr>
      <w:r>
        <w:rPr>
          <w:color w:val="111827"/>
          <w:sz w:val="21"/>
          <w:szCs w:val="21"/>
        </w:rPr>
        <w:t xml:space="preserve">Isole entièrement les données de la station actuellement connectée (ou impersonnée). Contient notamment :</w:t>
      </w:r>
    </w:p>
    <w:p>
      <w:pPr>
        <w:pStyle w:val="ListParagraph"/>
        <w:numPr>
          <w:ilvl w:val="0"/>
          <w:numId w:val="2"/>
        </w:numPr>
        <w:spacing w:after="60"/>
      </w:pPr>
      <w:r>
        <w:rPr>
          <w:color w:val="111827"/>
          <w:sz w:val="21"/>
          <w:szCs w:val="21"/>
        </w:rPr>
        <w:t xml:space="preserve">File d'attente / lavages en cours / terminés (table reservations)</w:t>
      </w:r>
    </w:p>
    <w:p>
      <w:pPr>
        <w:pStyle w:val="ListParagraph"/>
        <w:numPr>
          <w:ilvl w:val="0"/>
          <w:numId w:val="2"/>
        </w:numPr>
        <w:spacing w:after="60"/>
      </w:pPr>
      <w:r>
        <w:rPr>
          <w:color w:val="111827"/>
          <w:sz w:val="21"/>
          <w:szCs w:val="21"/>
        </w:rPr>
        <w:t xml:space="preserve">Transactions encaissées (table transactions)</w:t>
      </w:r>
    </w:p>
    <w:p>
      <w:pPr>
        <w:pStyle w:val="ListParagraph"/>
        <w:numPr>
          <w:ilvl w:val="0"/>
          <w:numId w:val="2"/>
        </w:numPr>
        <w:spacing w:after="60"/>
      </w:pPr>
      <w:r>
        <w:rPr>
          <w:color w:val="111827"/>
          <w:sz w:val="21"/>
          <w:szCs w:val="21"/>
        </w:rPr>
        <w:t xml:space="preserve">Employés et pointage journalier (employees, attendance_records)</w:t>
      </w:r>
    </w:p>
    <w:p>
      <w:pPr>
        <w:pStyle w:val="ListParagraph"/>
        <w:numPr>
          <w:ilvl w:val="0"/>
          <w:numId w:val="2"/>
        </w:numPr>
        <w:spacing w:after="60"/>
      </w:pPr>
      <w:r>
        <w:rPr>
          <w:color w:val="111827"/>
          <w:sz w:val="21"/>
          <w:szCs w:val="21"/>
        </w:rPr>
        <w:t xml:space="preserve">Planning prévisionnel des laveurs (shift_templates, shift_schedule) — indépendant du pointage réel</w:t>
      </w:r>
    </w:p>
    <w:p>
      <w:pPr>
        <w:pStyle w:val="ListParagraph"/>
        <w:numPr>
          <w:ilvl w:val="0"/>
          <w:numId w:val="2"/>
        </w:numPr>
        <w:spacing w:after="60"/>
      </w:pPr>
      <w:r>
        <w:rPr>
          <w:color w:val="111827"/>
          <w:sz w:val="21"/>
          <w:szCs w:val="21"/>
        </w:rPr>
        <w:t xml:space="preserve">Tarification et durées estimées par catégorie de véhicule (wash_pricing)</w:t>
      </w:r>
    </w:p>
    <w:p>
      <w:pPr>
        <w:pStyle w:val="ListParagraph"/>
        <w:numPr>
          <w:ilvl w:val="0"/>
          <w:numId w:val="2"/>
        </w:numPr>
        <w:spacing w:after="60"/>
      </w:pPr>
      <w:r>
        <w:rPr>
          <w:color w:val="111827"/>
          <w:sz w:val="21"/>
          <w:szCs w:val="21"/>
        </w:rPr>
        <w:t xml:space="preserve">Profil de la station, horaires d'ouverture, objectif de revenu journalier</w:t>
      </w:r>
    </w:p>
    <w:p>
      <w:pPr>
        <w:pStyle w:val="ListParagraph"/>
        <w:numPr>
          <w:ilvl w:val="0"/>
          <w:numId w:val="2"/>
        </w:numPr>
        <w:spacing w:after="60"/>
      </w:pPr>
      <w:r>
        <w:rPr>
          <w:color w:val="111827"/>
          <w:sz w:val="21"/>
          <w:szCs w:val="21"/>
        </w:rPr>
        <w:t xml:space="preserve">Configuration des promotions gratuites (promo_config)</w:t>
      </w:r>
    </w:p>
    <w:p>
      <w:pPr>
        <w:pStyle w:val="ListParagraph"/>
        <w:numPr>
          <w:ilvl w:val="0"/>
          <w:numId w:val="2"/>
        </w:numPr>
        <w:spacing w:after="60"/>
      </w:pPr>
      <w:r>
        <w:rPr>
          <w:color w:val="111827"/>
          <w:sz w:val="21"/>
          <w:szCs w:val="21"/>
        </w:rPr>
        <w:t xml:space="preserve">Historique des campagnes de publicité payante de la station (station_ads)</w:t>
      </w:r>
    </w:p>
    <w:p>
      <w:pPr>
        <w:spacing w:after="100"/>
      </w:pPr>
    </w:p>
    <w:p>
      <w:pPr>
        <w:pStyle w:val="Heading2"/>
        <w:spacing w:after="140" w:before="300"/>
      </w:pPr>
      <w:r>
        <w:rPr>
          <w:b/>
          <w:bCs/>
          <w:color w:val="111827"/>
          <w:sz w:val="24"/>
          <w:szCs w:val="24"/>
        </w:rPr>
        <w:t xml:space="preserve">4.2 useSuperAdminState.jsx — données transverses</w:t>
      </w:r>
    </w:p>
    <w:p>
      <w:pPr>
        <w:spacing w:after="140"/>
      </w:pPr>
      <w:r>
        <w:rPr>
          <w:color w:val="111827"/>
          <w:sz w:val="21"/>
          <w:szCs w:val="21"/>
        </w:rPr>
        <w:t xml:space="preserve">Chargé sur TOUTE l'application (pas seulement /superadmin) car des pages automobiliste en ont besoin en lecture. Contient :</w:t>
      </w:r>
    </w:p>
    <w:p>
      <w:pPr>
        <w:pStyle w:val="ListParagraph"/>
        <w:numPr>
          <w:ilvl w:val="0"/>
          <w:numId w:val="2"/>
        </w:numPr>
        <w:spacing w:after="60"/>
      </w:pPr>
      <w:r>
        <w:rPr>
          <w:color w:val="111827"/>
          <w:sz w:val="21"/>
          <w:szCs w:val="21"/>
        </w:rPr>
        <w:t xml:space="preserve">Annuaire complet des stations + facturation SaaS (stations, station_billing)</w:t>
      </w:r>
    </w:p>
    <w:p>
      <w:pPr>
        <w:pStyle w:val="ListParagraph"/>
        <w:numPr>
          <w:ilvl w:val="0"/>
          <w:numId w:val="2"/>
        </w:numPr>
        <w:spacing w:after="60"/>
      </w:pPr>
      <w:r>
        <w:rPr>
          <w:color w:val="111827"/>
          <w:sz w:val="21"/>
          <w:szCs w:val="21"/>
        </w:rPr>
        <w:t xml:space="preserve">Comptes automobilistes (profiles + véhicules)</w:t>
      </w:r>
    </w:p>
    <w:p>
      <w:pPr>
        <w:pStyle w:val="ListParagraph"/>
        <w:numPr>
          <w:ilvl w:val="0"/>
          <w:numId w:val="2"/>
        </w:numPr>
        <w:spacing w:after="60"/>
      </w:pPr>
      <w:r>
        <w:rPr>
          <w:color w:val="111827"/>
          <w:sz w:val="21"/>
          <w:szCs w:val="21"/>
        </w:rPr>
        <w:t xml:space="preserve">Abonnements Super User (super_user_subscriptions)</w:t>
      </w:r>
    </w:p>
    <w:p>
      <w:pPr>
        <w:pStyle w:val="ListParagraph"/>
        <w:numPr>
          <w:ilvl w:val="0"/>
          <w:numId w:val="2"/>
        </w:numPr>
        <w:spacing w:after="60"/>
      </w:pPr>
      <w:r>
        <w:rPr>
          <w:color w:val="111827"/>
          <w:sz w:val="21"/>
          <w:szCs w:val="21"/>
        </w:rPr>
        <w:t xml:space="preserve">Publicités de toutes les stations — filtrées par RLS selon le rôle du lecteur (station_ads)</w:t>
      </w:r>
    </w:p>
    <w:p>
      <w:pPr>
        <w:pStyle w:val="ListParagraph"/>
        <w:numPr>
          <w:ilvl w:val="0"/>
          <w:numId w:val="2"/>
        </w:numPr>
        <w:spacing w:after="60"/>
      </w:pPr>
      <w:r>
        <w:rPr>
          <w:color w:val="111827"/>
          <w:sz w:val="21"/>
          <w:szCs w:val="21"/>
        </w:rPr>
        <w:t xml:space="preserve">Plans tarifaires SaaS, litiges, journal d'audit (plans, disputes, audit_log)</w:t>
      </w:r>
    </w:p>
    <w:p>
      <w:pPr>
        <w:spacing w:after="100"/>
      </w:pPr>
    </w:p>
    <w:p>
      <w:pPr>
        <w:pStyle w:val="Heading2"/>
        <w:spacing w:after="140" w:before="300"/>
      </w:pPr>
      <w:r>
        <w:rPr>
          <w:b/>
          <w:bCs/>
          <w:color w:val="111827"/>
          <w:sz w:val="24"/>
          <w:szCs w:val="24"/>
        </w:rPr>
        <w:t xml:space="preserve">4.3 useClientAccount.jsx — compte automobiliste connecté</w:t>
      </w:r>
    </w:p>
    <w:p>
      <w:pPr>
        <w:spacing w:after="140"/>
      </w:pPr>
      <w:r>
        <w:rPr>
          <w:color w:val="111827"/>
          <w:sz w:val="21"/>
          <w:szCs w:val="21"/>
        </w:rPr>
        <w:t xml:space="preserve">Profil, véhicules, réservations actives, historique de transactions, statut Super User, favoris/stations masquées, publicités ignorées (dismissed_ad_ids).</w:t>
      </w:r>
    </w:p>
    <w:p>
      <w:pPr>
        <w:spacing w:after="100"/>
      </w:pPr>
    </w:p>
    <w:p>
      <w:pPr>
        <w:pStyle w:val="Heading2"/>
        <w:spacing w:after="140" w:before="300"/>
      </w:pPr>
      <w:r>
        <w:rPr>
          <w:b/>
          <w:bCs/>
          <w:color w:val="111827"/>
          <w:sz w:val="24"/>
          <w:szCs w:val="24"/>
        </w:rPr>
        <w:t xml:space="preserve">4.4 Stratégie de rafraîchissement</w:t>
      </w:r>
    </w:p>
    <w:p>
      <w:pPr>
        <w:spacing w:after="140"/>
      </w:pPr>
      <w:r>
        <w:rPr>
          <w:color w:val="111827"/>
          <w:sz w:val="21"/>
          <w:szCs w:val="21"/>
        </w:rPr>
        <w:t xml:space="preserve">Aucune de ces données n'est en cache local persistant (pas de localStorage pour les données métier) : tout vient de Supabase à chaque session. Trois mécanismes combinés :</w:t>
      </w:r>
    </w:p>
    <w:p>
      <w:pPr>
        <w:pStyle w:val="ListParagraph"/>
        <w:numPr>
          <w:ilvl w:val="0"/>
          <w:numId w:val="2"/>
        </w:numPr>
        <w:spacing w:after="60"/>
      </w:pPr>
      <w:r>
        <w:rPr>
          <w:color w:val="111827"/>
          <w:sz w:val="21"/>
          <w:szCs w:val="21"/>
        </w:rPr>
        <w:t xml:space="preserve">Sondage (polling) : toutes les 8 secondes (SuperAdminState) ou 45 secondes (AppState/ClientAccount).</w:t>
      </w:r>
    </w:p>
    <w:p>
      <w:pPr>
        <w:pStyle w:val="ListParagraph"/>
        <w:numPr>
          <w:ilvl w:val="0"/>
          <w:numId w:val="2"/>
        </w:numPr>
        <w:spacing w:after="60"/>
      </w:pPr>
      <w:r>
        <w:rPr>
          <w:color w:val="111827"/>
          <w:sz w:val="21"/>
          <w:szCs w:val="21"/>
        </w:rPr>
        <w:t xml:space="preserve">Rafraîchissement au focus de la fenêtre (window "focus").</w:t>
      </w:r>
    </w:p>
    <w:p>
      <w:pPr>
        <w:pStyle w:val="ListParagraph"/>
        <w:numPr>
          <w:ilvl w:val="0"/>
          <w:numId w:val="2"/>
        </w:numPr>
        <w:spacing w:after="60"/>
      </w:pPr>
      <w:r>
        <w:rPr>
          <w:color w:val="111827"/>
          <w:sz w:val="21"/>
          <w:szCs w:val="21"/>
        </w:rPr>
        <w:t xml:space="preserve">Supabase Realtime (postgres_changes) sur les tables les plus critiques (reservations, transactions, employees) pour un affichage quasi instantané, le sondage servant de filet de sécurité en cas de reconnexion manquée.</w:t>
      </w:r>
    </w:p>
    <w:p>
      <w:pPr>
        <w:pStyle w:val="Heading1"/>
        <w:pBdr>
          <w:bottom w:val="single" w:color="1D4ED8" w:sz="6" w:space="4"/>
        </w:pBdr>
        <w:spacing w:after="200" w:before="400"/>
      </w:pPr>
      <w:r>
        <w:rPr>
          <w:b/>
          <w:bCs/>
          <w:color w:val="1D4ED8"/>
          <w:sz w:val="30"/>
          <w:szCs w:val="30"/>
        </w:rPr>
        <w:t xml:space="preserve">5. Modèle de données (tables Supabase)</w:t>
      </w:r>
    </w:p>
    <w:p>
      <w:pPr>
        <w:spacing w:after="140"/>
      </w:pPr>
      <w:r>
        <w:rPr>
          <w:color w:val="111827"/>
          <w:sz w:val="21"/>
          <w:szCs w:val="21"/>
        </w:rPr>
        <w:t xml:space="preserve">19 tables, toutes sous le schéma public, protégées par Row Level Security (voir section 6). Vue d'ensemble par domaine :</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1D4ED8" w:val="clear"/>
            <w:tcMar>
              <w:top w:type="dxa" w:w="80"/>
              <w:left w:type="dxa" w:w="120"/>
              <w:bottom w:type="dxa" w:w="80"/>
              <w:right w:type="dxa" w:w="120"/>
            </w:tcMar>
          </w:tcPr>
          <w:p>
            <w:r>
              <w:rPr>
                <w:b/>
                <w:bCs/>
                <w:color w:val="FFFFFF"/>
                <w:sz w:val="19"/>
                <w:szCs w:val="19"/>
              </w:rPr>
              <w:t xml:space="preserve">Domaine</w:t>
            </w:r>
          </w:p>
        </w:tc>
        <w:tc>
          <w:tcPr>
            <w:tcW w:type="pct" w:w="65%"/>
            <w:shd w:fill="1D4ED8" w:val="clear"/>
            <w:tcMar>
              <w:top w:type="dxa" w:w="80"/>
              <w:left w:type="dxa" w:w="120"/>
              <w:bottom w:type="dxa" w:w="80"/>
              <w:right w:type="dxa" w:w="120"/>
            </w:tcMar>
          </w:tcPr>
          <w:p>
            <w:r>
              <w:rPr>
                <w:b/>
                <w:bCs/>
                <w:color w:val="FFFFFF"/>
                <w:sz w:val="19"/>
                <w:szCs w:val="19"/>
              </w:rPr>
              <w:t xml:space="preserve">Tables</w:t>
            </w:r>
          </w:p>
        </w:tc>
      </w:tr>
      <w:tr>
        <w:tc>
          <w:tcPr>
            <w:tcW w:type="pct" w:w="35%"/>
            <w:tcMar>
              <w:top w:type="dxa" w:w="80"/>
              <w:left w:type="dxa" w:w="120"/>
              <w:bottom w:type="dxa" w:w="80"/>
              <w:right w:type="dxa" w:w="120"/>
            </w:tcMar>
          </w:tcPr>
          <w:p>
            <w:r>
              <w:rPr>
                <w:b w:val="false"/>
                <w:bCs w:val="false"/>
                <w:color w:val="111827"/>
                <w:sz w:val="19"/>
                <w:szCs w:val="19"/>
              </w:rPr>
              <w:t xml:space="preserve">Stations &amp; facturation SaaS</w:t>
            </w:r>
          </w:p>
        </w:tc>
        <w:tc>
          <w:tcPr>
            <w:tcW w:type="pct" w:w="65%"/>
            <w:tcMar>
              <w:top w:type="dxa" w:w="80"/>
              <w:left w:type="dxa" w:w="120"/>
              <w:bottom w:type="dxa" w:w="80"/>
              <w:right w:type="dxa" w:w="120"/>
            </w:tcMar>
          </w:tcPr>
          <w:p>
            <w:r>
              <w:rPr>
                <w:b w:val="false"/>
                <w:bCs w:val="false"/>
                <w:color w:val="111827"/>
                <w:sz w:val="19"/>
                <w:szCs w:val="19"/>
              </w:rPr>
              <w:t xml:space="preserve">stations, station_billing, plans</w:t>
            </w:r>
          </w:p>
        </w:tc>
      </w:tr>
      <w:tr>
        <w:tc>
          <w:tcPr>
            <w:tcW w:type="pct" w:w="35%"/>
            <w:tcMar>
              <w:top w:type="dxa" w:w="80"/>
              <w:left w:type="dxa" w:w="120"/>
              <w:bottom w:type="dxa" w:w="80"/>
              <w:right w:type="dxa" w:w="120"/>
            </w:tcMar>
          </w:tcPr>
          <w:p>
            <w:r>
              <w:rPr>
                <w:b w:val="false"/>
                <w:bCs w:val="false"/>
                <w:color w:val="111827"/>
                <w:sz w:val="19"/>
                <w:szCs w:val="19"/>
              </w:rPr>
              <w:t xml:space="preserve">Comptes &amp; authentification</w:t>
            </w:r>
          </w:p>
        </w:tc>
        <w:tc>
          <w:tcPr>
            <w:tcW w:type="pct" w:w="65%"/>
            <w:tcMar>
              <w:top w:type="dxa" w:w="80"/>
              <w:left w:type="dxa" w:w="120"/>
              <w:bottom w:type="dxa" w:w="80"/>
              <w:right w:type="dxa" w:w="120"/>
            </w:tcMar>
          </w:tcPr>
          <w:p>
            <w:r>
              <w:rPr>
                <w:b w:val="false"/>
                <w:bCs w:val="false"/>
                <w:color w:val="111827"/>
                <w:sz w:val="19"/>
                <w:szCs w:val="19"/>
              </w:rPr>
              <w:t xml:space="preserve">profiles, vehicles</w:t>
            </w:r>
          </w:p>
        </w:tc>
      </w:tr>
      <w:tr>
        <w:tc>
          <w:tcPr>
            <w:tcW w:type="pct" w:w="35%"/>
            <w:tcMar>
              <w:top w:type="dxa" w:w="80"/>
              <w:left w:type="dxa" w:w="120"/>
              <w:bottom w:type="dxa" w:w="80"/>
              <w:right w:type="dxa" w:w="120"/>
            </w:tcMar>
          </w:tcPr>
          <w:p>
            <w:r>
              <w:rPr>
                <w:b w:val="false"/>
                <w:bCs w:val="false"/>
                <w:color w:val="111827"/>
                <w:sz w:val="19"/>
                <w:szCs w:val="19"/>
              </w:rPr>
              <w:t xml:space="preserve">Réservations &amp; paiements</w:t>
            </w:r>
          </w:p>
        </w:tc>
        <w:tc>
          <w:tcPr>
            <w:tcW w:type="pct" w:w="65%"/>
            <w:tcMar>
              <w:top w:type="dxa" w:w="80"/>
              <w:left w:type="dxa" w:w="120"/>
              <w:bottom w:type="dxa" w:w="80"/>
              <w:right w:type="dxa" w:w="120"/>
            </w:tcMar>
          </w:tcPr>
          <w:p>
            <w:r>
              <w:rPr>
                <w:b w:val="false"/>
                <w:bCs w:val="false"/>
                <w:color w:val="111827"/>
                <w:sz w:val="19"/>
                <w:szCs w:val="19"/>
              </w:rPr>
              <w:t xml:space="preserve">reservations, transactions, wash_pricing</w:t>
            </w:r>
          </w:p>
        </w:tc>
      </w:tr>
      <w:tr>
        <w:tc>
          <w:tcPr>
            <w:tcW w:type="pct" w:w="35%"/>
            <w:tcMar>
              <w:top w:type="dxa" w:w="80"/>
              <w:left w:type="dxa" w:w="120"/>
              <w:bottom w:type="dxa" w:w="80"/>
              <w:right w:type="dxa" w:w="120"/>
            </w:tcMar>
          </w:tcPr>
          <w:p>
            <w:r>
              <w:rPr>
                <w:b w:val="false"/>
                <w:bCs w:val="false"/>
                <w:color w:val="111827"/>
                <w:sz w:val="19"/>
                <w:szCs w:val="19"/>
              </w:rPr>
              <w:t xml:space="preserve">Équipe station</w:t>
            </w:r>
          </w:p>
        </w:tc>
        <w:tc>
          <w:tcPr>
            <w:tcW w:type="pct" w:w="65%"/>
            <w:tcMar>
              <w:top w:type="dxa" w:w="80"/>
              <w:left w:type="dxa" w:w="120"/>
              <w:bottom w:type="dxa" w:w="80"/>
              <w:right w:type="dxa" w:w="120"/>
            </w:tcMar>
          </w:tcPr>
          <w:p>
            <w:r>
              <w:rPr>
                <w:b w:val="false"/>
                <w:bCs w:val="false"/>
                <w:color w:val="111827"/>
                <w:sz w:val="19"/>
                <w:szCs w:val="19"/>
              </w:rPr>
              <w:t xml:space="preserve">employees, attendance_records, shift_templates, shift_schedule</w:t>
            </w:r>
          </w:p>
        </w:tc>
      </w:tr>
      <w:tr>
        <w:tc>
          <w:tcPr>
            <w:tcW w:type="pct" w:w="35%"/>
            <w:tcMar>
              <w:top w:type="dxa" w:w="80"/>
              <w:left w:type="dxa" w:w="120"/>
              <w:bottom w:type="dxa" w:w="80"/>
              <w:right w:type="dxa" w:w="120"/>
            </w:tcMar>
          </w:tcPr>
          <w:p>
            <w:r>
              <w:rPr>
                <w:b w:val="false"/>
                <w:bCs w:val="false"/>
                <w:color w:val="111827"/>
                <w:sz w:val="19"/>
                <w:szCs w:val="19"/>
              </w:rPr>
              <w:t xml:space="preserve">Fidélisation &amp; avis</w:t>
            </w:r>
          </w:p>
        </w:tc>
        <w:tc>
          <w:tcPr>
            <w:tcW w:type="pct" w:w="65%"/>
            <w:tcMar>
              <w:top w:type="dxa" w:w="80"/>
              <w:left w:type="dxa" w:w="120"/>
              <w:bottom w:type="dxa" w:w="80"/>
              <w:right w:type="dxa" w:w="120"/>
            </w:tcMar>
          </w:tcPr>
          <w:p>
            <w:r>
              <w:rPr>
                <w:b w:val="false"/>
                <w:bCs w:val="false"/>
                <w:color w:val="111827"/>
                <w:sz w:val="19"/>
                <w:szCs w:val="19"/>
              </w:rPr>
              <w:t xml:space="preserve">station_reviews</w:t>
            </w:r>
          </w:p>
        </w:tc>
      </w:tr>
      <w:tr>
        <w:tc>
          <w:tcPr>
            <w:tcW w:type="pct" w:w="35%"/>
            <w:tcMar>
              <w:top w:type="dxa" w:w="80"/>
              <w:left w:type="dxa" w:w="120"/>
              <w:bottom w:type="dxa" w:w="80"/>
              <w:right w:type="dxa" w:w="120"/>
            </w:tcMar>
          </w:tcPr>
          <w:p>
            <w:r>
              <w:rPr>
                <w:b w:val="false"/>
                <w:bCs w:val="false"/>
                <w:color w:val="111827"/>
                <w:sz w:val="19"/>
                <w:szCs w:val="19"/>
              </w:rPr>
              <w:t xml:space="preserve">Monétisation plateforme</w:t>
            </w:r>
          </w:p>
        </w:tc>
        <w:tc>
          <w:tcPr>
            <w:tcW w:type="pct" w:w="65%"/>
            <w:tcMar>
              <w:top w:type="dxa" w:w="80"/>
              <w:left w:type="dxa" w:w="120"/>
              <w:bottom w:type="dxa" w:w="80"/>
              <w:right w:type="dxa" w:w="120"/>
            </w:tcMar>
          </w:tcPr>
          <w:p>
            <w:r>
              <w:rPr>
                <w:b w:val="false"/>
                <w:bCs w:val="false"/>
                <w:color w:val="111827"/>
                <w:sz w:val="19"/>
                <w:szCs w:val="19"/>
              </w:rPr>
              <w:t xml:space="preserve">super_user_subscriptions, station_ads</w:t>
            </w:r>
          </w:p>
        </w:tc>
      </w:tr>
      <w:tr>
        <w:tc>
          <w:tcPr>
            <w:tcW w:type="pct" w:w="35%"/>
            <w:tcMar>
              <w:top w:type="dxa" w:w="80"/>
              <w:left w:type="dxa" w:w="120"/>
              <w:bottom w:type="dxa" w:w="80"/>
              <w:right w:type="dxa" w:w="120"/>
            </w:tcMar>
          </w:tcPr>
          <w:p>
            <w:r>
              <w:rPr>
                <w:b w:val="false"/>
                <w:bCs w:val="false"/>
                <w:color w:val="111827"/>
                <w:sz w:val="19"/>
                <w:szCs w:val="19"/>
              </w:rPr>
              <w:t xml:space="preserve">Référentiels partagés</w:t>
            </w:r>
          </w:p>
        </w:tc>
        <w:tc>
          <w:tcPr>
            <w:tcW w:type="pct" w:w="65%"/>
            <w:tcMar>
              <w:top w:type="dxa" w:w="80"/>
              <w:left w:type="dxa" w:w="120"/>
              <w:bottom w:type="dxa" w:w="80"/>
              <w:right w:type="dxa" w:w="120"/>
            </w:tcMar>
          </w:tcPr>
          <w:p>
            <w:r>
              <w:rPr>
                <w:b w:val="false"/>
                <w:bCs w:val="false"/>
                <w:color w:val="111827"/>
                <w:sz w:val="19"/>
                <w:szCs w:val="19"/>
              </w:rPr>
              <w:t xml:space="preserve">custom_vehicle_types, custom_vehicle_brands</w:t>
            </w:r>
          </w:p>
        </w:tc>
      </w:tr>
      <w:tr>
        <w:tc>
          <w:tcPr>
            <w:tcW w:type="pct" w:w="35%"/>
            <w:tcMar>
              <w:top w:type="dxa" w:w="80"/>
              <w:left w:type="dxa" w:w="120"/>
              <w:bottom w:type="dxa" w:w="80"/>
              <w:right w:type="dxa" w:w="120"/>
            </w:tcMar>
          </w:tcPr>
          <w:p>
            <w:r>
              <w:rPr>
                <w:b w:val="false"/>
                <w:bCs w:val="false"/>
                <w:color w:val="111827"/>
                <w:sz w:val="19"/>
                <w:szCs w:val="19"/>
              </w:rPr>
              <w:t xml:space="preserve">Support &amp; gouvernance</w:t>
            </w:r>
          </w:p>
        </w:tc>
        <w:tc>
          <w:tcPr>
            <w:tcW w:type="pct" w:w="65%"/>
            <w:tcMar>
              <w:top w:type="dxa" w:w="80"/>
              <w:left w:type="dxa" w:w="120"/>
              <w:bottom w:type="dxa" w:w="80"/>
              <w:right w:type="dxa" w:w="120"/>
            </w:tcMar>
          </w:tcPr>
          <w:p>
            <w:r>
              <w:rPr>
                <w:b w:val="false"/>
                <w:bCs w:val="false"/>
                <w:color w:val="111827"/>
                <w:sz w:val="19"/>
                <w:szCs w:val="19"/>
              </w:rPr>
              <w:t xml:space="preserve">disputes, audit_log</w:t>
            </w:r>
          </w:p>
        </w:tc>
      </w:tr>
    </w:tbl>
    <w:p>
      <w:pPr>
        <w:spacing w:after="200"/>
      </w:pPr>
    </w:p>
    <w:p>
      <w:pPr>
        <w:spacing w:after="140"/>
      </w:pPr>
      <w:r>
        <w:rPr>
          <w:color w:val="111827"/>
          <w:sz w:val="21"/>
          <w:szCs w:val="21"/>
        </w:rPr>
        <w:t xml:space="preserve">Quelques choix de modélisation notables :</w:t>
      </w:r>
    </w:p>
    <w:p>
      <w:pPr>
        <w:pStyle w:val="ListParagraph"/>
        <w:numPr>
          <w:ilvl w:val="0"/>
          <w:numId w:val="2"/>
        </w:numPr>
        <w:spacing w:after="60"/>
      </w:pPr>
      <w:r>
        <w:rPr>
          <w:color w:val="111827"/>
          <w:sz w:val="21"/>
          <w:szCs w:val="21"/>
        </w:rP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2"/>
        </w:numPr>
        <w:spacing w:after="60"/>
      </w:pPr>
      <w:r>
        <w:rPr>
          <w:color w:val="111827"/>
          <w:sz w:val="21"/>
          <w:szCs w:val="21"/>
        </w:rP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2"/>
        </w:numPr>
        <w:spacing w:after="60"/>
      </w:pPr>
      <w:r>
        <w:rPr>
          <w:color w:val="111827"/>
          <w:sz w:val="21"/>
          <w:szCs w:val="21"/>
        </w:rPr>
        <w:t xml:space="preserve">Aucun statut "expiré" n'est écrit par un job : deriveSuperUserStatus() et deriveAdStatus() recalculent ACTIVE vs EXPIRED à la lecture en comparant expires_at à l'heure courante.</w:t>
      </w:r>
    </w:p>
    <w:p>
      <w:pPr>
        <w:pStyle w:val="Heading1"/>
        <w:pBdr>
          <w:bottom w:val="single" w:color="1D4ED8" w:sz="6" w:space="4"/>
        </w:pBdr>
        <w:spacing w:after="200" w:before="400"/>
      </w:pPr>
      <w:r>
        <w:rPr>
          <w:b/>
          <w:bCs/>
          <w:color w:val="1D4ED8"/>
          <w:sz w:val="30"/>
          <w:szCs w:val="30"/>
        </w:rPr>
        <w:t xml:space="preserve">6. Sécurité — Row Level Security</w:t>
      </w:r>
    </w:p>
    <w:p>
      <w:pPr>
        <w:spacing w:after="140"/>
      </w:pPr>
      <w:r>
        <w:rPr>
          <w:color w:val="111827"/>
          <w:sz w:val="21"/>
          <w:szCs w:val="21"/>
        </w:rPr>
        <w:t xml:space="preserve">Le contrôle d'accès n'est pas seulement fait côté JavaScript : chaque table Postgres a des policies RLS qui empêchent un client de contourner les règles métier via les DevTools ou une requête réseau modifiée.</w:t>
      </w:r>
    </w:p>
    <w:p>
      <w:pPr>
        <w:spacing w:after="100"/>
      </w:pPr>
    </w:p>
    <w:p>
      <w:pPr>
        <w:pStyle w:val="Heading2"/>
        <w:spacing w:after="140" w:before="300"/>
      </w:pPr>
      <w:r>
        <w:rPr>
          <w:b/>
          <w:bCs/>
          <w:color w:val="111827"/>
          <w:sz w:val="24"/>
          <w:szCs w:val="24"/>
        </w:rPr>
        <w:t xml:space="preserve">6.1 Fonctions utilitaires (SECURITY DEFINER)</w:t>
      </w:r>
    </w:p>
    <w:p>
      <w:pPr>
        <w:spacing w:after="140"/>
      </w:pPr>
      <w:r>
        <w:rPr>
          <w:rFonts w:ascii="Consolas" w:cs="Consolas" w:eastAsia="Consolas" w:hAnsi="Consolas"/>
          <w:color w:val="7C3AED"/>
          <w:sz w:val="19"/>
          <w:szCs w:val="19"/>
        </w:rPr>
        <w:t xml:space="preserve">app_role()          -- rôle (super_admin / admin / automobiliste) de l'utilisateur connecté</w:t>
      </w:r>
    </w:p>
    <w:p>
      <w:pPr>
        <w:spacing w:after="140"/>
      </w:pPr>
      <w:r>
        <w:rPr>
          <w:rFonts w:ascii="Consolas" w:cs="Consolas" w:eastAsia="Consolas" w:hAnsi="Consolas"/>
          <w:color w:val="7C3AED"/>
          <w:sz w:val="19"/>
          <w:szCs w:val="19"/>
        </w:rPr>
        <w:t xml:space="preserve">current_station_id() -- station_id du compte admin connecté</w:t>
      </w:r>
    </w:p>
    <w:p>
      <w:pPr>
        <w:spacing w:after="140"/>
      </w:pPr>
      <w:r>
        <w:rPr>
          <w:rFonts w:ascii="Consolas" w:cs="Consolas" w:eastAsia="Consolas" w:hAnsi="Consolas"/>
          <w:color w:val="7C3AED"/>
          <w:sz w:val="19"/>
          <w:szCs w:val="19"/>
        </w:rPr>
        <w:t xml:space="preserve">is_super_user(uid)  -- vrai si abonnement Super User ACTIVE et non expiré</w:t>
      </w:r>
    </w:p>
    <w:p>
      <w:pPr>
        <w:spacing w:after="100"/>
      </w:pPr>
    </w:p>
    <w:p>
      <w:pPr>
        <w:pStyle w:val="Heading2"/>
        <w:spacing w:after="140" w:before="300"/>
      </w:pPr>
      <w:r>
        <w:rPr>
          <w:b/>
          <w:bCs/>
          <w:color w:val="111827"/>
          <w:sz w:val="24"/>
          <w:szCs w:val="24"/>
        </w:rPr>
        <w:t xml:space="preserve">6.2 Principe général des policies</w:t>
      </w:r>
    </w:p>
    <w:p>
      <w:pPr>
        <w:spacing w:after="140"/>
      </w:pPr>
      <w:r>
        <w:rPr>
          <w:color w:val="111827"/>
          <w:sz w:val="21"/>
          <w:szCs w:val="21"/>
        </w:rP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w:t>
      </w:r>
    </w:p>
    <w:p>
      <w:pPr>
        <w:spacing w:after="100"/>
      </w:pPr>
    </w:p>
    <w:p>
      <w:pPr>
        <w:pStyle w:val="Heading2"/>
        <w:spacing w:after="140" w:before="300"/>
      </w:pPr>
      <w:r>
        <w:rPr>
          <w:b/>
          <w:bCs/>
          <w:color w:val="111827"/>
          <w:sz w:val="24"/>
          <w:szCs w:val="24"/>
        </w:rPr>
        <w:t xml:space="preserve">6.3 Exemple : limite Super User (2 véhicules gratuits)</w:t>
      </w:r>
    </w:p>
    <w:p>
      <w:pPr>
        <w:spacing w:after="140"/>
      </w:pPr>
      <w:r>
        <w:rPr>
          <w:color w:val="111827"/>
          <w:sz w:val="21"/>
          <w:szCs w:val="21"/>
        </w:rPr>
        <w:t xml:space="preserve">La policy vehicles_insert bloque l'ajout d'un 3ᵉ véhicule côté serveur, sauf si is_super_user(auth.uid()) renvoie vrai — la limite de l'offre gratuite est donc appliquée par Postgres, pas seulement par l'interface.</w:t>
      </w:r>
    </w:p>
    <w:p>
      <w:pPr>
        <w:spacing w:after="100"/>
      </w:pPr>
    </w:p>
    <w:p>
      <w:pPr>
        <w:pStyle w:val="Heading2"/>
        <w:spacing w:after="140" w:before="300"/>
      </w:pPr>
      <w:r>
        <w:rPr>
          <w:b/>
          <w:bCs/>
          <w:color w:val="111827"/>
          <w:sz w:val="24"/>
          <w:szCs w:val="24"/>
        </w:rPr>
        <w:t xml:space="preserve">6.4 Exemple : publicités (station_ads)</w:t>
      </w:r>
    </w:p>
    <w:p>
      <w:pPr>
        <w:spacing w:after="140"/>
      </w:pPr>
      <w:r>
        <w:rPr>
          <w:color w:val="111827"/>
          <w:sz w:val="21"/>
          <w:szCs w:val="21"/>
        </w:rPr>
        <w:t xml:space="preserve">Une station ne voit que ses propres campagnes (tous statuts). N'importe quel automobiliste connecté peut lire les campagnes au statut ACTIVE et non expirées, quelle que soit la station émettrice (diffusion plateforme). Seul le Super Admin peut faire évoluer le statut d'une campagne (confirmer un paiement, rejeter).</w:t>
      </w:r>
    </w:p>
    <w:p>
      <w:pPr>
        <w:pStyle w:val="Heading1"/>
        <w:pBdr>
          <w:bottom w:val="single" w:color="1D4ED8" w:sz="6" w:space="4"/>
        </w:pBdr>
        <w:spacing w:after="200" w:before="400"/>
      </w:pPr>
      <w:r>
        <w:rPr>
          <w:b/>
          <w:bCs/>
          <w:color w:val="1D4ED8"/>
          <w:sz w:val="30"/>
          <w:szCs w:val="30"/>
        </w:rPr>
        <w:t xml:space="preserve">7. Flux métier clés</w:t>
      </w:r>
    </w:p>
    <w:p>
      <w:pPr>
        <w:pStyle w:val="Heading2"/>
        <w:spacing w:after="140" w:before="300"/>
      </w:pPr>
      <w:r>
        <w:rPr>
          <w:b/>
          <w:bCs/>
          <w:color w:val="111827"/>
          <w:sz w:val="24"/>
          <w:szCs w:val="24"/>
        </w:rPr>
        <w:t xml:space="preserve">7.1 Cycle de vie d'une réservation</w:t>
      </w:r>
    </w:p>
    <w:p>
      <w:pPr>
        <w:spacing w:after="140"/>
      </w:pPr>
      <w:r>
        <w:rPr>
          <w:color w:val="111827"/>
          <w:sz w:val="21"/>
          <w:szCs w:val="21"/>
        </w:rP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spacing w:after="100"/>
      </w:pPr>
    </w:p>
    <w:p>
      <w:pPr>
        <w:pStyle w:val="Heading2"/>
        <w:spacing w:after="140" w:before="300"/>
      </w:pPr>
      <w:r>
        <w:rPr>
          <w:b/>
          <w:bCs/>
          <w:color w:val="111827"/>
          <w:sz w:val="24"/>
          <w:szCs w:val="24"/>
        </w:rPr>
        <w:t xml:space="preserve">7.2 Pointage des laveurs</w:t>
      </w:r>
    </w:p>
    <w:p>
      <w:pPr>
        <w:spacing w:after="140"/>
      </w:pPr>
      <w:r>
        <w:rPr>
          <w:color w:val="111827"/>
          <w:sz w:val="21"/>
          <w:szCs w:val="21"/>
        </w:rPr>
        <w:t xml:space="preserve">Machine à états sur employees.status, distincte du statut du jour (daily_status) :</w:t>
      </w:r>
    </w:p>
    <w:p>
      <w:pPr>
        <w:pStyle w:val="ListParagraph"/>
        <w:numPr>
          <w:ilvl w:val="0"/>
          <w:numId w:val="2"/>
        </w:numPr>
        <w:spacing w:after="60"/>
      </w:pPr>
      <w:r>
        <w:rPr>
          <w:color w:val="111827"/>
          <w:sz w:val="21"/>
          <w:szCs w:val="21"/>
        </w:rPr>
        <w:t xml:space="preserve">Actif : prise de poste automatique dès que le laveur est marqué "Présent" du jour.</w:t>
      </w:r>
    </w:p>
    <w:p>
      <w:pPr>
        <w:pStyle w:val="ListParagraph"/>
        <w:numPr>
          <w:ilvl w:val="0"/>
          <w:numId w:val="2"/>
        </w:numPr>
        <w:spacing w:after="60"/>
      </w:pPr>
      <w:r>
        <w:rPr>
          <w:color w:val="111827"/>
          <w:sz w:val="21"/>
          <w:szCs w:val="21"/>
        </w:rPr>
        <w:t xml:space="preserve">Terminé : après un clic "Descendre" — encore réactivable ("Reprendre service"), y compris automatiquement si un nouveau véhicule lui est confié.</w:t>
      </w:r>
    </w:p>
    <w:p>
      <w:pPr>
        <w:pStyle w:val="ListParagraph"/>
        <w:numPr>
          <w:ilvl w:val="0"/>
          <w:numId w:val="2"/>
        </w:numPr>
        <w:spacing w:after="60"/>
      </w:pPr>
      <w:r>
        <w:rPr>
          <w:color w:val="111827"/>
          <w:sz w:val="21"/>
          <w:szCs w:val="21"/>
        </w:rPr>
        <w:t xml:space="preserve">Fin de service : clôture définitive de la journée, plus aucune réactivation possible.</w:t>
      </w:r>
    </w:p>
    <w:p>
      <w:pPr>
        <w:pStyle w:val="ListParagraph"/>
        <w:numPr>
          <w:ilvl w:val="0"/>
          <w:numId w:val="2"/>
        </w:numPr>
        <w:spacing w:after="60"/>
      </w:pPr>
      <w:r>
        <w:rPr>
          <w:b/>
          <w:bCs/>
          <w:color w:val="111827"/>
          <w:sz w:val="21"/>
          <w:szCs w:val="21"/>
        </w:rPr>
        <w:t xml:space="preserve">Coupure automatique : </w:t>
      </w:r>
      <w:r>
        <w:rPr>
          <w:color w:val="111827"/>
          <w:sz w:val="21"/>
          <w:szCs w:val="21"/>
        </w:rPr>
        <w:t xml:space="preserve">un contrôle tourne chaque minute côté application ; si un laveur est encore Actif après l'heure de fermeture configurée par la station, il est automatiquement basculé en Fin de service, le temps travaillé étant calculé jusqu'à l'heure de fermeture exacte.</w:t>
      </w:r>
    </w:p>
    <w:p>
      <w:pPr>
        <w:spacing w:after="100"/>
      </w:pPr>
    </w:p>
    <w:p>
      <w:pPr>
        <w:pStyle w:val="Heading2"/>
        <w:spacing w:after="140" w:before="300"/>
      </w:pPr>
      <w:r>
        <w:rPr>
          <w:b/>
          <w:bCs/>
          <w:color w:val="111827"/>
          <w:sz w:val="24"/>
          <w:szCs w:val="24"/>
        </w:rPr>
        <w:t xml:space="preserve">7.3 Paiements différés à confirmation manuelle</w:t>
      </w:r>
    </w:p>
    <w:p>
      <w:pPr>
        <w:spacing w:after="140"/>
      </w:pPr>
      <w:r>
        <w:rPr>
          <w:color w:val="111827"/>
          <w:sz w:val="21"/>
          <w:szCs w:val="21"/>
        </w:rPr>
        <w:t xml:space="preserve">Deux flux suivent exactement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1D4ED8" w:val="clear"/>
            <w:tcMar>
              <w:top w:type="dxa" w:w="80"/>
              <w:left w:type="dxa" w:w="120"/>
              <w:bottom w:type="dxa" w:w="80"/>
              <w:right w:type="dxa" w:w="120"/>
            </w:tcMar>
          </w:tcPr>
          <w:p>
            <w:r>
              <w:rPr>
                <w:b/>
                <w:bCs/>
                <w:color w:val="FFFFFF"/>
                <w:sz w:val="19"/>
                <w:szCs w:val="19"/>
              </w:rPr>
              <w:t xml:space="preserve"/>
            </w:r>
          </w:p>
        </w:tc>
        <w:tc>
          <w:tcPr>
            <w:tcW w:type="pct" w:w="39%"/>
            <w:shd w:fill="1D4ED8" w:val="clear"/>
            <w:tcMar>
              <w:top w:type="dxa" w:w="80"/>
              <w:left w:type="dxa" w:w="120"/>
              <w:bottom w:type="dxa" w:w="80"/>
              <w:right w:type="dxa" w:w="120"/>
            </w:tcMar>
          </w:tcPr>
          <w:p>
            <w:r>
              <w:rPr>
                <w:b/>
                <w:bCs/>
                <w:color w:val="FFFFFF"/>
                <w:sz w:val="19"/>
                <w:szCs w:val="19"/>
              </w:rPr>
              <w:t xml:space="preserve">Abonnement Super User</w:t>
            </w:r>
          </w:p>
        </w:tc>
        <w:tc>
          <w:tcPr>
            <w:tcW w:type="pct" w:w="39%"/>
            <w:shd w:fill="1D4ED8" w:val="clear"/>
            <w:tcMar>
              <w:top w:type="dxa" w:w="80"/>
              <w:left w:type="dxa" w:w="120"/>
              <w:bottom w:type="dxa" w:w="80"/>
              <w:right w:type="dxa" w:w="120"/>
            </w:tcMar>
          </w:tcPr>
          <w:p>
            <w:r>
              <w:rPr>
                <w:b/>
                <w:bCs/>
                <w:color w:val="FFFFFF"/>
                <w:sz w:val="19"/>
                <w:szCs w:val="19"/>
              </w:rPr>
              <w:t xml:space="preserve">Publicité station</w:t>
            </w:r>
          </w:p>
        </w:tc>
      </w:tr>
      <w:tr>
        <w:tc>
          <w:tcPr>
            <w:tcW w:type="pct" w:w="22%"/>
            <w:tcMar>
              <w:top w:type="dxa" w:w="80"/>
              <w:left w:type="dxa" w:w="120"/>
              <w:bottom w:type="dxa" w:w="80"/>
              <w:right w:type="dxa" w:w="120"/>
            </w:tcMar>
          </w:tcPr>
          <w:p>
            <w:r>
              <w:rPr>
                <w:b w:val="false"/>
                <w:bCs w:val="false"/>
                <w:color w:val="111827"/>
                <w:sz w:val="19"/>
                <w:szCs w:val="19"/>
              </w:rPr>
              <w:t xml:space="preserve">Qui paie</w:t>
            </w:r>
          </w:p>
        </w:tc>
        <w:tc>
          <w:tcPr>
            <w:tcW w:type="pct" w:w="39%"/>
            <w:tcMar>
              <w:top w:type="dxa" w:w="80"/>
              <w:left w:type="dxa" w:w="120"/>
              <w:bottom w:type="dxa" w:w="80"/>
              <w:right w:type="dxa" w:w="120"/>
            </w:tcMar>
          </w:tcPr>
          <w:p>
            <w:r>
              <w:rPr>
                <w:b w:val="false"/>
                <w:bCs w:val="false"/>
                <w:color w:val="111827"/>
                <w:sz w:val="19"/>
                <w:szCs w:val="19"/>
              </w:rPr>
              <w:t xml:space="preserve">Automobiliste</w:t>
            </w:r>
          </w:p>
        </w:tc>
        <w:tc>
          <w:tcPr>
            <w:tcW w:type="pct" w:w="39%"/>
            <w:tcMar>
              <w:top w:type="dxa" w:w="80"/>
              <w:left w:type="dxa" w:w="120"/>
              <w:bottom w:type="dxa" w:w="80"/>
              <w:right w:type="dxa" w:w="120"/>
            </w:tcMar>
          </w:tcPr>
          <w:p>
            <w:r>
              <w:rPr>
                <w:b w:val="false"/>
                <w:bCs w:val="false"/>
                <w:color w:val="111827"/>
                <w:sz w:val="19"/>
                <w:szCs w:val="19"/>
              </w:rPr>
              <w:t xml:space="preserve">Station</w:t>
            </w:r>
          </w:p>
        </w:tc>
      </w:tr>
      <w:tr>
        <w:tc>
          <w:tcPr>
            <w:tcW w:type="pct" w:w="22%"/>
            <w:tcMar>
              <w:top w:type="dxa" w:w="80"/>
              <w:left w:type="dxa" w:w="120"/>
              <w:bottom w:type="dxa" w:w="80"/>
              <w:right w:type="dxa" w:w="120"/>
            </w:tcMar>
          </w:tcPr>
          <w:p>
            <w:r>
              <w:rPr>
                <w:b w:val="false"/>
                <w:bCs w:val="false"/>
                <w:color w:val="111827"/>
                <w:sz w:val="19"/>
                <w:szCs w:val="19"/>
              </w:rPr>
              <w:t xml:space="preserve">Montant</w:t>
            </w:r>
          </w:p>
        </w:tc>
        <w:tc>
          <w:tcPr>
            <w:tcW w:type="pct" w:w="39%"/>
            <w:tcMar>
              <w:top w:type="dxa" w:w="80"/>
              <w:left w:type="dxa" w:w="120"/>
              <w:bottom w:type="dxa" w:w="80"/>
              <w:right w:type="dxa" w:w="120"/>
            </w:tcMar>
          </w:tcPr>
          <w:p>
            <w:r>
              <w:rPr>
                <w:b w:val="false"/>
                <w:bCs w:val="false"/>
                <w:color w:val="111827"/>
                <w:sz w:val="19"/>
                <w:szCs w:val="19"/>
              </w:rPr>
              <w:t xml:space="preserve">5 000 FCFA / mois</w:t>
            </w:r>
          </w:p>
        </w:tc>
        <w:tc>
          <w:tcPr>
            <w:tcW w:type="pct" w:w="39%"/>
            <w:tcMar>
              <w:top w:type="dxa" w:w="80"/>
              <w:left w:type="dxa" w:w="120"/>
              <w:bottom w:type="dxa" w:w="80"/>
              <w:right w:type="dxa" w:w="120"/>
            </w:tcMar>
          </w:tcPr>
          <w:p>
            <w:r>
              <w:rPr>
                <w:b w:val="false"/>
                <w:bCs w:val="false"/>
                <w:color w:val="111827"/>
                <w:sz w:val="19"/>
                <w:szCs w:val="19"/>
              </w:rPr>
              <w:t xml:space="preserve">10 000 FCFA / 7 jours</w:t>
            </w:r>
          </w:p>
        </w:tc>
      </w:tr>
      <w:tr>
        <w:tc>
          <w:tcPr>
            <w:tcW w:type="pct" w:w="22%"/>
            <w:tcMar>
              <w:top w:type="dxa" w:w="80"/>
              <w:left w:type="dxa" w:w="120"/>
              <w:bottom w:type="dxa" w:w="80"/>
              <w:right w:type="dxa" w:w="120"/>
            </w:tcMar>
          </w:tcPr>
          <w:p>
            <w:r>
              <w:rPr>
                <w:b w:val="false"/>
                <w:bCs w:val="false"/>
                <w:color w:val="111827"/>
                <w:sz w:val="19"/>
                <w:szCs w:val="19"/>
              </w:rPr>
              <w:t xml:space="preserve">Qui confirme</w:t>
            </w:r>
          </w:p>
        </w:tc>
        <w:tc>
          <w:tcPr>
            <w:tcW w:type="pct" w:w="39%"/>
            <w:tcMar>
              <w:top w:type="dxa" w:w="80"/>
              <w:left w:type="dxa" w:w="120"/>
              <w:bottom w:type="dxa" w:w="80"/>
              <w:right w:type="dxa" w:w="120"/>
            </w:tcMar>
          </w:tcPr>
          <w:p>
            <w:r>
              <w:rPr>
                <w:b w:val="false"/>
                <w:bCs w:val="false"/>
                <w:color w:val="111827"/>
                <w:sz w:val="19"/>
                <w:szCs w:val="19"/>
              </w:rPr>
              <w:t xml:space="preserve">Super Admin</w:t>
            </w:r>
          </w:p>
        </w:tc>
        <w:tc>
          <w:tcPr>
            <w:tcW w:type="pct" w:w="39%"/>
            <w:tcMar>
              <w:top w:type="dxa" w:w="80"/>
              <w:left w:type="dxa" w:w="120"/>
              <w:bottom w:type="dxa" w:w="80"/>
              <w:right w:type="dxa" w:w="120"/>
            </w:tcMar>
          </w:tcPr>
          <w:p>
            <w:r>
              <w:rPr>
                <w:b w:val="false"/>
                <w:bCs w:val="false"/>
                <w:color w:val="111827"/>
                <w:sz w:val="19"/>
                <w:szCs w:val="19"/>
              </w:rPr>
              <w:t xml:space="preserve">Super Admin</w:t>
            </w:r>
          </w:p>
        </w:tc>
      </w:tr>
      <w:tr>
        <w:tc>
          <w:tcPr>
            <w:tcW w:type="pct" w:w="22%"/>
            <w:tcMar>
              <w:top w:type="dxa" w:w="80"/>
              <w:left w:type="dxa" w:w="120"/>
              <w:bottom w:type="dxa" w:w="80"/>
              <w:right w:type="dxa" w:w="120"/>
            </w:tcMar>
          </w:tcPr>
          <w:p>
            <w:r>
              <w:rPr>
                <w:b w:val="false"/>
                <w:bCs w:val="false"/>
                <w:color w:val="111827"/>
                <w:sz w:val="19"/>
                <w:szCs w:val="19"/>
              </w:rPr>
              <w:t xml:space="preserve">Effet une fois ACTIVE</w:t>
            </w:r>
          </w:p>
        </w:tc>
        <w:tc>
          <w:tcPr>
            <w:tcW w:type="pct" w:w="39%"/>
            <w:tcMar>
              <w:top w:type="dxa" w:w="80"/>
              <w:left w:type="dxa" w:w="120"/>
              <w:bottom w:type="dxa" w:w="80"/>
              <w:right w:type="dxa" w:w="120"/>
            </w:tcMar>
          </w:tcPr>
          <w:p>
            <w:r>
              <w:rPr>
                <w:b w:val="false"/>
                <w:bCs w:val="false"/>
                <w:color w:val="111827"/>
                <w:sz w:val="19"/>
                <w:szCs w:val="19"/>
              </w:rPr>
              <w:t xml:space="preserve">Plus de plafond de 2 véhicules gratuits</w:t>
            </w:r>
          </w:p>
        </w:tc>
        <w:tc>
          <w:tcPr>
            <w:tcW w:type="pct" w:w="39%"/>
            <w:tcMar>
              <w:top w:type="dxa" w:w="80"/>
              <w:left w:type="dxa" w:w="120"/>
              <w:bottom w:type="dxa" w:w="80"/>
              <w:right w:type="dxa" w:w="120"/>
            </w:tcMar>
          </w:tcPr>
          <w:p>
            <w:r>
              <w:rPr>
                <w:b w:val="false"/>
                <w:bCs w:val="false"/>
                <w:color w:val="111827"/>
                <w:sz w:val="19"/>
                <w:szCs w:val="19"/>
              </w:rPr>
              <w:t xml:space="preserve">Diffusion sur le tableau de bord de tous les automobilistes</w:t>
            </w:r>
          </w:p>
        </w:tc>
      </w:tr>
    </w:tbl>
    <w:p>
      <w:pPr>
        <w:spacing w:after="200"/>
      </w:pPr>
    </w:p>
    <w:p>
      <w:pPr>
        <w:pStyle w:val="Heading2"/>
        <w:spacing w:after="140" w:before="300"/>
      </w:pPr>
      <w:r>
        <w:rPr>
          <w:b/>
          <w:bCs/>
          <w:color w:val="111827"/>
          <w:sz w:val="24"/>
          <w:szCs w:val="24"/>
        </w:rPr>
        <w:t xml:space="preserve">7.4 Promotion (gratuite) vs Publicité (payante)</w:t>
      </w:r>
    </w:p>
    <w:p>
      <w:pPr>
        <w:spacing w:after="140"/>
      </w:pPr>
      <w:r>
        <w:rPr>
          <w:color w:val="111827"/>
          <w:sz w:val="21"/>
          <w:szCs w:val="21"/>
        </w:rPr>
        <w:t xml:space="preserve">Deux mécanismes de visibilité distincts, à ne pas confondre :</w:t>
      </w:r>
    </w:p>
    <w:p>
      <w:pPr>
        <w:pStyle w:val="ListParagraph"/>
        <w:numPr>
          <w:ilvl w:val="0"/>
          <w:numId w:val="2"/>
        </w:numPr>
        <w:spacing w:after="60"/>
      </w:pPr>
      <w:r>
        <w:rPr>
          <w:color w:val="111827"/>
          <w:sz w:val="21"/>
          <w:szCs w:val="21"/>
        </w:rPr>
        <w:t xml:space="preserve">Promotion (stations.promo_config) : gratuite, configurée par la station elle-même (Admin &gt; Promotions), visible uniquement sur la fiche de CETTE station et, depuis peu, sur le tableau de bord des automobilistes qui ont déjà une relation avec elle (réservation payée ou en cours).</w:t>
      </w:r>
    </w:p>
    <w:p>
      <w:pPr>
        <w:pStyle w:val="ListParagraph"/>
        <w:numPr>
          <w:ilvl w:val="0"/>
          <w:numId w:val="2"/>
        </w:numPr>
        <w:spacing w:after="60"/>
      </w:pPr>
      <w:r>
        <w:rPr>
          <w:color w:val="111827"/>
          <w:sz w:val="21"/>
          <w:szCs w:val="21"/>
        </w:rP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Heading1"/>
        <w:pBdr>
          <w:bottom w:val="single" w:color="1D4ED8" w:sz="6" w:space="4"/>
        </w:pBdr>
        <w:spacing w:after="200" w:before="400"/>
      </w:pPr>
      <w:r>
        <w:rPr>
          <w:b/>
          <w:bCs/>
          <w:color w:val="1D4ED8"/>
          <w:sz w:val="30"/>
          <w:szCs w:val="30"/>
        </w:rPr>
        <w:t xml:space="preserve">8. Couche marketing / SEO (site statique)</w:t>
      </w:r>
    </w:p>
    <w:p>
      <w:pPr>
        <w:spacing w:after="140"/>
      </w:pPr>
      <w:r>
        <w:rPr>
          <w:color w:val="111827"/>
          <w:sz w:val="21"/>
          <w:szCs w:val="21"/>
        </w:rPr>
        <w:t xml:space="preserve">Les 4 points d'entrée statiques (index.html, login.html, dashboard.html, reset-password.html) et 3 nouvelles pages autonomes portent désormais les fondamentaux SEO/marketing d'un site vitrine :</w:t>
      </w:r>
    </w:p>
    <w:p>
      <w:pPr>
        <w:pStyle w:val="ListParagraph"/>
        <w:numPr>
          <w:ilvl w:val="0"/>
          <w:numId w:val="2"/>
        </w:numPr>
        <w:spacing w:after="60"/>
      </w:pPr>
      <w:r>
        <w:rPr>
          <w:color w:val="111827"/>
          <w:sz w:val="21"/>
          <w:szCs w:val="21"/>
        </w:rPr>
        <w:t xml:space="preserve">Meta descriptions, Open Graph / Twitter Card, URL canonique, et données structurées JSON-LD (LocalBusiness + WebSite) sur index.html.</w:t>
      </w:r>
    </w:p>
    <w:p>
      <w:pPr>
        <w:pStyle w:val="ListParagraph"/>
        <w:numPr>
          <w:ilvl w:val="0"/>
          <w:numId w:val="2"/>
        </w:numPr>
        <w:spacing w:after="60"/>
      </w:pPr>
      <w:r>
        <w:rPr>
          <w:color w:val="111827"/>
          <w:sz w:val="21"/>
          <w:szCs w:val="21"/>
        </w:rPr>
        <w:t xml:space="preserve">Google Analytics (GA4) scaffoldé sur les 4 points d'entrée — identifiant de mesure encore en placeholder (G-XXXXXXXXXX) à remplacer par le vrai avant mise en production.</w:t>
      </w:r>
    </w:p>
    <w:p>
      <w:pPr>
        <w:pStyle w:val="ListParagraph"/>
        <w:numPr>
          <w:ilvl w:val="0"/>
          <w:numId w:val="2"/>
        </w:numPr>
        <w:spacing w:after="60"/>
      </w:pPr>
      <w:r>
        <w:rPr>
          <w:color w:val="111827"/>
          <w:sz w:val="21"/>
          <w:szCs w:val="21"/>
        </w:rPr>
        <w:t xml:space="preserve">3 nouvelles pages statiques dans public/ (copiées telles quelles au build, aucun traitement Vite) : 404.html (erreur personnalisée), merci.html (remerciement après inscription d'une station, remplace un ancien alert() bloquant), confidentialite.html (politique de confidentialité — contenu à finaliser avec les vraies informations légales de l'entreprise).</w:t>
      </w:r>
    </w:p>
    <w:p>
      <w:pPr>
        <w:pStyle w:val="ListParagraph"/>
        <w:numPr>
          <w:ilvl w:val="0"/>
          <w:numId w:val="2"/>
        </w:numPr>
        <w:spacing w:after="60"/>
      </w:pPr>
      <w:r>
        <w:rPr>
          <w:color w:val="111827"/>
          <w:sz w:val="21"/>
          <w:szCs w:val="21"/>
        </w:rPr>
        <w:t xml:space="preserve">public/_redirects : un chemin inconnu renvoie désormais une vraie 404.html (statut HTTP 404) au lieu de retomber silencieusement sur l'accueil (statut 200 avant ce changement) — voir section 3 pour le fonctionnement général de ce fichier de routage.</w:t>
      </w:r>
    </w:p>
    <w:p>
      <w:pPr>
        <w:pStyle w:val="ListParagraph"/>
        <w:numPr>
          <w:ilvl w:val="0"/>
          <w:numId w:val="2"/>
        </w:numPr>
        <w:spacing w:after="60"/>
      </w:pPr>
      <w:r>
        <w:rPr>
          <w:color w:val="111827"/>
          <w:sz w:val="21"/>
          <w:szCs w:val="21"/>
        </w:rPr>
        <w:t xml:space="preserve">index.html interroge maintenant directement Supabase via un script module dédié pour afficher les vraies stations partenaires actives et leurs avis. Avant, cette page lisait localStorage.saasStations / stationReviews_&lt;id&gt;, des clés mortes depuis la migration complète hors localStorage — la section "stations partenaires" de l'accueil affichait donc toujours "aucune station" (bug corrigé).</w:t>
      </w:r>
    </w:p>
    <w:p>
      <w:pPr>
        <w:pStyle w:val="ListParagraph"/>
        <w:numPr>
          <w:ilvl w:val="0"/>
          <w:numId w:val="2"/>
        </w:numPr>
        <w:spacing w:after="60"/>
      </w:pPr>
      <w:r>
        <w:rPr>
          <w:color w:val="111827"/>
          <w:sz w:val="21"/>
          <w:szCs w:val="21"/>
        </w:rPr>
        <w:t xml:space="preserve">Fil d'Ariane + titre de page dynamique sur la route publique /stations (servie par dashboard.html, dont le &lt;title&gt; statique "Clean Car Galsen - Dashboards" est trop générique pour être indexé efficacement).</w:t>
      </w:r>
    </w:p>
    <w:p>
      <w:pPr>
        <w:pStyle w:val="ListParagraph"/>
        <w:numPr>
          <w:ilvl w:val="0"/>
          <w:numId w:val="2"/>
        </w:numPr>
        <w:spacing w:after="60"/>
      </w:pPr>
      <w:r>
        <w:rPr>
          <w:color w:val="111827"/>
          <w:sz w:val="21"/>
          <w:szCs w:val="21"/>
        </w:rPr>
        <w:t xml:space="preserve">Carte Google Maps intégrée + lien "itinéraire" sur la fiche détail d'une station, à partir de ses lat/lng déjà stockées — embed public, aucune clé API requise.</w:t>
      </w:r>
    </w:p>
    <w:p>
      <w:pPr>
        <w:pStyle w:val="Heading1"/>
        <w:pBdr>
          <w:bottom w:val="single" w:color="1D4ED8" w:sz="6" w:space="4"/>
        </w:pBdr>
        <w:spacing w:after="200" w:before="400"/>
      </w:pPr>
      <w:r>
        <w:rPr>
          <w:b/>
          <w:bCs/>
          <w:color w:val="1D4ED8"/>
          <w:sz w:val="30"/>
          <w:szCs w:val="30"/>
        </w:rPr>
        <w:t xml:space="preserve">9. Limites connues / dette technique</w:t>
      </w:r>
    </w:p>
    <w:p>
      <w:pPr>
        <w:pStyle w:val="ListParagraph"/>
        <w:numPr>
          <w:ilvl w:val="0"/>
          <w:numId w:val="2"/>
        </w:numPr>
        <w:spacing w:after="60"/>
      </w:pPr>
      <w:r>
        <w:rPr>
          <w:color w:val="111827"/>
          <w:sz w:val="21"/>
          <w:szCs w:val="21"/>
        </w:rPr>
        <w:t xml:space="preserve">Aucune passerelle de paiement réelle — tout paiement "en ligne" est simulé ou passe par une confirmation manuelle du Super Admin.</w:t>
      </w:r>
    </w:p>
    <w:p>
      <w:pPr>
        <w:pStyle w:val="ListParagraph"/>
        <w:numPr>
          <w:ilvl w:val="0"/>
          <w:numId w:val="2"/>
        </w:numPr>
        <w:spacing w:after="60"/>
      </w:pPr>
      <w:r>
        <w:rPr>
          <w:color w:val="111827"/>
          <w:sz w:val="21"/>
          <w:szCs w:val="21"/>
        </w:rPr>
        <w:t xml:space="preserve">Aucune tâche planifiée (cron/Edge Function) : les statuts expirés sont recalculés à la lecture, jamais réécrits en base tant que personne ne consulte la donnée.</w:t>
      </w:r>
    </w:p>
    <w:p>
      <w:pPr>
        <w:pStyle w:val="ListParagraph"/>
        <w:numPr>
          <w:ilvl w:val="0"/>
          <w:numId w:val="2"/>
        </w:numPr>
        <w:spacing w:after="60"/>
      </w:pPr>
      <w:r>
        <w:rPr>
          <w:color w:val="111827"/>
          <w:sz w:val="21"/>
          <w:szCs w:val="21"/>
        </w:rPr>
        <w:t xml:space="preserve">Pas de Supabase Storage : toutes les images (logos, cachets, photos, visuels de publicité) sont en base64, plafonnées à 1,5 Mo, ce qui alourdit les lignes concernées.</w:t>
      </w:r>
    </w:p>
    <w:p>
      <w:pPr>
        <w:pStyle w:val="ListParagraph"/>
        <w:numPr>
          <w:ilvl w:val="0"/>
          <w:numId w:val="2"/>
        </w:numPr>
        <w:spacing w:after="60"/>
      </w:pPr>
      <w:r>
        <w:rPr>
          <w:color w:val="111827"/>
          <w:sz w:val="21"/>
          <w:szCs w:val="21"/>
        </w:rPr>
        <w:t xml:space="preserve">Le chunk JavaScript principal de l'espace Admin/Dashboard dépasse 1,3 Mo minifié — aucun découpage en chunks (code-splitting) n'a encore été mis en place.</w:t>
      </w:r>
    </w:p>
    <w:p>
      <w:pPr>
        <w:pStyle w:val="ListParagraph"/>
        <w:numPr>
          <w:ilvl w:val="0"/>
          <w:numId w:val="2"/>
        </w:numPr>
        <w:spacing w:after="60"/>
      </w:pPr>
      <w:r>
        <w:rPr>
          <w:color w:val="111827"/>
          <w:sz w:val="21"/>
          <w:szCs w:val="21"/>
        </w:rPr>
        <w:t xml:space="preserve">Aucune suite de tests automatisés — la vérification repose sur npm run build (erreurs de compilation uniquement) et des tests manuels en navigateur.</w:t>
      </w:r>
    </w:p>
    <w:p>
      <w:pPr>
        <w:pStyle w:val="ListParagraph"/>
        <w:numPr>
          <w:ilvl w:val="0"/>
          <w:numId w:val="2"/>
        </w:numPr>
        <w:spacing w:after="60"/>
      </w:pPr>
      <w:r>
        <w:rPr>
          <w:color w:val="111827"/>
          <w:sz w:val="21"/>
          <w:szCs w:val="21"/>
        </w:rPr>
        <w:t xml:space="preserve">Fichiers HTML legacy à la racine du dépôt : dead code jamais servi, conservés uniquement comme référence de maquettes historiques.</w:t>
      </w:r>
    </w:p>
    <w:p>
      <w:pPr>
        <w:pStyle w:val="ListParagraph"/>
        <w:numPr>
          <w:ilvl w:val="0"/>
          <w:numId w:val="2"/>
        </w:numPr>
        <w:spacing w:after="60"/>
      </w:pPr>
      <w:r>
        <w:rPr>
          <w:color w:val="111827"/>
          <w:sz w:val="21"/>
          <w:szCs w:val="21"/>
        </w:rPr>
        <w:t xml:space="preserve">Google Analytics n'est pas encore actif (identifiant de mesure placeholder) — aucune donnée d'audience réelle n'est collectée tant qu'il n'est pas remplacé.</w:t>
      </w:r>
    </w:p>
    <w:p>
      <w:pPr>
        <w:spacing w:after="200"/>
      </w:pPr>
    </w:p>
    <w:p>
      <w:pPr>
        <w:pBdr>
          <w:top w:val="single" w:color="D1D5DB" w:sz="4" w:space="8"/>
        </w:pBdr>
        <w:spacing w:before="200"/>
      </w:pPr>
    </w:p>
    <w:p>
      <w:pPr>
        <w:spacing w:after="140"/>
      </w:pPr>
      <w:r>
        <w:rPr>
          <w:i/>
          <w:iCs/>
          <w:color w:val="6B7280"/>
          <w:sz w:val="18"/>
          <w:szCs w:val="18"/>
        </w:rPr>
        <w:t xml:space="preserve">Document généré automatiquement à partir de l'état du code au moment de la génération — à mettre à jour manuellement en cas d'évolution majeure de l'architecture.</w:t>
      </w: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Clean Car Galsen — Architecture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2026-08-19T18:30:09.613Z</dcterms:created>
  <dcterms:modified xsi:type="dcterms:W3CDTF">2026-08-19T18:30:09.615Z</dcterms:modified>
</cp:coreProperties>
</file>

<file path=docProps/custom.xml><?xml version="1.0" encoding="utf-8"?>
<Properties xmlns="http://schemas.openxmlformats.org/officeDocument/2006/custom-properties" xmlns:vt="http://schemas.openxmlformats.org/officeDocument/2006/docPropsVTypes"/>
</file>