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41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 forfait Business et à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 add_pompistes.sql.</w:t>
      </w:r>
    </w:p>
    <w:p>
      <w:pPr>
        <w:pStyle w:val="ListParagraph"/>
        <w:numPr>
          <w:ilvl w:val="0"/>
          <w:numId w:val="1"/>
        </w:numPr>
        <w:spacing w:after="60"/>
      </w:pPr>
      <w:r>
        <w:t xml:space="preserve">Affectation à une pompe : employees.pump_label porte la pompe habituelle (par exemple « Pompe B ») ; la pompe réellement tenue un jour donné est figée dans attendance_records.pump_label et se change jour par jour. Les libellés déjà utilisés sont proposés en suggestion pour éviter « Pompe B » et « pompe b ».</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trois feuilles : Synthèse, Par pompe, Détail par jour.</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la réservation au forfait Business n'est contrôlée que par l'interface (pas de verrou en base, contrairement à la vidange) ; pas de prix du carburant par pompe ni d'écart de caisse, le prix moyen au litre déduit du relevé sert de contrôle visuel.</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spacing w:after="120"/>
      </w:pPr>
      <w:r>
        <w:t xml:space="preserve">Document tenu à jour à partir de l’état du code — dernière mise à jour le 21 septembre 2026 (cession de station et offre Sur mesure phases 1 à 3 ; nombre de tables et de pages HTML recalés sur l’état réel — les autres évolutions du 20 septembre : historique et photo « studio » de la boutique, dictée vocale, audience des annonces — ne sont pas encore détaillées ici)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