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 add_pompistes.sql.</w:t>
      </w:r>
    </w:p>
    <w:p>
      <w:pPr>
        <w:pStyle w:val="ListParagraph"/>
        <w:numPr>
          <w:ilvl w:val="0"/>
          <w:numId w:val="1"/>
        </w:numPr>
        <w:spacing w:after="60"/>
      </w:pPr>
      <w:r>
        <w:t xml:space="preserve">Affectation à une pompe : employees.pump_label porte la pompe habituelle (par exemple « Pompe B ») ; la pompe réellement tenue un jour donné est figée dans attendance_records.pump_label et se change jour par jour. Les libellés déjà utilisés sont proposés en suggestion pour éviter « Pompe B » et « pompe b ».</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trois feuilles : Synthèse, Par pompe, Détail par jour.</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