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21 août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trois profils d'utilisateurs distincts, chacun disposant de son propre espace applicatif :</w:t>
      </w:r>
    </w:p>
    <w:p>
      <w:pPr>
        <w:pStyle w:val="ListParagraph"/>
        <w:numPr>
          <w:ilvl w:val="0"/>
          <w:numId w:val="1"/>
        </w:numPr>
        <w:spacing w:after="60"/>
      </w:pPr>
      <w:r>
        <w:t xml:space="preserve">Automobiliste (client) : recherche une station, réserve un lavage, suit sa file d'attente en direct, paie en ligne ou sur place, gère son garage de véhicules, et peut désormais souscrire un abonnement fidélité prépayé auprès d'une station.</w:t>
      </w:r>
    </w:p>
    <w:p>
      <w:pPr>
        <w:pStyle w:val="ListParagraph"/>
        <w:numPr>
          <w:ilvl w:val="0"/>
          <w:numId w:val="1"/>
        </w:numPr>
        <w:spacing w:after="60"/>
      </w:pPr>
      <w:r>
        <w:t xml:space="preserve">Station (admin) : gère sa file d'attente, ses laveurs et leur pointage, sa tarification, ses promotions, sa comptabilité, ses abonnements clients fidélité, et ses campagnes publicitaires payantes.</w:t>
      </w:r>
    </w:p>
    <w:p>
      <w:pPr>
        <w:pStyle w:val="ListParagraph"/>
        <w:numPr>
          <w:ilvl w:val="0"/>
          <w:numId w:val="1"/>
        </w:numPr>
        <w:spacing w:after="60"/>
      </w:pPr>
      <w:r>
        <w:t xml:space="preserve">Super Admin (opérateur de la plateforme) : supervise l'ensemble du réseau de stations, la facturation SaaS, les abonnements Super User et les publicités payantes, les litiges.</w:t>
      </w:r>
    </w:p>
    <w:p>
      <w:pPr>
        <w:spacing w:after="120"/>
      </w:pPr>
      <w:r>
        <w:t xml:space="preserve">L'interface est entièrement en français, les montants en FCFA, les moyens de paiement affichés sont Wave et Orange Money.</w:t>
      </w:r>
    </w:p>
    <w:p>
      <w:pPr>
        <w:pStyle w:val="Heading1"/>
        <w:spacing w:after="160" w:before="360"/>
      </w:pPr>
      <w:r>
        <w:t xml:space="preserve">2. Stack technique</w:t>
      </w:r>
    </w:p>
    <w:p>
      <w:pPr>
        <w:pStyle w:val="Heading2"/>
        <w:spacing w:after="120" w:before="24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plusieurs points d'entrée HTML réels (index.html, login.html, dashboard.html, reset-password.html), pas un unique index.html.</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(aucune librairie de charts externe type Recharts/Chart.js).</w:t>
      </w:r>
    </w:p>
    <w:p>
      <w:pPr>
        <w:pStyle w:val="ListParagraph"/>
        <w:numPr>
          <w:ilvl w:val="0"/>
          <w:numId w:val="1"/>
        </w:numPr>
        <w:spacing w:after="60"/>
      </w:pPr>
      <w:r>
        <w:t xml:space="preserve">Export Excel : xlsx (SheetJS), utilisé pour l'export du planning des laveurs et, depuis peu, l'export de l'historique des transactions.</w:t>
      </w:r>
    </w:p>
    <w:p>
      <w:pPr>
        <w:pStyle w:val="Heading2"/>
        <w:spacing w:after="120" w:before="24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et images de publicité sont stockés en base64 (Data URL) directement dans les colonnes texte, plafonnés à 1,5 Mo.</w:t>
      </w:r>
    </w:p>
    <w:p>
      <w:pPr>
        <w:pStyle w:val="ListParagraph"/>
        <w:numPr>
          <w:ilvl w:val="0"/>
          <w:numId w:val="1"/>
        </w:numPr>
        <w:spacing w:after="60"/>
      </w:pPr>
      <w:r>
        <w:t xml:space="preserve">Tâches planifiées : Aucune (pas d'Edge Function/cron) — les statuts qui "expirent" (abonnement Super User, publicité, bandeau promo) sont recalculés à la volée à chaque lecture plutôt que mis à jour en base par un job.</w:t>
      </w:r>
    </w:p>
    <w:p>
      <w:pPr>
        <w:pStyle w:val="Heading2"/>
        <w:spacing w:after="120" w:before="240"/>
      </w:pPr>
      <w:r>
        <w:t xml:space="preserve">2.3 Paiement</w:t>
      </w:r>
    </w:p>
    <w:p>
      <w:pPr>
        <w:spacing w:after="120"/>
      </w:pPr>
      <w:r>
        <w:t xml:space="preserve">Il n'existe aucune passerelle de paiement réelle intégrée (pas d'API Wave/Orange Money). Trois mécanismes coexistent désormais :</w:t>
      </w:r>
    </w:p>
    <w:p>
      <w:pPr>
        <w:pStyle w:val="ListParagraph"/>
        <w:numPr>
          <w:ilvl w:val="0"/>
          <w:numId w:val="1"/>
        </w:numPr>
        <w:spacing w:after="60"/>
      </w:pPr>
      <w:r>
        <w:t xml:space="preserve">Paiement "réservation" (file d'attente) : simulé côté client (délai artificiel puis confirmation), à but de démonstration du parcours — ou réglé via le solde d'un abonnement fidélité (voir ci-dessous).</w:t>
      </w:r>
    </w:p>
    <w:p>
      <w:pPr>
        <w:pStyle w:val="ListParagraph"/>
        <w:numPr>
          <w:ilvl w:val="0"/>
          <w:numId w:val="1"/>
        </w:numPr>
        <w:spacing w:after="60"/>
      </w:pPr>
      <w:r>
        <w:t xml:space="preserve">Paiement "abonnement" (Super User automobiliste, Publicité station) : le client/la station saisit un numéro et clique payer, ce qui crée une ligne en base au statut PENDING. Seul le Super Admin peut la faire passer à ACTIVE, une fois l'argent réellement reçu par un autre canal (Wave/OM manuel). Aucune activation automatique n'existe. La publicité station propose désormais 3 offres de durée (3 jours / 1 semaine / 1 mois, prix croissants) au lieu d'une offre unique.</w:t>
      </w:r>
    </w:p>
    <w:p>
      <w:pPr>
        <w:pStyle w:val="ListParagraph"/>
        <w:numPr>
          <w:ilvl w:val="0"/>
          <w:numId w:val="1"/>
        </w:numPr>
        <w:spacing w:after="60"/>
      </w:pPr>
      <w:r>
        <w:t xml:space="preserve">Paiement "abonnement fidélité client" (station_client_subscriptions) : une station crée un abonnement prépayé pour un client régulier (nom + téléphone). Le solde se déduit automatiquement lorsqu'un lavage est réglé avec la méthode "Abonnement" — géré entièrement côté base de données par un trigger Postgres (voir section 7.5), pas par le code applicatif.</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1F3864"/>
          </w:tcPr>
          <w:p>
            <w:r>
              <w:rPr>
                <w:b/>
                <w:bCs/>
                <w:color w:val="FFFFFF"/>
              </w:rPr>
              <w:t xml:space="preserve">Espace</w:t>
            </w:r>
          </w:p>
        </w:tc>
        <w:tc>
          <w:tcPr>
            <w:tcW w:type="pct" w:w="25%"/>
            <w:shd w:fill="1F3864"/>
          </w:tcPr>
          <w:p>
            <w:r>
              <w:rPr>
                <w:b/>
                <w:bCs/>
                <w:color w:val="FFFFFF"/>
              </w:rPr>
              <w:t xml:space="preserve">Préfixe de route</w:t>
            </w:r>
          </w:p>
        </w:tc>
        <w:tc>
          <w:tcPr>
            <w:tcW w:type="pct" w:w="25%"/>
            <w:shd w:fill="1F3864"/>
          </w:tcPr>
          <w:p>
            <w:r>
              <w:rPr>
                <w:b/>
                <w:bCs/>
                <w:color w:val="FFFFFF"/>
              </w:rPr>
              <w:t xml:space="preserve">Layout</w:t>
            </w:r>
          </w:p>
        </w:tc>
        <w:tc>
          <w:tcPr>
            <w:tcW w:type="pct" w:w="25%"/>
            <w:shd w:fill="1F3864"/>
          </w:tcPr>
          <w:p>
            <w:r>
              <w:rPr>
                <w:b/>
                <w:bCs/>
                <w:color w:val="FFFFFF"/>
              </w:rPr>
              <w:t xml:space="preserve">Provider d'état</w:t>
            </w:r>
          </w:p>
        </w:tc>
      </w:tr>
      <w:tr>
        <w:tc>
          <w:tcPr>
            <w:tcW w:type="pct" w:w="25%"/>
          </w:tcPr>
          <w:p>
            <w:r>
              <w:rPr>
                <w:b w:val="false"/>
                <w:bCs w:val="false"/>
                <w:color w:val="000000"/>
              </w:rPr>
              <w:t xml:space="preserve">Public / vitrine</w:t>
            </w:r>
          </w:p>
        </w:tc>
        <w:tc>
          <w:tcPr>
            <w:tcW w:type="pct" w:w="25%"/>
          </w:tcPr>
          <w:p>
            <w:r>
              <w:rPr>
                <w:b w:val="false"/>
                <w:bCs w:val="false"/>
                <w:color w:val="000000"/>
              </w:rPr>
              <w:t xml:space="preserve">/ , /stations</w:t>
            </w:r>
          </w:p>
        </w:tc>
        <w:tc>
          <w:tcPr>
            <w:tcW w:type="pct" w:w="25%"/>
          </w:tcPr>
          <w:p>
            <w:r>
              <w:rPr>
                <w:b w:val="false"/>
                <w:bCs w:val="false"/>
                <w:color w:val="000000"/>
              </w:rPr>
              <w:t xml:space="preserve">MainLayout</w:t>
            </w:r>
          </w:p>
        </w:tc>
        <w:tc>
          <w:tcPr>
            <w:tcW w:type="pct" w:w="25%"/>
          </w:tcPr>
          <w:p>
            <w:r>
              <w:rPr>
                <w:b w:val="false"/>
                <w:bCs w:val="false"/>
                <w:color w:val="000000"/>
              </w:rPr>
              <w:t xml:space="preserve">—</w:t>
            </w:r>
          </w:p>
        </w:tc>
      </w:tr>
      <w:tr>
        <w:tc>
          <w:tcPr>
            <w:tcW w:type="pct" w:w="25%"/>
          </w:tcPr>
          <w:p>
            <w:r>
              <w:rPr>
                <w:b w:val="false"/>
                <w:bCs w:val="false"/>
                <w:color w:val="000000"/>
              </w:rPr>
              <w:t xml:space="preserve">Automobiliste</w:t>
            </w:r>
          </w:p>
        </w:tc>
        <w:tc>
          <w:tcPr>
            <w:tcW w:type="pct" w:w="25%"/>
          </w:tcPr>
          <w:p>
            <w:r>
              <w:rPr>
                <w:b w:val="false"/>
                <w:bCs w:val="false"/>
                <w:color w:val="000000"/>
              </w:rPr>
              <w:t xml:space="preserve">/dashboard/*</w:t>
            </w:r>
          </w:p>
        </w:tc>
        <w:tc>
          <w:tcPr>
            <w:tcW w:type="pct" w:w="25%"/>
          </w:tcPr>
          <w:p>
            <w:r>
              <w:rPr>
                <w:b w:val="false"/>
                <w:bCs w:val="false"/>
                <w:color w:val="000000"/>
              </w:rPr>
              <w:t xml:space="preserve">ClientLayout</w:t>
            </w:r>
          </w:p>
        </w:tc>
        <w:tc>
          <w:tcPr>
            <w:tcW w:type="pct" w:w="25%"/>
          </w:tcPr>
          <w:p>
            <w:r>
              <w:rPr>
                <w:b w:val="false"/>
                <w:bCs w:val="false"/>
                <w:color w:val="000000"/>
              </w:rPr>
              <w:t xml:space="preserve">ClientAccountProvider</w:t>
            </w:r>
          </w:p>
        </w:tc>
      </w:tr>
      <w:tr>
        <w:tc>
          <w:tcPr>
            <w:tcW w:type="pct" w:w="25%"/>
          </w:tcPr>
          <w:p>
            <w:r>
              <w:rPr>
                <w:b w:val="false"/>
                <w:bCs w:val="false"/>
                <w:color w:val="000000"/>
              </w:rPr>
              <w:t xml:space="preserve">Station</w:t>
            </w:r>
          </w:p>
        </w:tc>
        <w:tc>
          <w:tcPr>
            <w:tcW w:type="pct" w:w="25%"/>
          </w:tcPr>
          <w:p>
            <w:r>
              <w:rPr>
                <w:b w:val="false"/>
                <w:bCs w:val="false"/>
                <w:color w:val="000000"/>
              </w:rPr>
              <w:t xml:space="preserve">/admin/*</w:t>
            </w:r>
          </w:p>
        </w:tc>
        <w:tc>
          <w:tcPr>
            <w:tcW w:type="pct" w:w="25%"/>
          </w:tcPr>
          <w:p>
            <w:r>
              <w:rPr>
                <w:b w:val="false"/>
                <w:bCs w:val="false"/>
                <w:color w:val="000000"/>
              </w:rPr>
              <w:t xml:space="preserve">AdminLayout</w:t>
            </w:r>
          </w:p>
        </w:tc>
        <w:tc>
          <w:tcPr>
            <w:tcW w:type="pct" w:w="25%"/>
          </w:tcPr>
          <w:p>
            <w:r>
              <w:rPr>
                <w:b w:val="false"/>
                <w:bCs w:val="false"/>
                <w:color w:val="000000"/>
              </w:rPr>
              <w:t xml:space="preserve">AppStateProvider</w:t>
            </w:r>
          </w:p>
        </w:tc>
      </w:tr>
      <w:tr>
        <w:tc>
          <w:tcPr>
            <w:tcW w:type="pct" w:w="25%"/>
          </w:tcPr>
          <w:p>
            <w:r>
              <w:rPr>
                <w:b w:val="false"/>
                <w:bCs w:val="false"/>
                <w:color w:val="000000"/>
              </w:rPr>
              <w:t xml:space="preserve">Super Admin</w:t>
            </w:r>
          </w:p>
        </w:tc>
        <w:tc>
          <w:tcPr>
            <w:tcW w:type="pct" w:w="25%"/>
          </w:tcPr>
          <w:p>
            <w:r>
              <w:rPr>
                <w:b w:val="false"/>
                <w:bCs w:val="false"/>
                <w:color w:val="000000"/>
              </w:rPr>
              <w:t xml:space="preserve">/superadmin/*</w:t>
            </w:r>
          </w:p>
        </w:tc>
        <w:tc>
          <w:tcPr>
            <w:tcW w:type="pct" w:w="25%"/>
          </w:tcPr>
          <w:p>
            <w:r>
              <w:rPr>
                <w:b w:val="false"/>
                <w:bCs w:val="false"/>
                <w:color w:val="000000"/>
              </w:rPr>
              <w:t xml:space="preserve">SuperAdminLayout</w:t>
            </w:r>
          </w:p>
        </w:tc>
        <w:tc>
          <w:tcPr>
            <w:tcW w:type="pct" w:w="25%"/>
          </w:tcPr>
          <w:p>
            <w:r>
              <w:rPr>
                <w:b w:val="false"/>
                <w:bCs w:val="false"/>
                <w:color w:val="000000"/>
              </w:rPr>
              <w:t xml:space="preserve">SuperAdminStateProvider</w:t>
            </w:r>
          </w:p>
        </w:tc>
      </w:tr>
    </w:tbl>
    <w:p>
      <w:pPr>
        <w:spacing w:after="120"/>
      </w:pPr>
      <w:r>
        <w:t xml:space="preserve"/>
      </w:r>
    </w:p>
    <w:p>
      <w:pPr>
        <w:spacing w:after="120"/>
      </w:pPr>
      <w:r>
        <w:t xml:space="preserve">Les trois Providers sont montés simultanément à la racine de l'application (src/App.jsx) — un automobiliste connecté a par exemple accès en lecture aux données "cross-station" de SuperAdminStateProvider (annuaire des stations, publicités actives), même s'il ne visite jamais /superadmin.</w:t>
      </w:r>
    </w:p>
    <w:p>
      <w:pPr>
        <w:spacing w:after="120"/>
      </w:pPr>
      <w:r>
        <w:t xml:space="preserve">Cas particulier — impersonation : un Super Admin peut se connecter "en tant que" une station donnée (impersonateStation) : AppStateProvider est alors remonté avec la clé de cette station, sans recharger la page ni changer de session réelle.</w:t>
      </w:r>
    </w:p>
    <w:p>
      <w:pPr>
        <w:spacing w:after="12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 — seuls index.html, login.html, dashboard.html et reset-password.html sont de vrais points d'entrée traités par Vite (bundlés, remplacement des variables d'environnement).</w:t>
      </w:r>
    </w:p>
    <w:p>
      <w:pPr>
        <w:spacing w:after="120"/>
      </w:pPr>
      <w:r>
        <w:t xml:space="preserve">Pages statiques additionnelles (public/) : 404.html, merci.html et confidentialite.html sont de VRAIES pages servies en production, mais copiées telles quelles au build (aucun traitement Vite, pas de bundling) — comme robots.txt ou sitemap.xml.</w:t>
      </w:r>
    </w:p>
    <w:p>
      <w:pPr>
        <w:pStyle w:val="Heading1"/>
        <w:spacing w:after="160" w:before="360"/>
      </w:pPr>
      <w:r>
        <w:t xml:space="preserve">4. Gestion d'état (Context Providers)</w:t>
      </w:r>
    </w:p>
    <w:p>
      <w:pPr>
        <w:pStyle w:val="Heading2"/>
        <w:spacing w:after="120" w:before="240"/>
      </w:pPr>
      <w:r>
        <w:t xml:space="preserve">4.1 useAppState.jsx — données d'UNE station</w:t>
      </w:r>
    </w:p>
    <w:p>
      <w:pPr>
        <w:spacing w:after="120"/>
      </w:pPr>
      <w:r>
        <w:t xml:space="preserve">Isole entièrement les données de la station actuellement connectée (ou impersonnée).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Heading2"/>
        <w:spacing w:after="120" w:before="240"/>
      </w:pPr>
      <w:r>
        <w:t xml:space="preserve">4.2 useSuperAdminState.jsx — données transverses</w:t>
      </w:r>
    </w:p>
    <w:p>
      <w:pPr>
        <w:spacing w:after="120"/>
      </w:pPr>
      <w:r>
        <w:t xml:space="preserve">Chargé sur TOUTE l'application (pas seulement /superadmin) car des pages automobiliste en ont besoin en lecture.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Super User (super_user_subscriptions)</w:t>
      </w:r>
    </w:p>
    <w:p>
      <w:pPr>
        <w:pStyle w:val="ListParagraph"/>
        <w:numPr>
          <w:ilvl w:val="0"/>
          <w:numId w:val="1"/>
        </w:numPr>
        <w:spacing w:after="60"/>
      </w:pPr>
      <w:r>
        <w:t xml:space="preserve">Publicités de toutes les stations — filtrées par RLS selon le rôle du lecteur (station_ads), chaque ligne portant désormais sa propre durée (duration_days) fixée au moment du paiement</w:t>
      </w:r>
    </w:p>
    <w:p>
      <w:pPr>
        <w:pStyle w:val="ListParagraph"/>
        <w:numPr>
          <w:ilvl w:val="0"/>
          <w:numId w:val="1"/>
        </w:numPr>
        <w:spacing w:after="60"/>
      </w:pPr>
      <w:r>
        <w:t xml:space="preserve">Plans tarifaires SaaS, litiges, journal d'audit (plans, disputes, audit_log)</w:t>
      </w:r>
    </w:p>
    <w:p>
      <w:pPr>
        <w:pStyle w:val="Heading2"/>
        <w:spacing w:after="120" w:before="240"/>
      </w:pPr>
      <w:r>
        <w:t xml:space="preserve">4.3 useClientAccount.jsx — compte automobiliste connecté</w:t>
      </w:r>
    </w:p>
    <w:p>
      <w:pPr>
        <w:spacing w:after="120"/>
      </w:pPr>
      <w:r>
        <w:t xml:space="preserve">Profil, véhicules, réservations actives, historique de transactions, abonnements fidélité actifs (par station), statut Super User, favoris/stations masquées, publicités ignorées (dismissed_ad_ids). Le canal Realtime sur reservations distingue désormais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20" w:before="24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21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shd w:fill="1F3864"/>
          </w:tcPr>
          <w:p>
            <w:r>
              <w:rPr>
                <w:b/>
                <w:bCs/>
                <w:color w:val="FFFFFF"/>
              </w:rPr>
              <w:t xml:space="preserve">Domaine</w:t>
            </w:r>
          </w:p>
        </w:tc>
        <w:tc>
          <w:tcPr>
            <w:tcW w:type="pct" w:w="60%"/>
            <w:shd w:fill="1F3864"/>
          </w:tcPr>
          <w:p>
            <w:r>
              <w:rPr>
                <w:b/>
                <w:bCs/>
                <w:color w:val="FFFFFF"/>
              </w:rPr>
              <w:t xml:space="preserve">Tables</w:t>
            </w:r>
          </w:p>
        </w:tc>
      </w:tr>
      <w:tr>
        <w:tc>
          <w:tcPr>
            <w:tcW w:type="pct" w:w="40%"/>
          </w:tcPr>
          <w:p>
            <w:r>
              <w:rPr>
                <w:b w:val="false"/>
                <w:bCs w:val="false"/>
                <w:color w:val="000000"/>
              </w:rPr>
              <w:t xml:space="preserve">Stations &amp; facturation SaaS</w:t>
            </w:r>
          </w:p>
        </w:tc>
        <w:tc>
          <w:tcPr>
            <w:tcW w:type="pct" w:w="60%"/>
          </w:tcPr>
          <w:p>
            <w:r>
              <w:rPr>
                <w:b w:val="false"/>
                <w:bCs w:val="false"/>
                <w:color w:val="000000"/>
              </w:rPr>
              <w:t xml:space="preserve">stations, station_billing, plans</w:t>
            </w:r>
          </w:p>
        </w:tc>
      </w:tr>
      <w:tr>
        <w:tc>
          <w:tcPr>
            <w:tcW w:type="pct" w:w="40%"/>
          </w:tcPr>
          <w:p>
            <w:r>
              <w:rPr>
                <w:b w:val="false"/>
                <w:bCs w:val="false"/>
                <w:color w:val="000000"/>
              </w:rPr>
              <w:t xml:space="preserve">Comptes &amp; authentification</w:t>
            </w:r>
          </w:p>
        </w:tc>
        <w:tc>
          <w:tcPr>
            <w:tcW w:type="pct" w:w="60%"/>
          </w:tcPr>
          <w:p>
            <w:r>
              <w:rPr>
                <w:b w:val="false"/>
                <w:bCs w:val="false"/>
                <w:color w:val="000000"/>
              </w:rPr>
              <w:t xml:space="preserve">profiles, vehicles</w:t>
            </w:r>
          </w:p>
        </w:tc>
      </w:tr>
      <w:tr>
        <w:tc>
          <w:tcPr>
            <w:tcW w:type="pct" w:w="40%"/>
          </w:tcPr>
          <w:p>
            <w:r>
              <w:rPr>
                <w:b w:val="false"/>
                <w:bCs w:val="false"/>
                <w:color w:val="000000"/>
              </w:rPr>
              <w:t xml:space="preserve">Réservations &amp; paiements</w:t>
            </w:r>
          </w:p>
        </w:tc>
        <w:tc>
          <w:tcPr>
            <w:tcW w:type="pct" w:w="60%"/>
          </w:tcPr>
          <w:p>
            <w:r>
              <w:rPr>
                <w:b w:val="false"/>
                <w:bCs w:val="false"/>
                <w:color w:val="000000"/>
              </w:rPr>
              <w:t xml:space="preserve">reservations, transactions, wash_pricing</w:t>
            </w:r>
          </w:p>
        </w:tc>
      </w:tr>
      <w:tr>
        <w:tc>
          <w:tcPr>
            <w:tcW w:type="pct" w:w="40%"/>
          </w:tcPr>
          <w:p>
            <w:r>
              <w:rPr>
                <w:b w:val="false"/>
                <w:bCs w:val="false"/>
                <w:color w:val="000000"/>
              </w:rPr>
              <w:t xml:space="preserve">Équipe station</w:t>
            </w:r>
          </w:p>
        </w:tc>
        <w:tc>
          <w:tcPr>
            <w:tcW w:type="pct" w:w="60%"/>
          </w:tcPr>
          <w:p>
            <w:r>
              <w:rPr>
                <w:b w:val="false"/>
                <w:bCs w:val="false"/>
                <w:color w:val="000000"/>
              </w:rPr>
              <w:t xml:space="preserve">employees, attendance_records, shift_templates, shift_schedule</w:t>
            </w:r>
          </w:p>
        </w:tc>
      </w:tr>
      <w:tr>
        <w:tc>
          <w:tcPr>
            <w:tcW w:type="pct" w:w="40%"/>
          </w:tcPr>
          <w:p>
            <w:r>
              <w:rPr>
                <w:b w:val="false"/>
                <w:bCs w:val="false"/>
                <w:color w:val="000000"/>
              </w:rPr>
              <w:t xml:space="preserve">Fidélisation &amp; avis</w:t>
            </w:r>
          </w:p>
        </w:tc>
        <w:tc>
          <w:tcPr>
            <w:tcW w:type="pct" w:w="60%"/>
          </w:tcPr>
          <w:p>
            <w:r>
              <w:rPr>
                <w:b w:val="false"/>
                <w:bCs w:val="false"/>
                <w:color w:val="000000"/>
              </w:rPr>
              <w:t xml:space="preserve">station_reviews</w:t>
            </w:r>
          </w:p>
        </w:tc>
      </w:tr>
      <w:tr>
        <w:tc>
          <w:tcPr>
            <w:tcW w:type="pct" w:w="40%"/>
          </w:tcPr>
          <w:p>
            <w:r>
              <w:rPr>
                <w:b w:val="false"/>
                <w:bCs w:val="false"/>
                <w:color w:val="000000"/>
              </w:rPr>
              <w:t xml:space="preserve">Abonnements clients fidélité (station)</w:t>
            </w:r>
          </w:p>
        </w:tc>
        <w:tc>
          <w:tcPr>
            <w:tcW w:type="pct" w:w="60%"/>
          </w:tcPr>
          <w:p>
            <w:r>
              <w:rPr>
                <w:b w:val="false"/>
                <w:bCs w:val="false"/>
                <w:color w:val="000000"/>
              </w:rPr>
              <w:t xml:space="preserve">station_client_subscriptions, station_subscription_invoices</w:t>
            </w:r>
          </w:p>
        </w:tc>
      </w:tr>
      <w:tr>
        <w:tc>
          <w:tcPr>
            <w:tcW w:type="pct" w:w="40%"/>
          </w:tcPr>
          <w:p>
            <w:r>
              <w:rPr>
                <w:b w:val="false"/>
                <w:bCs w:val="false"/>
                <w:color w:val="000000"/>
              </w:rPr>
              <w:t xml:space="preserve">Monétisation plateforme</w:t>
            </w:r>
          </w:p>
        </w:tc>
        <w:tc>
          <w:tcPr>
            <w:tcW w:type="pct" w:w="60%"/>
          </w:tcPr>
          <w:p>
            <w:r>
              <w:rPr>
                <w:b w:val="false"/>
                <w:bCs w:val="false"/>
                <w:color w:val="000000"/>
              </w:rPr>
              <w:t xml:space="preserve">super_user_subscriptions, station_ads</w:t>
            </w:r>
          </w:p>
        </w:tc>
      </w:tr>
      <w:tr>
        <w:tc>
          <w:tcPr>
            <w:tcW w:type="pct" w:w="40%"/>
          </w:tcPr>
          <w:p>
            <w:r>
              <w:rPr>
                <w:b w:val="false"/>
                <w:bCs w:val="false"/>
                <w:color w:val="000000"/>
              </w:rPr>
              <w:t xml:space="preserve">Référentiels partagés</w:t>
            </w:r>
          </w:p>
        </w:tc>
        <w:tc>
          <w:tcPr>
            <w:tcW w:type="pct" w:w="60%"/>
          </w:tcPr>
          <w:p>
            <w:r>
              <w:rPr>
                <w:b w:val="false"/>
                <w:bCs w:val="false"/>
                <w:color w:val="000000"/>
              </w:rPr>
              <w:t xml:space="preserve">custom_vehicle_types, custom_vehicle_brands</w:t>
            </w:r>
          </w:p>
        </w:tc>
      </w:tr>
      <w:tr>
        <w:tc>
          <w:tcPr>
            <w:tcW w:type="pct" w:w="40%"/>
          </w:tcPr>
          <w:p>
            <w:r>
              <w:rPr>
                <w:b w:val="false"/>
                <w:bCs w:val="false"/>
                <w:color w:val="000000"/>
              </w:rPr>
              <w:t xml:space="preserve">Support &amp; gouvernance</w:t>
            </w:r>
          </w:p>
        </w:tc>
        <w:tc>
          <w:tcPr>
            <w:tcW w:type="pct" w:w="60%"/>
          </w:tcPr>
          <w:p>
            <w:r>
              <w:rPr>
                <w:b w:val="false"/>
                <w:bCs w:val="false"/>
                <w:color w:val="000000"/>
              </w:rPr>
              <w:t xml:space="preserve">disputes, audit_log</w:t>
            </w:r>
          </w:p>
        </w:tc>
      </w:tr>
    </w:tbl>
    <w:p>
      <w:pPr>
        <w:spacing w:after="120"/>
      </w:pPr>
      <w:r>
        <w:t xml:space="preserve"/>
      </w: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désormais l'insertion si le solde est insuffisant ou si aucun abonnement actif ne correspond, au lieu de laisser passer un lavage non tracé (comportement corrigé le 21 août 2026, voir section 7.5).</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"expiré" n'est écrit par un job : deriveSuperUserStatus() et deriveAdStatus() recalculent ACTIVE vs EXPIRED à la lecture en comparant expires_at à l'heure courante.</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20" w:before="24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connecté.</w:t>
      </w:r>
    </w:p>
    <w:p>
      <w:pPr>
        <w:pStyle w:val="ListParagraph"/>
        <w:numPr>
          <w:ilvl w:val="0"/>
          <w:numId w:val="1"/>
        </w:numPr>
        <w:spacing w:after="60"/>
      </w:pPr>
      <w:r>
        <w:t xml:space="preserve">is_super_user(uid) — vrai si abonnement Super User ACTIVE et non expiré.</w:t>
      </w:r>
    </w:p>
    <w:p>
      <w:pPr>
        <w:pStyle w:val="ListParagraph"/>
        <w:numPr>
          <w:ilvl w:val="0"/>
          <w:numId w:val="1"/>
        </w:numPr>
        <w:spacing w:after="60"/>
      </w:pPr>
      <w:r>
        <w:t xml:space="preserve">recharge_subscription(p_sub_id, p_amount) — recharge atomique du solde d'un abonnement fidélité en une seule requête SQL, pour ne pas entrer en collision avec la déduction automatique du trigger (l'ancienne version, un select puis un update séparés côté application, pouvait écraser une déduction survenue entre les deux).</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Heading2"/>
        <w:spacing w:after="120" w:before="24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w:t>
      </w:r>
    </w:p>
    <w:p>
      <w:pPr>
        <w:pStyle w:val="Heading2"/>
        <w:spacing w:after="120" w:before="240"/>
      </w:pPr>
      <w:r>
        <w:t xml:space="preserve">6.3 Exemple : limite Super User (2 véhicules gratuits)</w:t>
      </w:r>
    </w:p>
    <w:p>
      <w:pPr>
        <w:spacing w:after="120"/>
      </w:pPr>
      <w:r>
        <w:t xml:space="preserve">La policy vehicles_insert bloque l'ajout d'un 3ᵉ véhicule côté serveur, sauf si is_super_user(auth.uid()) renvoie vrai — la limite de l'offre gratuite est donc appliquée par Postgres, pas seulement par l'interface. Cette même policy restrictive (owner_id = auth.uid()) empêche par ailleurs un admin de station de lire directement le véhicule d'un autre client — d'où le besoin de find_vehicle_owner (section 7.6) pour la reconnaissance par plaque.</w:t>
      </w:r>
    </w:p>
    <w:p>
      <w:pPr>
        <w:pStyle w:val="Heading2"/>
        <w:spacing w:after="120" w:before="24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(diffusion plateforme). Seul le Super Admin peut faire évoluer le statut d'une campagne (confirmer un paiement, rejeter), et fixe alors la date d'expiration à partir de la durée choisie par la station (duration_days), plus une constante fixe pour tout le monde.</w:t>
      </w:r>
    </w:p>
    <w:p>
      <w:pPr>
        <w:pStyle w:val="Heading2"/>
        <w:spacing w:after="120" w:before="240"/>
      </w:pPr>
      <w:r>
        <w:t xml:space="preserve">6.5 Exemple : abonnements clients fidélité (station_client_subscriptions)</w:t>
      </w:r>
    </w:p>
    <w:p>
      <w:pPr>
        <w:spacing w:after="120"/>
      </w:pPr>
      <w:r>
        <w:t xml:space="preserve">Le rapprochement entre une transaction réglée "par Abonnement" et l'abonnement du bon client se fait par client_id si connu, sinon par numéro de téléphone normalisé (chiffres uniquement, insensible aux espaces/préfixes) pour tolérer les variantes de saisie. Le trigger de déduction (BEFORE INSERT sur transactions) rejette désormais explicitement l'opération si aucun abonnement actif ne correspond ou si le solde est insuffisant, plutôt que d'accepter silencieusement un lavage non déduit.</w:t>
      </w:r>
    </w:p>
    <w:p>
      <w:pPr>
        <w:pStyle w:val="Heading1"/>
        <w:spacing w:after="160" w:before="360"/>
      </w:pPr>
      <w:r>
        <w:t xml:space="preserve">7. Flux métier clés</w:t>
      </w:r>
    </w:p>
    <w:p>
      <w:pPr>
        <w:pStyle w:val="Heading2"/>
        <w:spacing w:after="120" w:before="24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20" w:before="240"/>
      </w:pPr>
      <w:r>
        <w:t xml:space="preserve">7.2 Pointage des laveurs</w:t>
      </w:r>
    </w:p>
    <w:p>
      <w:pPr>
        <w:spacing w:after="120"/>
      </w:pPr>
      <w:r>
        <w:t xml:space="preserve">Machine à états sur employees.status, distincte du statut du jour (daily_status) :</w:t>
      </w:r>
    </w:p>
    <w:p>
      <w:pPr>
        <w:pStyle w:val="ListParagraph"/>
        <w:numPr>
          <w:ilvl w:val="0"/>
          <w:numId w:val="1"/>
        </w:numPr>
        <w:spacing w:after="60"/>
      </w:pPr>
      <w:r>
        <w:t xml:space="preserve">Actif : prise de poste automatique dès que le laveur est marqué "Présent" du jour.</w:t>
      </w:r>
    </w:p>
    <w:p>
      <w:pPr>
        <w:pStyle w:val="ListParagraph"/>
        <w:numPr>
          <w:ilvl w:val="0"/>
          <w:numId w:val="1"/>
        </w:numPr>
        <w:spacing w:after="60"/>
      </w:pPr>
      <w:r>
        <w:t xml:space="preserve">Terminé : après un clic "Descendre" — encore réactivable ("Reprendre service"), y compris automatiquement si un nouveau véhicule lui est confié.</w:t>
      </w:r>
    </w:p>
    <w:p>
      <w:pPr>
        <w:pStyle w:val="ListParagraph"/>
        <w:numPr>
          <w:ilvl w:val="0"/>
          <w:numId w:val="1"/>
        </w:numPr>
        <w:spacing w:after="60"/>
      </w:pPr>
      <w:r>
        <w:t xml:space="preserve">Fin de service : clôture définitive de la journée, plus aucune réactivation possible.</w:t>
      </w:r>
    </w:p>
    <w:p>
      <w:pPr>
        <w:pStyle w:val="ListParagraph"/>
        <w:numPr>
          <w:ilvl w:val="0"/>
          <w:numId w:val="1"/>
        </w:numPr>
        <w:spacing w:after="60"/>
      </w:pPr>
      <w:r>
        <w:t xml:space="preserve">Coupure automatique : un contrôle tourne chaque minute côté application ; si un laveur est encore Actif après l'heure de fermeture configurée par la station, il est automatiquement basculé en Fin de service.</w:t>
      </w:r>
    </w:p>
    <w:p>
      <w:pPr>
        <w:spacing w:after="120"/>
      </w:pPr>
      <w:r>
        <w:t xml:space="preserve">Deux notions de "fermeture" distinctes coexistent volontairement dans lib/stationData.js : isStationOpenNow() (ouvert seulement DANS la plage horaire, utilisé pour le badge Ouvert/Fermé côté client) et isPastClosingTime() (bloque uniquement APRÈS la fermeture, sans jamais bloquer avant l'ouverture, utilisé côté admin pour le bouton "Go" et "Reprendre service") — les confondre a provoqué une régression corrigée le 21 août 2026.</w:t>
      </w:r>
    </w:p>
    <w:p>
      <w:pPr>
        <w:pStyle w:val="Heading2"/>
        <w:spacing w:after="120" w:before="240"/>
      </w:pPr>
      <w:r>
        <w:t xml:space="preserve">7.3 Paiements différés à confirmation manuelle</w:t>
      </w:r>
    </w:p>
    <w:p>
      <w:pPr>
        <w:spacing w:after="120"/>
      </w:pPr>
      <w:r>
        <w:t xml:space="preserve">Plusieurs flux suivent le même schéma PENDING → ACTIVE, pour la même raison (absence de vraie passerelle de paiement)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1F3864"/>
          </w:tcPr>
          <w:p>
            <w:r>
              <w:rPr>
                <w:b/>
                <w:bCs/>
                <w:color w:val="FFFFFF"/>
              </w:rPr>
              <w:t xml:space="preserve"/>
            </w:r>
          </w:p>
        </w:tc>
        <w:tc>
          <w:tcPr>
            <w:tcW w:type="pct" w:w="39%"/>
            <w:shd w:fill="1F3864"/>
          </w:tcPr>
          <w:p>
            <w:r>
              <w:rPr>
                <w:b/>
                <w:bCs/>
                <w:color w:val="FFFFFF"/>
              </w:rPr>
              <w:t xml:space="preserve">Abonnement Super User</w:t>
            </w:r>
          </w:p>
        </w:tc>
        <w:tc>
          <w:tcPr>
            <w:tcW w:type="pct" w:w="39%"/>
            <w:shd w:fill="1F3864"/>
          </w:tcPr>
          <w:p>
            <w:r>
              <w:rPr>
                <w:b/>
                <w:bCs/>
                <w:color w:val="FFFFFF"/>
              </w:rPr>
              <w:t xml:space="preserve">Publicité station</w:t>
            </w:r>
          </w:p>
        </w:tc>
      </w:tr>
      <w:tr>
        <w:tc>
          <w:tcPr>
            <w:tcW w:type="pct" w:w="22%"/>
          </w:tcPr>
          <w:p>
            <w:r>
              <w:rPr>
                <w:b w:val="false"/>
                <w:bCs w:val="false"/>
                <w:color w:val="000000"/>
              </w:rPr>
              <w:t xml:space="preserve">Qui paie</w:t>
            </w:r>
          </w:p>
        </w:tc>
        <w:tc>
          <w:tcPr>
            <w:tcW w:type="pct" w:w="39%"/>
          </w:tcPr>
          <w:p>
            <w:r>
              <w:rPr>
                <w:b w:val="false"/>
                <w:bCs w:val="false"/>
                <w:color w:val="000000"/>
              </w:rPr>
              <w:t xml:space="preserve">Automobiliste</w:t>
            </w:r>
          </w:p>
        </w:tc>
        <w:tc>
          <w:tcPr>
            <w:tcW w:type="pct" w:w="39%"/>
          </w:tcPr>
          <w:p>
            <w:r>
              <w:rPr>
                <w:b w:val="false"/>
                <w:bCs w:val="false"/>
                <w:color w:val="000000"/>
              </w:rPr>
              <w:t xml:space="preserve">Station</w:t>
            </w:r>
          </w:p>
        </w:tc>
      </w:tr>
      <w:tr>
        <w:tc>
          <w:tcPr>
            <w:tcW w:type="pct" w:w="22%"/>
          </w:tcPr>
          <w:p>
            <w:r>
              <w:rPr>
                <w:b w:val="false"/>
                <w:bCs w:val="false"/>
                <w:color w:val="000000"/>
              </w:rPr>
              <w:t xml:space="preserve">Montant</w:t>
            </w:r>
          </w:p>
        </w:tc>
        <w:tc>
          <w:tcPr>
            <w:tcW w:type="pct" w:w="39%"/>
          </w:tcPr>
          <w:p>
            <w:r>
              <w:rPr>
                <w:b w:val="false"/>
                <w:bCs w:val="false"/>
                <w:color w:val="000000"/>
              </w:rPr>
              <w:t xml:space="preserve">5 000 FCFA / mois</w:t>
            </w:r>
          </w:p>
        </w:tc>
        <w:tc>
          <w:tcPr>
            <w:tcW w:type="pct" w:w="39%"/>
          </w:tcPr>
          <w:p>
            <w:r>
              <w:rPr>
                <w:b w:val="false"/>
                <w:bCs w:val="false"/>
                <w:color w:val="000000"/>
              </w:rPr>
              <w:t xml:space="preserve">5 000 F / 3j · 10 000 F / 7j · 30 000 F / 30j (au choix)</w:t>
            </w:r>
          </w:p>
        </w:tc>
      </w:tr>
      <w:tr>
        <w:tc>
          <w:tcPr>
            <w:tcW w:type="pct" w:w="22%"/>
          </w:tcPr>
          <w:p>
            <w:r>
              <w:rPr>
                <w:b w:val="false"/>
                <w:bCs w:val="false"/>
                <w:color w:val="000000"/>
              </w:rPr>
              <w:t xml:space="preserve">Qui confirme</w:t>
            </w:r>
          </w:p>
        </w:tc>
        <w:tc>
          <w:tcPr>
            <w:tcW w:type="pct" w:w="39%"/>
          </w:tcPr>
          <w:p>
            <w:r>
              <w:rPr>
                <w:b w:val="false"/>
                <w:bCs w:val="false"/>
                <w:color w:val="000000"/>
              </w:rPr>
              <w:t xml:space="preserve">Super Admin</w:t>
            </w:r>
          </w:p>
        </w:tc>
        <w:tc>
          <w:tcPr>
            <w:tcW w:type="pct" w:w="39%"/>
          </w:tcPr>
          <w:p>
            <w:r>
              <w:rPr>
                <w:b w:val="false"/>
                <w:bCs w:val="false"/>
                <w:color w:val="000000"/>
              </w:rPr>
              <w:t xml:space="preserve">Super Admin</w:t>
            </w:r>
          </w:p>
        </w:tc>
      </w:tr>
      <w:tr>
        <w:tc>
          <w:tcPr>
            <w:tcW w:type="pct" w:w="22%"/>
          </w:tcPr>
          <w:p>
            <w:r>
              <w:rPr>
                <w:b w:val="false"/>
                <w:bCs w:val="false"/>
                <w:color w:val="000000"/>
              </w:rPr>
              <w:t xml:space="preserve">Effet une fois ACTIVE</w:t>
            </w:r>
          </w:p>
        </w:tc>
        <w:tc>
          <w:tcPr>
            <w:tcW w:type="pct" w:w="39%"/>
          </w:tcPr>
          <w:p>
            <w:r>
              <w:rPr>
                <w:b w:val="false"/>
                <w:bCs w:val="false"/>
                <w:color w:val="000000"/>
              </w:rPr>
              <w:t xml:space="preserve">Plus de plafond de 2 véhicules gratuits</w:t>
            </w:r>
          </w:p>
        </w:tc>
        <w:tc>
          <w:tcPr>
            <w:tcW w:type="pct" w:w="39%"/>
          </w:tcPr>
          <w:p>
            <w:r>
              <w:rPr>
                <w:b w:val="false"/>
                <w:bCs w:val="false"/>
                <w:color w:val="000000"/>
              </w:rPr>
              <w:t xml:space="preserve">Diffusion sur le tableau de bord de tous les automobilistes + mise en avant sur /stations</w:t>
            </w:r>
          </w:p>
        </w:tc>
      </w:tr>
    </w:tbl>
    <w:p>
      <w:pPr>
        <w:spacing w:after="120"/>
      </w:pPr>
      <w:r>
        <w:t xml:space="preserve"/>
      </w:r>
    </w:p>
    <w:p>
      <w:pPr>
        <w:spacing w:after="120"/>
      </w:pPr>
      <w:r>
        <w:t xml:space="preserve">L'abonnement fidélité client (station_client_subscriptions) suit un schéma différent, entièrement géré par la station elle-même (pas de confirmation Super Admin) : voir section 7.5.</w:t>
      </w:r>
    </w:p>
    <w:p>
      <w:pPr>
        <w:pStyle w:val="Heading2"/>
        <w:spacing w:after="120" w:before="240"/>
      </w:pPr>
      <w:r>
        <w:t xml:space="preserve">7.4 Promotion (gratuite) vs Publicité (payante) vs "À la une"</w:t>
      </w:r>
    </w:p>
    <w:p>
      <w:pPr>
        <w:spacing w:after="120"/>
      </w:pPr>
      <w:r>
        <w:t xml:space="preserve">Trois mécanismes de visibilité distincts, à ne pas confondre :</w:t>
      </w:r>
    </w:p>
    <w:p>
      <w:pPr>
        <w:pStyle w:val="ListParagraph"/>
        <w:numPr>
          <w:ilvl w:val="0"/>
          <w:numId w:val="1"/>
        </w:numPr>
        <w:spacing w:after="60"/>
      </w:pPr>
      <w:r>
        <w:t xml:space="preserve">Promotion (stations.promo_config) : gratuite, configurée par la station elle-même (Admin &gt; Promotions), visible uniquement sur la fiche de CETTE station et sur le tableau de bord des automobilistes qui ont déjà une relation avec elle (réservation payée ou en cours).</w:t>
      </w:r>
    </w:p>
    <w:p>
      <w:pPr>
        <w:pStyle w:val="ListParagraph"/>
        <w:numPr>
          <w:ilvl w:val="0"/>
          <w:numId w:val="1"/>
        </w:numPr>
        <w:spacing w:after="60"/>
      </w:pPr>
      <w:r>
        <w:t xml:space="preserve">Publicité (station_ads) : payante, diffusée sur le tableau de bord de TOUS les automobilistes de la plateforme après confirmation du Super Admin, quel que soit leur historique. Chaque client peut l'ignorer individuellement (persisté en base, pas seulement localement).</w:t>
      </w:r>
    </w:p>
    <w:p>
      <w:pPr>
        <w:pStyle w:val="ListParagraph"/>
        <w:numPr>
          <w:ilvl w:val="0"/>
          <w:numId w:val="1"/>
        </w:numPr>
        <w:spacing w:after="60"/>
      </w:pPr>
      <w:r>
        <w:t xml:space="preserve">"À la une" (nouveau, 21 août 2026) : une station avec une publicité ACTIVE est désormais aussi mise en avant sur la page publique "Trouver une station" (/stations, accessible sans compte) — badge "⭐ À la une", message affiché, et épinglée en tête de liste avant le tri par distance. Réutilise entièrement les mêmes données station_ads, sans nouveau système ni nouvelle table : une seconde surface d'affichage pour la même campagne.</w:t>
      </w:r>
    </w:p>
    <w:p>
      <w:pPr>
        <w:pStyle w:val="Heading2"/>
        <w:spacing w:after="120" w:before="240"/>
      </w:pPr>
      <w:r>
        <w:t xml:space="preserve">7.5 Abonnements clients fidélité (wallet prépayé par station)</w:t>
      </w:r>
    </w:p>
    <w:p>
      <w:pPr>
        <w:spacing w:after="120"/>
      </w:pPr>
      <w:r>
        <w:t xml:space="preserve">Nouveau domaine introduit le 20 août 2026, sécurisé le 21 août 2026. Une station crée un abonnement prépayé pour un client régulier (nom, téléphone, prix mensuel) — éventuellement lié à un compte automobiliste existant si le téléphone correspond. Le solde se déduit automatiquement lorsqu'un lavage est réglé avec la méthode "Abonnement", via un trigger Postgres BEFORE INSERT sur transactions :</w:t>
      </w:r>
    </w:p>
    <w:p>
      <w:pPr>
        <w:pStyle w:val="ListParagraph"/>
        <w:numPr>
          <w:ilvl w:val="0"/>
          <w:numId w:val="1"/>
        </w:numPr>
        <w:spacing w:after="60"/>
      </w:pPr>
      <w:r>
        <w:t xml:space="preserve">Recherche l'abonnement actif correspondant par client_id ou par téléphone normalisé (chiffres uniquement).</w:t>
      </w:r>
    </w:p>
    <w:p>
      <w:pPr>
        <w:pStyle w:val="ListParagraph"/>
        <w:numPr>
          <w:ilvl w:val="0"/>
          <w:numId w:val="1"/>
        </w:numPr>
        <w:spacing w:after="60"/>
      </w:pPr>
      <w:r>
        <w:t xml:space="preserve">Rejette l'insertion (raise exception) si aucun abonnement actif ne correspond, ou si le solde est insuffisant — comportement corrigé : la version d'origine acceptait silencieusement la transaction sans jamais déduire le solde dans ces deux cas, ouvrant la voie à des lavages gratuits non tracés.</w:t>
      </w:r>
    </w:p>
    <w:p>
      <w:pPr>
        <w:pStyle w:val="ListParagraph"/>
        <w:numPr>
          <w:ilvl w:val="0"/>
          <w:numId w:val="1"/>
        </w:numPr>
        <w:spacing w:after="60"/>
      </w:pPr>
      <w:r>
        <w:t xml:space="preserve">Sinon, déduit le montant et bascule le statut à "suspendu" si le solde atteint zéro.</w:t>
      </w:r>
    </w:p>
    <w:p>
      <w:pPr>
        <w:pStyle w:val="ListParagraph"/>
        <w:numPr>
          <w:ilvl w:val="0"/>
          <w:numId w:val="1"/>
        </w:numPr>
        <w:spacing w:after="60"/>
      </w:pPr>
      <w:r>
        <w:t xml:space="preserve">La recharge de solde par la station passe par la fonction atomique recharge_subscription (section 6.1) plutôt qu'un enchaînement lecture-puis-écriture côté application, pour ne pas pouvoir écraser une déduction survenue entre-temps.</w:t>
      </w:r>
    </w:p>
    <w:p>
      <w:pPr>
        <w:spacing w:after="120"/>
      </w:pPr>
      <w:r>
        <w:t xml:space="preserve">Côté application (Client/Stations.jsx), si le paiement par abonnement est rejeté côté serveur (solde insuffisant détecté après coup, ou abonnement introuvable), la réservation déjà créée est automatiquement repassée à "non payée" et le client voit un message clair, plutôt qu'un échec silencieux avec un lavage marqué payé sans transaction correspondante.</w:t>
      </w:r>
    </w:p>
    <w:p>
      <w:pPr>
        <w:pStyle w:val="Heading2"/>
        <w:spacing w:after="120" w:before="240"/>
      </w:pPr>
      <w:r>
        <w:t xml:space="preserve">7.6 Reconnaissance d'un client habitué par plaque d'immatriculation</w:t>
      </w:r>
    </w:p>
    <w:p>
      <w:pPr>
        <w:spacing w:after="120"/>
      </w:pPr>
      <w:r>
        <w:t xml:space="preserve">Nouveau flux (21 août 2026) pour le cas d'un automobiliste qui a déjà un compte mais se présente sans avoir réservé via l'app (il paie en espèces sur place, la station saisit son lavage manuellement — "Ajouter un véhicule", StationDashboard.jsx). Comme la plaque est unique (contrairement au nom, souvent partagé) :</w:t>
      </w:r>
    </w:p>
    <w:p>
      <w:pPr>
        <w:pStyle w:val="ListParagraph"/>
        <w:numPr>
          <w:ilvl w:val="0"/>
          <w:numId w:val="1"/>
        </w:numPr>
        <w:spacing w:after="60"/>
      </w:pPr>
      <w:r>
        <w:t xml:space="preserve">La station tape la plaque dans un nouveau champ du formulaire ; à la sortie du champ, un appel à find_vehicle_owner (section 6.1) cherche si un véhicule enregistré correspond.</w:t>
      </w:r>
    </w:p>
    <w:p>
      <w:pPr>
        <w:pStyle w:val="ListParagraph"/>
        <w:numPr>
          <w:ilvl w:val="0"/>
          <w:numId w:val="1"/>
        </w:numPr>
        <w:spacing w:after="60"/>
      </w:pPr>
      <w:r>
        <w:t xml:space="preserve">Si trouvé : nom, catégorie et véhicule sont pré-remplis automatiquement (modifiables si la station constate une erreur), et reservations.client_id est posé sur le vrai compte du client.</w:t>
      </w:r>
    </w:p>
    <w:p>
      <w:pPr>
        <w:pStyle w:val="ListParagraph"/>
        <w:numPr>
          <w:ilvl w:val="0"/>
          <w:numId w:val="1"/>
        </w:numPr>
        <w:spacing w:after="60"/>
      </w:pPr>
      <w:r>
        <w:t xml:space="preserve">Si rien n'est trouvé : comportement inchangé, le lavage reste enregistré avec un nom libre, sans compte lié.</w:t>
      </w:r>
    </w:p>
    <w:p>
      <w:pPr>
        <w:pStyle w:val="ListParagraph"/>
        <w:numPr>
          <w:ilvl w:val="0"/>
          <w:numId w:val="1"/>
        </w:numPr>
        <w:spacing w:after="60"/>
      </w:pPr>
      <w:r>
        <w:t xml:space="preserve">Une fois client_id posé, le suivi en temps réel côté client fonctionne sans aucun code supplémentaire : le canal Realtime déjà filtré sur client_id (section 4.3) fait apparaître la réservation instantanément sur son tableau de bord.</w:t>
      </w:r>
    </w:p>
    <w:p>
      <w:pPr>
        <w:pStyle w:val="ListParagraph"/>
        <w:numPr>
          <w:ilvl w:val="0"/>
          <w:numId w:val="1"/>
        </w:numPr>
        <w:spacing w:after="60"/>
      </w:pPr>
      <w:r>
        <w:t xml:space="preserve">Le client reçoit en plus une notification navigateur (API Notification, permission déjà gérée par ailleurs sur Client/Dashboard.jsx) au moment précis de l'INSERT — distincte de la notification existante sur changement de position, qui elle ignore volontairement le tout premier item vu pour éviter un faux positif sur un déplacement interne de réservation.</w:t>
      </w:r>
    </w:p>
    <w:p>
      <w:pPr>
        <w:pStyle w:val="Heading1"/>
        <w:spacing w:after="160" w:before="360"/>
      </w:pPr>
      <w:r>
        <w:t xml:space="preserve">8. Couche marketing / SEO (site statique)</w:t>
      </w:r>
    </w:p>
    <w:p>
      <w:pPr>
        <w:spacing w:after="120"/>
      </w:pPr>
      <w:r>
        <w:t xml:space="preserve">Les 4 points d'entrée statiques (index.html, login.html, dashboard.html, reset-password.html) et 3 pages autonomes portent les fondamentaux SEO/marketing d'un site vitrine :</w:t>
      </w:r>
    </w:p>
    <w:p>
      <w:pPr>
        <w:pStyle w:val="ListParagraph"/>
        <w:numPr>
          <w:ilvl w:val="0"/>
          <w:numId w:val="1"/>
        </w:numPr>
        <w:spacing w:after="60"/>
      </w:pPr>
      <w:r>
        <w:t xml:space="preserve">Meta descriptions, Open Graph / Twitter Card, URL canonique, et données structurées JSON-LD (LocalBusiness + WebSite) sur index.html.</w:t>
      </w:r>
    </w:p>
    <w:p>
      <w:pPr>
        <w:pStyle w:val="ListParagraph"/>
        <w:numPr>
          <w:ilvl w:val="0"/>
          <w:numId w:val="1"/>
        </w:numPr>
        <w:spacing w:after="60"/>
      </w:pPr>
      <w:r>
        <w:t xml:space="preserve">Google Analytics (GA4) scaffoldé sur les 4 points d'entrée — identifiant de mesure encore en placeholder (G-XXXXXXXXXX) à remplacer par le vrai avant mise en production.</w:t>
      </w:r>
    </w:p>
    <w:p>
      <w:pPr>
        <w:pStyle w:val="ListParagraph"/>
        <w:numPr>
          <w:ilvl w:val="0"/>
          <w:numId w:val="1"/>
        </w:numPr>
        <w:spacing w:after="60"/>
      </w:pPr>
      <w:r>
        <w:t xml:space="preserve">3 pages statiques dans public/ (copiées telles quelles au build, aucun traitement Vite) : 404.html, merci.html, confidentialite.html.</w:t>
      </w:r>
    </w:p>
    <w:p>
      <w:pPr>
        <w:pStyle w:val="ListParagraph"/>
        <w:numPr>
          <w:ilvl w:val="0"/>
          <w:numId w:val="1"/>
        </w:numPr>
        <w:spacing w:after="60"/>
      </w:pPr>
      <w:r>
        <w:t xml:space="preserve">public/_redirects : un chemin inconnu renvoie une vraie 404.html (statut HTTP 404) au lieu de retomber silencieusement sur l'accueil.</w:t>
      </w:r>
    </w:p>
    <w:p>
      <w:pPr>
        <w:pStyle w:val="ListParagraph"/>
        <w:numPr>
          <w:ilvl w:val="0"/>
          <w:numId w:val="1"/>
        </w:numPr>
        <w:spacing w:after="60"/>
      </w:pPr>
      <w:r>
        <w:t xml:space="preserve">index.html interroge directement Supabase pour afficher les vraies stations partenaires actives et leurs avis.</w:t>
      </w:r>
    </w:p>
    <w:p>
      <w:pPr>
        <w:pStyle w:val="ListParagraph"/>
        <w:numPr>
          <w:ilvl w:val="0"/>
          <w:numId w:val="1"/>
        </w:numPr>
        <w:spacing w:after="60"/>
      </w:pPr>
      <w:r>
        <w:t xml:space="preserve">Fil d'Ariane + titre de page dynamique sur la route publique /stations.</w:t>
      </w:r>
    </w:p>
    <w:p>
      <w:pPr>
        <w:pStyle w:val="ListParagraph"/>
        <w:numPr>
          <w:ilvl w:val="0"/>
          <w:numId w:val="1"/>
        </w:numPr>
        <w:spacing w:after="60"/>
      </w:pPr>
      <w:r>
        <w:t xml:space="preserve">Carte Google Maps intégrée + lien "itinéraire" sur la fiche détail d'une station.</w:t>
      </w:r>
    </w:p>
    <w:p>
      <w:pPr>
        <w:pStyle w:val="ListParagraph"/>
        <w:numPr>
          <w:ilvl w:val="0"/>
          <w:numId w:val="1"/>
        </w:numPr>
        <w:spacing w:after="60"/>
      </w:pPr>
      <w:r>
        <w:t xml:space="preserve">Depuis le 21 août 2026, /stations met aussi en avant les stations avec une campagne publicitaire ACTIVE (badge "À la une", épinglées en tête) — voir section 7.4.</w:t>
      </w:r>
    </w:p>
    <w:p>
      <w:pPr>
        <w:pStyle w:val="Heading1"/>
        <w:spacing w:after="160" w:before="360"/>
      </w:pPr>
      <w:r>
        <w:t xml:space="preserve">9. Limites connues / dette technique</w:t>
      </w:r>
    </w:p>
    <w:p>
      <w:pPr>
        <w:pStyle w:val="ListParagraph"/>
        <w:numPr>
          <w:ilvl w:val="0"/>
          <w:numId w:val="1"/>
        </w:numPr>
        <w:spacing w:after="60"/>
      </w:pPr>
      <w:r>
        <w:t xml:space="preserve">Aucune passerelle de paiement réelle — tout paiement "en ligne" est simulé ou passe par une confirmation manuelle du Super Admin.</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sont en base64, plafonnées à 1,5 Mo.</w:t>
      </w:r>
    </w:p>
    <w:p>
      <w:pPr>
        <w:pStyle w:val="ListParagraph"/>
        <w:numPr>
          <w:ilvl w:val="0"/>
          <w:numId w:val="1"/>
        </w:numPr>
        <w:spacing w:after="60"/>
      </w:pPr>
      <w:r>
        <w:t xml:space="preserve">Le chunk JavaScript principal de l'espace Admin/Dashboard dépasse 1,4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 : une variable référencée sans être déclarée ne casse pas npm run build, seulement au moment où ce code s'exécute réellement en production. Une régression de ce type (stationProfile non récupéré dans StationDashboard.jsx, cassant silencieusement le bouton "Go") a été introduite puis corrigée le 21 août 2026 ; un scan ESLint no-undef ponctuel (sans configuration permanente) a confirmé l'absence d'autres cas similaires à cette date.</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Google Analytics n'est pas encore actif (identifiant de mesure placeholder).</w:t>
      </w:r>
    </w:p>
    <w:p>
      <w:pPr>
        <w:spacing w:after="120"/>
      </w:pPr>
      <w:r>
        <w:rPr>
          <w:i/>
          <w:iCs/>
          <w:color w:val="595959"/>
        </w:rPr>
        <w:t xml:space="preserve">Document généré automatiquement à partir de l'état du code au moment de la génération — à mettre à jour manuellement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2026-08-21T18:38:22.142Z</dcterms:created>
  <dcterms:modified xsi:type="dcterms:W3CDTF">2026-08-21T18:38:22.146Z</dcterms:modified>
</cp:coreProperties>
</file>

<file path=docProps/custom.xml><?xml version="1.0" encoding="utf-8"?>
<Properties xmlns="http://schemas.openxmlformats.org/officeDocument/2006/custom-properties" xmlns:vt="http://schemas.openxmlformats.org/officeDocument/2006/docPropsVTypes"/>
</file>