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17 octobre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 du groupe Sur mesure (7.28).</w:t>
      </w:r>
    </w:p>
    <w:p>
      <w:pPr>
        <w:pStyle w:val="ListParagraph"/>
        <w:numPr>
          <w:ilvl w:val="0"/>
          <w:numId w:val="1"/>
        </w:numPr>
        <w:spacing w:after="60"/>
      </w:pPr>
      <w:r>
        <w:t xml:space="preserve">Export PowerPoint : pptxgenjs, entièrement côté client et chargé seulement au clic — rapports Bilan de la station et de la plateforme (voir section 7.15), avec des graphiques natifs modifiables dans PowerPoint.</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le Super Admin le fait depuis sa rubrique Reversements (/superadmin/reversements) et la station suit ses reversements dans la sienne (/admin/reversements), voir 7.43.</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ListParagraph"/>
        <w:numPr>
          <w:ilvl w:val="0"/>
          <w:numId w:val="1"/>
        </w:numPr>
        <w:spacing w:after="60"/>
      </w:pPr>
      <w:r>
        <w:t xml:space="preserve">Ajouts des 16 et 17 octobre 2026 : menu latéral en sections, côté station puis côté Super Admin (voir 7.48) ; /superadmin/affilies (provenance des visiteurs, messages du formulaire Contact, liens de suivi et affiliés — voir 7.50).</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53 tables au 18 octobre 2026,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 subscription_reminders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 account_closures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 shop_sales, shop_stock_movements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 site_ticker_messages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r>
        <w:tc>
          <w:tcPr>
            <w:tcW w:type="pct" w:w="50%"/>
            <w:tcBorders>
              <w:top w:val="single" w:color="000000" w:sz="4"/>
              <w:left w:val="single" w:color="000000" w:sz="4"/>
              <w:bottom w:val="single" w:color="000000" w:sz="4"/>
              <w:right w:val="single" w:color="000000" w:sz="4"/>
            </w:tcBorders>
          </w:tcPr>
          <w:p>
            <w:r>
              <w:t xml:space="preserve">Carburant (station de service)</w:t>
            </w:r>
          </w:p>
        </w:tc>
        <w:tc>
          <w:tcPr>
            <w:tcW w:type="pct" w:w="50%"/>
            <w:tcBorders>
              <w:top w:val="single" w:color="000000" w:sz="4"/>
              <w:left w:val="single" w:color="000000" w:sz="4"/>
              <w:bottom w:val="single" w:color="000000" w:sz="4"/>
              <w:right w:val="single" w:color="000000" w:sz="4"/>
            </w:tcBorders>
          </w:tcPr>
          <w:p>
            <w:r>
              <w:t xml:space="preserve">station_pumps, pump_nozzles</w:t>
            </w:r>
          </w:p>
        </w:tc>
      </w:tr>
      <w:tr>
        <w:tc>
          <w:tcPr>
            <w:tcW w:type="pct" w:w="50%"/>
            <w:tcBorders>
              <w:top w:val="single" w:color="000000" w:sz="4"/>
              <w:left w:val="single" w:color="000000" w:sz="4"/>
              <w:bottom w:val="single" w:color="000000" w:sz="4"/>
              <w:right w:val="single" w:color="000000" w:sz="4"/>
            </w:tcBorders>
          </w:tcPr>
          <w:p>
            <w:r>
              <w:t xml:space="preserve">Provenance des visiteurs &amp; affiliés</w:t>
            </w:r>
          </w:p>
        </w:tc>
        <w:tc>
          <w:tcPr>
            <w:tcW w:type="pct" w:w="50%"/>
            <w:tcBorders>
              <w:top w:val="single" w:color="000000" w:sz="4"/>
              <w:left w:val="single" w:color="000000" w:sz="4"/>
              <w:bottom w:val="single" w:color="000000" w:sz="4"/>
              <w:right w:val="single" w:color="000000" w:sz="4"/>
            </w:tcBorders>
          </w:tcPr>
          <w:p>
            <w:r>
              <w:t xml:space="preserve">site_events, affiliates, site_event_salts, affiliate_payouts, ad_spends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des stations inscrites avant le 9 octobre 2026. Depuis, handle_new_station() crée les nouvelles stations au statut a_payer, sans essai (voir 7.45).</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ListParagraph"/>
        <w:numPr>
          <w:ilvl w:val="0"/>
          <w:numId w:val="1"/>
        </w:numPr>
        <w:spacing w:after="60"/>
      </w:pPr>
      <w:r>
        <w:t xml:space="preserve">site_events (17 octobre 2026) : une ligne par visite ou contact du site public (kind : visite, whatsapp, appel, inscription_station / _automobiliste / _groupe) avec source, campagne, code d’affilié, page d’arrivée et appareil ; jamais de nom ni d’adresse IP. affiliates : partenaires et leur code de lien. contact_messages a reçu les mêmes colonnes de provenance — voir 7.50.</w:t>
      </w:r>
    </w:p>
    <w:p>
      <w:pPr>
        <w:pStyle w:val="ListParagraph"/>
        <w:numPr>
          <w:ilvl w:val="0"/>
          <w:numId w:val="1"/>
        </w:numPr>
        <w:spacing w:after="60"/>
      </w:pPr>
      <w:r>
        <w:t xml:space="preserve">station_billing.trial_started_at (17 octobre 2026) : début d’un accès gratuit offert par le Super Admin ; vide pour un ancien essai d’inscription — voir 7.51.</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a_payer (nouvelle station pas encore payée, 7.45),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2"/>
        <w:spacing w:after="140" w:before="260"/>
      </w:pPr>
      <w:r>
        <w:t xml:space="preserve">6.12 Écriture anonyme contrôlée : mesure de provenance (17 octobre 2026)</w:t>
      </w:r>
    </w:p>
    <w:p>
      <w:pPr>
        <w:spacing w:after="120"/>
      </w:pPr>
      <w:r>
        <w:t xml:space="preserve">Les visiteurs non connectés n’écrivent dans site_events que par record_site_event() (security definer, exécutable par anon), qui contrôle chaque valeur (type d’événement, source dans la liste, code d’affilié, longueurs) et limite le débit : 60 événements par heure et par empreinte du jour (IP + navigateur + sel quotidien de site_event_salts, supprimé le surlendemain ; l’IP n’est jamais stockée). Une inscription n’est comptée que pour le compte connecté (auth.uid()) et une seule fois. anon n’a aucun droit sur site_events, affiliates et site_event_salts ; site_traffic_stats() refuse tout autre rôle que super_admin. Exceptions reportées dans supabase/data_api_grants.sql.</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des stations (7 jours)</w:t>
      </w:r>
    </w:p>
    <w:p>
      <w:pPr>
        <w:spacing w:after="120"/>
      </w:pPr>
      <w:r>
        <w:t xml:space="preserve">station_billing.trial_ends_at date la fin de l'essai gratuit d'une station (15 jours du 18 septembre au 2 octobre 2026, 7 jours depuis — change_trial_to_7_days.sql, essais en cours jamais raccourcis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 Catalogue par station : 5 rôles « catalogue » non modifiables (Super Admin Station, Gérant, Caissier / Comptable, Réception, Laveur — le Superviseur a été retiré le 2 octobre 2026, voir 7.42), plus jusqu'à 10 rôles personnalisés.</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a_payer (7.45),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PowerPoint (.pptx).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spacing w:after="120"/>
      </w:pPr>
      <w:r>
        <w:t xml:space="preserve">Export PowerPoint (17 octobre 2026, remplace l'export PDF) : bouton « Télécharger en PowerPoint » sur les deux pages. Le fichier .pptx est généré dans le navigateur par pptxgenjs, chargé seulement au clic (≈275 Ko, rien pour les autres pages). Socle commun lib/pptxDeck.js : thème Clean Car Galsen (couleurs écrites dans le thème du fichier avec JSZip), trois mises en page (couverture, contenu avec pied de page et numéro de diapo, clôture), cartes de chiffres avec évolution, tableaux et graphiques natifs, donc modifiables dans PowerPoint. Logo et cachet de la station sont convertis en PNG ; s'ils sont illisibles, le fichier sort sans eux. Une rubrique vide affiche « Aucune donnée sur cette période. ».</w:t>
      </w:r>
    </w:p>
    <w:p>
      <w:pPr>
        <w:spacing w:after="120"/>
      </w:pPr>
      <w:r>
        <w:t xml:space="preserve">lib/bilanPptx.js (station, 14 diapos) : couverture avec logo, indicateurs clés, synthèse comparée à la période précédente, évolution sur la période, chiffre d'affaires par service, moyens de paiement, types de véhicules, postes de dépenses, productivité des laveurs, clients, satisfaction et rythme, réservations par jour de semaine et par heure, 2 derniers mois complets, clôture avec cachet. lib/platformBilanPptx.js (plateforme, 10 diapos) : indicateurs clés avec la note réel / estimation et le MRR validé, synthèse comparée, évolution du revenu par source, revenu consolidé et revenu encaissé par source, revenu récurrent par plan, statut des abonnements, lavages payés en ligne, clôture. Les anciens lib/bilanPdf.js et lib/platformBilanPdf.js sont supprimés ; jsPDF reste pour les reçus et le rapport du groupe.</w:t>
      </w:r>
    </w:p>
    <w:p>
      <w:pPr>
        <w:spacing w:after="120"/>
      </w:pPr>
      <w:r>
        <w:t xml:space="preserve">Vérifié le 17 octobre 2026 : fichiers produits depuis les vraies pages Bilan (données fictives, période en cours, trimestre complet, année, période vide), ouverts dans PowerPoint et contrôlés diapo par diapo ; nom de station avec « &amp; » et « &lt; » correctement affiché.</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l'abonnement étant sans engagement (l'essai gratuit a été supprimé le 9 octobre 2026, voir 7.45)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(ce dernier retiré depuis, voir 7.42),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2"/>
        <w:spacing w:after="140" w:before="260"/>
      </w:pPr>
      <w:r>
        <w:t xml:space="preserve">7.41 Horaires du week-end et descente automatique des laveurs (27 septembre 2026)</w:t>
      </w:r>
    </w:p>
    <w:p>
      <w:pPr>
        <w:spacing w:after="120"/>
      </w:pPr>
      <w:r>
        <w:t xml:space="preserve">Une station n’avait qu’un horaire pour toute la semaine alors que beaucoup ferment plus tôt ou plus tard le week-end. Migration add_weekend_hours.sql (appliquée le 27 septembre 2026, après add_closing_waitlist.sql) : colonnes stations.weekend_open_time / weekend_close_time, facultatives (les deux ou aucune, contrainte stations_weekend_hours_check) ; open_time / close_time deviennent l’horaire du lundi au vendredi. Aucune nouvelle table.</w:t>
      </w:r>
    </w:p>
    <w:p>
      <w:pPr>
        <w:pStyle w:val="ListParagraph"/>
        <w:numPr>
          <w:ilvl w:val="0"/>
          <w:numId w:val="1"/>
        </w:numPr>
        <w:spacing w:after="60"/>
      </w:pPr>
      <w:r>
        <w:t xml:space="preserve">Une seule règle côté navigateur, src/lib/stationData.js : hoursForDate (horaire du jour), isStationOpenNow (y compris la fin de nuit d’une plage nocturne commencée la veille), isPastClosingTime (ne bloque plus toute la journée une station ouverte la nuit), closingDateFor, formatOpeningHours. Utilisée par le badge Ouvert/Fermé (appli et page d’accueil index.html), les boutons Go / Reprendre service, les créneaux de vidange, le graphique horaire d’Analytique, la liste d’attente et la fiche station (horaires affichés à l’automobiliste). Côté serveur, station_closing_at applique la même règle.</w:t>
      </w:r>
    </w:p>
    <w:p>
      <w:pPr>
        <w:pStyle w:val="ListParagraph"/>
        <w:numPr>
          <w:ilvl w:val="0"/>
          <w:numId w:val="1"/>
        </w:numPr>
        <w:spacing w:after="60"/>
      </w:pPr>
      <w:r>
        <w:t xml:space="preserve">Paramètres &gt; Horaires d’ouverture : case « Horaires différents le week-end (samedi et dimanche) » ; décochée, le même horaire vaut tous les jours (comportement d’avant).</w:t>
      </w:r>
    </w:p>
    <w:p>
      <w:pPr>
        <w:pStyle w:val="ListParagraph"/>
        <w:numPr>
          <w:ilvl w:val="0"/>
          <w:numId w:val="1"/>
        </w:numPr>
        <w:spacing w:after="60"/>
      </w:pPr>
      <w:r>
        <w:t xml:space="preserve">Descente automatique (useAppState, vérifiée au chargement puis chaque minute) : à l’heure de fermeture du jour, un laveur encore « Actif » ou « Terminé » passe en « Fin de service », temps compté jusqu’à la fermeture pile. Exceptions : créneau du planning qui finit plus tard (descente à la fin du créneau), pointage après la fermeture, plage nocturne. Avant la fermeture, la fin d’un créneau planifié fige toujours le compteur en « Terminé ». Cette descente à la fermeture avait été retirée le 9 septembre (heure de fermeture unique, fausse le week-end) ; l’horaire du week-end la rend fiable. Rien ne se décide tant que le profil de la station n’est pas chargé.</w:t>
      </w:r>
    </w:p>
    <w:p>
      <w:pPr>
        <w:pStyle w:val="ListParagraph"/>
        <w:numPr>
          <w:ilvl w:val="0"/>
          <w:numId w:val="1"/>
        </w:numPr>
        <w:spacing w:after="60"/>
      </w:pPr>
      <w:r>
        <w:t xml:space="preserve">Vérifié : migration en transaction annulée (10 cas dont nuit du vendredi au samedi) puis appliquée ; règles navigateur 19/19 ; descente simulée en local (Playwright, faux client Supabase).</w:t>
      </w:r>
    </w:p>
    <w:p>
      <w:pPr>
        <w:pStyle w:val="Heading2"/>
        <w:spacing w:after="140" w:before="260"/>
      </w:pPr>
      <w:r>
        <w:t xml:space="preserve">7.42 Rôles catalogue : Gérant sans finances sensibles, Superviseur retiré (2 octobre 2026)</w:t>
      </w:r>
    </w:p>
    <w:p>
      <w:pPr>
        <w:spacing w:after="120"/>
      </w:pPr>
      <w:r>
        <w:t xml:space="preserve">Le Gérant voyait l’Analytique et la Comptabilité, ce que les propriétaires de station ne souhaitent pas ; le Superviseur faisait doublon avec lui (ses quatre droits étaient tous inclus dans ceux du Gérant). Migration update_station_roles_gerant.sql (appliquée le 2 octobre 2026), aucune nouvelle table.</w:t>
      </w:r>
    </w:p>
    <w:p>
      <w:pPr>
        <w:pStyle w:val="ListParagraph"/>
        <w:numPr>
          <w:ilvl w:val="0"/>
          <w:numId w:val="1"/>
        </w:numPr>
        <w:spacing w:after="60"/>
      </w:pPr>
      <w:r>
        <w:t xml:space="preserve">Gérant : retrait de accounting.manage (Comptabilité &amp; dépenses, et donc le Bilan, gardé par la même permission) et de analytics.view (Analytique). Il garde file d’attente, laveurs, pompistes, vidange, transactions, abonnements clients, paramètres et annonces. Seul le Caissier / Comptable conserve ces deux droits parmi les rôles catalogue.</w:t>
      </w:r>
    </w:p>
    <w:p>
      <w:pPr>
        <w:pStyle w:val="ListParagraph"/>
        <w:numPr>
          <w:ilvl w:val="0"/>
          <w:numId w:val="1"/>
        </w:numPr>
        <w:spacing w:after="60"/>
      </w:pPr>
      <w:r>
        <w:t xml:space="preserve">Superviseur : supprimé de station_roles dans toutes les stations. Un membre encore rattaché aurait été basculé sur le Gérant avant la suppression (station_members.role_id est en on delete restrict) ; aucun en production.</w:t>
      </w:r>
    </w:p>
    <w:p>
      <w:pPr>
        <w:pStyle w:val="ListParagraph"/>
        <w:numPr>
          <w:ilvl w:val="0"/>
          <w:numId w:val="1"/>
        </w:numPr>
        <w:spacing w:after="60"/>
      </w:pPr>
      <w:r>
        <w:t xml:space="preserve">seed_builtin_station_roles redéfinie (la version de référence est désormais dans ce fichier) : les nouvelles stations reçoivent 5 rôles catalogue. Côté interface, BUILTIN_ROLE_KEYS (src/lib/permissions.js) suit ; la page Équipe lit les rôles depuis la table, rien d’autre à changer.</w:t>
      </w:r>
    </w:p>
    <w:p>
      <w:pPr>
        <w:pStyle w:val="ListParagraph"/>
        <w:numPr>
          <w:ilvl w:val="0"/>
          <w:numId w:val="1"/>
        </w:numPr>
        <w:spacing w:after="60"/>
      </w:pPr>
      <w:r>
        <w:t xml:space="preserve">Toujours un contrôle d’interface : menu et routes /admin/* masqués ; le RLS reste au niveau de la station.</w:t>
      </w:r>
    </w:p>
    <w:p>
      <w:pPr>
        <w:pStyle w:val="ListParagraph"/>
        <w:numPr>
          <w:ilvl w:val="0"/>
          <w:numId w:val="1"/>
        </w:numPr>
        <w:spacing w:after="60"/>
      </w:pPr>
      <w:r>
        <w:t xml:space="preserve">Vérifié : migration rejouée sur la base réelle dans une transaction annulée puis appliquée ; contrôle après coup — aucun rôle catalogue hors Caissier ne porte accounting.manage ni analytics.view, Superviseur absent des 12 stations.</w:t>
      </w:r>
    </w:p>
    <w:p>
      <w:pPr>
        <w:pStyle w:val="Heading2"/>
        <w:spacing w:after="140" w:before="260"/>
      </w:pPr>
      <w:r>
        <w:t xml:space="preserve">7.43 Rubriques Reversements, côté station et côté Super Admin (8 octobre 2026)</w:t>
      </w:r>
    </w:p>
    <w:p>
      <w:pPr>
        <w:spacing w:after="120"/>
      </w:pPr>
      <w:r>
        <w:t xml:space="preserve">Le suivi des reversements des paiements en ligne (table paiements_lavage : lavage, vidange, boutique) était un bloc de Comptabilité côté station (8 lignes récentes) et de Facturation côté Super Admin (stations en attente seulement). Il devient une rubrique à part entière de chaque côté, avec l’historique complet. Aucune migration : mêmes données, même RLS (une station ne lit que ses lignes, le Super Admin les lit toutes), même RPC mark_lavage_payments_settled.</w:t>
      </w:r>
    </w:p>
    <w:p>
      <w:pPr>
        <w:pStyle w:val="ListParagraph"/>
        <w:numPr>
          <w:ilvl w:val="0"/>
          <w:numId w:val="1"/>
        </w:numPr>
        <w:spacing w:after="60"/>
      </w:pPr>
      <w:r>
        <w:t xml:space="preserve">Station — /admin/reversements (src/pages/Admin/Payouts.jsx), entrée de menu « Reversements » (clé reversements, lib/adminNav.js) : permission accounting.manage (le Gérant ne la voit donc pas, voir 7.42), sans restriction de forfait puisqu’une station Starter peut aussi être payée en ligne. Trois compteurs (en attente, déjà reversé, redistribution automatique en cours) et l’historique paginé, filtrable par statut (Tous / À reverser / Reversés / En cours). Lecture seule, mise à jour en direct par Realtime.</w:t>
      </w:r>
    </w:p>
    <w:p>
      <w:pPr>
        <w:pStyle w:val="ListParagraph"/>
        <w:numPr>
          <w:ilvl w:val="0"/>
          <w:numId w:val="1"/>
        </w:numPr>
        <w:spacing w:after="60"/>
      </w:pPr>
      <w:r>
        <w:t xml:space="preserve">Super Admin — /superadmin/reversements (src/pages/SuperAdmin/Payouts.jsx), juste sous Facturation, avec une pastille = nombre de stations à régler. Totaux plateforme, tableau par station (nom, montant à reverser, déjà reversé, dernier paiement, bouton « Marquer comme reversé ») avec recherche, puis historique complet filtrable par station et par statut (encaissé, part station, commission plateforme).</w:t>
      </w:r>
    </w:p>
    <w:p>
      <w:pPr>
        <w:pStyle w:val="ListParagraph"/>
        <w:numPr>
          <w:ilvl w:val="0"/>
          <w:numId w:val="1"/>
        </w:numPr>
        <w:spacing w:after="60"/>
      </w:pPr>
      <w:r>
        <w:t xml:space="preserve">src/lib/payouts.js regroupe ce qui est commun aux deux pages : libellés de statut (« echec » traité comme « manuel »), filtres, regroupement par station (groupPayoutsByStation). Les blocs correspondants ont été retirés de Admin/Accounting.jsx et SuperAdmin/Billing.jsx.</w:t>
      </w:r>
    </w:p>
    <w:p>
      <w:pPr>
        <w:pStyle w:val="ListParagraph"/>
        <w:numPr>
          <w:ilvl w:val="0"/>
          <w:numId w:val="1"/>
        </w:numPr>
        <w:spacing w:after="60"/>
      </w:pPr>
      <w:r>
        <w:t xml:space="preserve">Vérifié : build de production ; pas de clic-test sur les écrans réels.</w:t>
      </w:r>
    </w:p>
    <w:p>
      <w:pPr>
        <w:pStyle w:val="Heading2"/>
        <w:spacing w:after="140" w:before="260"/>
      </w:pPr>
      <w:r>
        <w:t xml:space="preserve">7.44 Relances d’abonnement 5 jours avant l’échéance (9 octobre 2026)</w:t>
      </w:r>
    </w:p>
    <w:p>
      <w:pPr>
        <w:spacing w:after="120"/>
      </w:pPr>
      <w:r>
        <w:t xml:space="preserve">Rubrique « Relances » côté Super Admin (/superadmin/relances, stations : abonnement plateforme ou fin d’essai, pastille dans le menu) et côté station (/admin/relances, permission subscriptions.manage : clients abonnés). Deux onglets : à relancer (J-5 à J) et en retard.</w:t>
      </w:r>
    </w:p>
    <w:p>
      <w:pPr>
        <w:pStyle w:val="ListParagraph"/>
        <w:numPr>
          <w:ilvl w:val="0"/>
          <w:numId w:val="1"/>
        </w:numPr>
        <w:spacing w:after="60"/>
      </w:pPr>
      <w:r>
        <w:t xml:space="preserve">Échéances calculées, non stockées (src/lib/subscriptionReminders.js) : station = next_billing_date, ou trial_ends_at en essai (rien pour illimite et a_payer) ; client abonné = dernier jour du dernier mois payé (station_subscription_invoices.billing_month), à défaut du mois de souscription.</w:t>
      </w:r>
    </w:p>
    <w:p>
      <w:pPr>
        <w:pStyle w:val="ListParagraph"/>
        <w:numPr>
          <w:ilvl w:val="0"/>
          <w:numId w:val="1"/>
        </w:numPr>
        <w:spacing w:after="60"/>
      </w:pPr>
      <w:r>
        <w:t xml:space="preserve">Email automatique : Edge Function send-subscription-reminders (verify_jwt = false, protégée par CRON_SECRET), job pg_cron subscription-reminders-daily à 9h05, créé en recopiant la commande de retention-reminders-daily pour ne jamais exposer le secret. Destinataire : stations.owner_email (à défaut le compte admin), ou l’email de l’abonné. Une seule fois par échéance : la ligne est réservée avant l’envoi (index unique partiel), supprimée si Resend échoue pour réessayer le lendemain.</w:t>
      </w:r>
    </w:p>
    <w:p>
      <w:pPr>
        <w:pStyle w:val="ListParagraph"/>
        <w:numPr>
          <w:ilvl w:val="0"/>
          <w:numId w:val="1"/>
        </w:numPr>
        <w:spacing w:after="60"/>
      </w:pPr>
      <w:r>
        <w:t xml:space="preserve">WhatsApp : bouton manuel (lien wa.me pré-rempli, indicatif 221 ajouté aux numéros locaux), chaque clic tracé. Table subscription_reminders (add_subscription_reminders.sql, appliquée) : le Super Admin lit tout, une station lit les relances de ses clients ; seul le canal whatsapp est inscriptible depuis l’interface.</w:t>
      </w:r>
    </w:p>
    <w:p>
      <w:pPr>
        <w:pStyle w:val="Heading2"/>
        <w:spacing w:after="140" w:before="260"/>
      </w:pPr>
      <w:r>
        <w:t xml:space="preserve">7.45 Fin de l’essai gratuit : activation par paiement (9 octobre 2026)</w:t>
      </w:r>
    </w:p>
    <w:p>
      <w:pPr>
        <w:spacing w:after="120"/>
      </w:pPr>
      <w:r>
        <w:t xml:space="preserve">Une nouvelle station choisit une offre et la paie avant d’accéder à son espace. Migration remove_station_trial.sql (appliquée le 9 octobre 2026, après le déploiement des fonctions de paiement et juste avant le site) : nouveau statut station_billing.subscription_status = a_payer, posé par handle_new_station() (sans trial_ends_at) ; station_subscription_ok() masque ces stations au public. Les essais en cours à cette date vont à leur terme.</w:t>
      </w:r>
    </w:p>
    <w:p>
      <w:pPr>
        <w:pStyle w:val="ListParagraph"/>
        <w:numPr>
          <w:ilvl w:val="0"/>
          <w:numId w:val="1"/>
        </w:numPr>
        <w:spacing w:after="60"/>
      </w:pPr>
      <w:r>
        <w:t xml:space="preserve">Écran /admin/renouveler (SubscriptionEnded.jsx) : « Activez votre station » pour a_payer, choix Starter / Pro / Station de service puis paiement Wave / Orange Money via PayDunya (kind saas). L’offre choisie à l’inscription est proposée par défaut : RPC set_pending_station_plan (avant, un UPDATE direct de station_billing était refusé en silence par le RLS et l’offre se perdait).</w:t>
      </w:r>
    </w:p>
    <w:p>
      <w:pPr>
        <w:pStyle w:val="ListParagraph"/>
        <w:numPr>
          <w:ilvl w:val="0"/>
          <w:numId w:val="1"/>
        </w:numPr>
        <w:spacing w:after="60"/>
      </w:pPr>
      <w:r>
        <w:t xml:space="preserve">Sécurité : create-platform-payment impose le prix de l’abonnement depuis la table plans (le montant écrit par la station dans station_renewal_payments n’est plus utilisé) ; finalizePayment et la confirmation manuelle du Super Admin appliquent l’offre payée (station_billing.plan).</w:t>
      </w:r>
    </w:p>
    <w:p>
      <w:pPr>
        <w:pStyle w:val="ListParagraph"/>
        <w:numPr>
          <w:ilvl w:val="0"/>
          <w:numId w:val="1"/>
        </w:numPr>
        <w:spacing w:after="60"/>
      </w:pPr>
      <w:r>
        <w:t xml:space="preserve">Libellé « En attente de paiement » / « À payer » ajouté aux vues Super Admin, groupe et Analytique (SUBSCRIPTION_STATUS_META). Une station créée à la main par le Super Admin démarre aussi a_payer : il l’active depuis Facturation. Textes publics mis à jour : page d’accueil, CGU (articles sur l’essai réécrits), conversion automobiliste → station, email de relance.</w:t>
      </w:r>
    </w:p>
    <w:p>
      <w:pPr>
        <w:pStyle w:val="Heading2"/>
        <w:spacing w:after="140" w:before="260"/>
      </w:pPr>
      <w:r>
        <w:t xml:space="preserve">7.46 Bandeau défilant de la page d’accueil (9 octobre 2026)</w:t>
      </w:r>
    </w:p>
    <w:p>
      <w:pPr>
        <w:spacing w:after="120"/>
      </w:pPr>
      <w:r>
        <w:t xml:space="preserve">Bandeau en haut du hero de index.html, masqué s’il n’y a rien à afficher, en pause au survol. Contenu (src/lib/ticker.js) : les messages du Super Admin, puis les publicités payées et actives des stations (station_ads, déjà lisibles publiquement).</w:t>
      </w:r>
    </w:p>
    <w:p>
      <w:pPr>
        <w:pStyle w:val="ListParagraph"/>
        <w:numPr>
          <w:ilvl w:val="0"/>
          <w:numId w:val="1"/>
        </w:numPr>
        <w:spacing w:after="60"/>
      </w:pPr>
      <w:r>
        <w:t xml:space="preserve">Table site_ticker_messages (add_site_ticker.sql, appliquée) : message (200 caractères max), station mise en avant, lien (https:// ou chemin interne), dates de début et de fin, actif. Lecture anonyme limitée aux messages actifs et dans leurs dates ; écriture Super Admin seulement. Gestion : /superadmin/bandeau (« Bandeau d’accueil »), avec aperçu de ce qui est en ligne.</w:t>
      </w:r>
    </w:p>
    <w:p>
      <w:pPr>
        <w:pStyle w:val="ListParagraph"/>
        <w:numPr>
          <w:ilvl w:val="0"/>
          <w:numId w:val="1"/>
        </w:numPr>
        <w:spacing w:after="60"/>
      </w:pPr>
      <w:r>
        <w:t xml:space="preserve">Rendu par textContent (aucun HTML injecté depuis un message de station), animation reprise du carrousel des stations (keyframes stations-scroll, contenu doublé), fond opaque plutôt qu’un flou (coût sur Safari), copie du contenu masquée aux lecteurs d’écran et au clavier. Vérifié en local sur ordinateur et mobile.</w:t>
      </w:r>
    </w:p>
    <w:p>
      <w:pPr>
        <w:pStyle w:val="Heading2"/>
        <w:spacing w:after="140" w:before="260"/>
      </w:pPr>
      <w:r>
        <w:t xml:space="preserve">7.47 Boutique : stock et ventes sur place (16 octobre 2026)</w:t>
      </w:r>
    </w:p>
    <w:p>
      <w:pPr>
        <w:spacing w:after="120"/>
      </w:pPr>
      <w:r>
        <w:t xml:space="preserve">Stock par produit, entrées de stock et vente sur place saisie par la station dans Boutique. Migration add_shop_stock_sales.sql (exécutée).</w:t>
      </w:r>
    </w:p>
    <w:p>
      <w:pPr>
        <w:pStyle w:val="ListParagraph"/>
        <w:numPr>
          <w:ilvl w:val="0"/>
          <w:numId w:val="1"/>
        </w:numPr>
        <w:spacing w:after="60"/>
      </w:pPr>
      <w:r>
        <w:t xml:space="preserve">Vente sur place : fonction shop_record_sale (verrou FOR UPDATE, survente refusée ; Espèces, Wave, Orange Money, Carte) qui baisse le stock et crée une ligne transactions au service « Boutique » — la vente apparaît donc dans Comptabilité, Transactions, Analytique et Bilan. Annulation : retour en stock et suppression de la transaction ; la vente reste dans shop_sales, marquée annulée.</w:t>
      </w:r>
    </w:p>
    <w:p>
      <w:pPr>
        <w:pStyle w:val="ListParagraph"/>
        <w:numPr>
          <w:ilvl w:val="0"/>
          <w:numId w:val="1"/>
        </w:numPr>
        <w:spacing w:after="60"/>
      </w:pPr>
      <w:r>
        <w:t xml:space="preserve">Journal shop_stock_movements alimenté par un trigger sur shop_products.stock (motif passé par set_config('app.shop_stock_reason'), appel service_role = vente en ligne, sinon correction) : les ventes en ligne de finalizePayment.ts sont journalisées sans modifier l’Edge Function.</w:t>
      </w:r>
    </w:p>
    <w:p>
      <w:pPr>
        <w:pStyle w:val="Heading2"/>
        <w:spacing w:after="140" w:before="260"/>
      </w:pPr>
      <w:r>
        <w:t xml:space="preserve">7.48 Menu latéral en sections : espace station puis Super Admin (16 et 17 octobre 2026)</w:t>
      </w:r>
    </w:p>
    <w:p>
      <w:pPr>
        <w:spacing w:after="120"/>
      </w:pPr>
      <w:r>
        <w:t xml:space="preserve">AppShell.jsx (cadre commun des espaces connectés) affiche des sections titrées, des pastilles de comptage (badges : nombre, couleur, libellé), une carte du compte connecté et, sur ordinateur, un menu repliable en icônes avec info-bulles (choix mémorisé : ccg_sidebar_collapsed).</w:t>
      </w:r>
    </w:p>
    <w:p>
      <w:pPr>
        <w:pStyle w:val="ListParagraph"/>
        <w:numPr>
          <w:ilvl w:val="0"/>
          <w:numId w:val="1"/>
        </w:numPr>
        <w:spacing w:after="60"/>
      </w:pPr>
      <w:r>
        <w:t xml:space="preserve">Station (16 octobre, catalogue lib/adminNav.js) : Exploitation, Ventes &amp; finances, Clients, Administration ; pastilles véhicules en attente, commandes boutique à traiter et alertes de stock ; offre et statut d’abonnement sous le nom de la station.</w:t>
      </w:r>
    </w:p>
    <w:p>
      <w:pPr>
        <w:pStyle w:val="ListParagraph"/>
        <w:numPr>
          <w:ilvl w:val="0"/>
          <w:numId w:val="1"/>
        </w:numPr>
        <w:spacing w:after="60"/>
      </w:pPr>
      <w:r>
        <w:t xml:space="preserve">Super Admin (17 octobre, SuperAdminLayout.jsx) : Pilotage, Réseau, Automobilistes, Marketing, Finances, Administration ; pastilles paiements Super User et publicités à valider, stations à payer et à relancer, messages Contact à traiter (Affiliés) ; carte du compte (profiles.full_name).</w:t>
      </w:r>
    </w:p>
    <w:p>
      <w:pPr>
        <w:pStyle w:val="Heading2"/>
        <w:spacing w:after="140" w:before="260"/>
      </w:pPr>
      <w:r>
        <w:t xml:space="preserve">7.49 Boutique dans Comptabilité et Analytique (16 octobre 2026)</w:t>
      </w:r>
    </w:p>
    <w:p>
      <w:pPr>
        <w:spacing w:after="120"/>
      </w:pPr>
      <w:r>
        <w:t xml:space="preserve">src/lib/shopStats.js est la source unique : les commandes boutique payées en ligne (shop_orders non annulées, absentes de transactions) sont ajoutées côté navigateur au format transaction, d’où des revenus globaux puis séparés lavage / boutique et un top 5 des produits (components/ui/TopProducts.jsx). Le Bilan et les tableaux de bord du groupe restent sur transactions seules.</w:t>
      </w:r>
    </w:p>
    <w:p>
      <w:pPr>
        <w:pStyle w:val="Heading2"/>
        <w:spacing w:after="140" w:before="260"/>
      </w:pPr>
      <w:r>
        <w:t xml:space="preserve">7.50 Provenance des visiteurs et rubrique Affiliés (17 octobre 2026)</w:t>
      </w:r>
    </w:p>
    <w:p>
      <w:pPr>
        <w:spacing w:after="120"/>
      </w:pPr>
      <w:r>
        <w:t xml:space="preserve">Super Admin &gt; Affiliés (/superadmin/affilies, pages/SuperAdmin/Affiliates.jsx) : d’où viennent les visiteurs du site public (Facebook, Instagram, TikTok, WhatsApp, LinkedIn, YouTube, X, Snapchat, Telegram, Google, autres moteurs, autres sites, accès direct) et ce qu’ils font ensuite : message du formulaire Contact, clic WhatsApp ou appel vers la plateforme, inscription (station, automobiliste, groupe). Migration add_affiliates_tracking.sql (appliquée le 17 octobre 2026, testée en transaction annulée : 22 contrôles).</w:t>
      </w:r>
    </w:p>
    <w:p>
      <w:pPr>
        <w:pStyle w:val="ListParagraph"/>
        <w:numPr>
          <w:ilvl w:val="0"/>
          <w:numId w:val="1"/>
        </w:numPr>
        <w:spacing w:after="60"/>
      </w:pPr>
      <w:r>
        <w:t xml:space="preserve">Reconnaissance (src/lib/trafficSources.js, sans dépendance) : paramètre utm_source ou src d’un lien de suivi, sinon site précédent (document.referrer), sinon navigateur intégré d’une appli (Instagram, Facebook, TikTok…), sinon identifiant de clic (fbclid, gclid, ttclid…). ?ref=&lt;code&gt; rattache la visite à un affilié ; s’il n’y a pas d’autre indice, la visite prend le réseau de l’affilié.</w:t>
      </w:r>
    </w:p>
    <w:p>
      <w:pPr>
        <w:pStyle w:val="ListParagraph"/>
        <w:numPr>
          <w:ilvl w:val="0"/>
          <w:numId w:val="1"/>
        </w:numPr>
        <w:spacing w:after="60"/>
      </w:pPr>
      <w:r>
        <w:t xml:space="preserve">Collecte (src/visit-tracker.js, chargé par contact-modal.js, login.html et sur-mesure.html ; lib/attribution.js) : une visite par onglet et les clics wa.me / tel: vers le numéro de la plateforme ; jamais pour un compte connecté ni sur les pages de l’application. Les contacts et inscriptions reprennent la dernière provenance non directe, gardée 30 jours dans le navigateur seulement si le visiteur a accepté la mesure d’audience (sinon le temps de l’onglet).</w:t>
      </w:r>
    </w:p>
    <w:p>
      <w:pPr>
        <w:pStyle w:val="ListParagraph"/>
        <w:numPr>
          <w:ilvl w:val="0"/>
          <w:numId w:val="1"/>
        </w:numPr>
        <w:spacing w:after="60"/>
      </w:pPr>
      <w:r>
        <w:t xml:space="preserve">Messages : l’Edge Function send-contact-message (redéployée) enregistre la provenance dans contact_messages (source, medium, campaign, ref, affiliate_id, referrer_host, landing_path) et l’indique dans l’email reçu. Inscriptions : lib/accounts.js appelle record_site_event() une fois le compte créé.</w:t>
      </w:r>
    </w:p>
    <w:p>
      <w:pPr>
        <w:pStyle w:val="ListParagraph"/>
        <w:numPr>
          <w:ilvl w:val="0"/>
          <w:numId w:val="1"/>
        </w:numPr>
        <w:spacing w:after="60"/>
      </w:pPr>
      <w:r>
        <w:t xml:space="preserve">Page : onglets Provenance (site_traffic_stats() : visites, messages, WhatsApp, appels, inscriptions et taux de contact par source, courbe, appareils, campagnes), Messages (formulaire Contact, recherche, filtres, « Marquer traité ») et Liens &amp; affiliés (générateur de liens utm, affiliés avec code, réseau principal, activation et statistiques). Politique de confidentialité (section 08) complétée.</w:t>
      </w:r>
    </w:p>
    <w:p>
      <w:pPr>
        <w:pStyle w:val="Heading2"/>
        <w:spacing w:after="140" w:before="260"/>
      </w:pPr>
      <w:r>
        <w:t xml:space="preserve">7.51 Accès gratuit offert par le Super Admin (17 octobre 2026)</w:t>
      </w:r>
    </w:p>
    <w:p>
      <w:pPr>
        <w:spacing w:after="120"/>
      </w:pPr>
      <w:r>
        <w:t xml:space="preserve">Facturation &gt; « Offrir un accès gratuit » (icône cadeau) : 1 semaine, 10 jours ou 1 mois, avec l’effet expliqué avant validation (freeAccessPlan, lib/stationTrial.js).</w:t>
      </w:r>
    </w:p>
    <w:p>
      <w:pPr>
        <w:pStyle w:val="ListParagraph"/>
        <w:numPr>
          <w:ilvl w:val="0"/>
          <w:numId w:val="1"/>
        </w:numPr>
        <w:spacing w:after="60"/>
      </w:pPr>
      <w:r>
        <w:t xml:space="preserve">Station déjà payée (a_jour, échéance à venir) : next_billing_date recule d’autant. Sinon (à payer, impayée, essai terminé) : statut essai jusqu’à la date offerte ; un accès en cours est prolongé depuis sa fin.</w:t>
      </w:r>
    </w:p>
    <w:p>
      <w:pPr>
        <w:pStyle w:val="ListParagraph"/>
        <w:numPr>
          <w:ilvl w:val="0"/>
          <w:numId w:val="1"/>
        </w:numPr>
        <w:spacing w:after="60"/>
      </w:pPr>
      <w:r>
        <w:t xml:space="preserve">station_billing.trial_started_at marque un accès offert et date son début : libellé « Accès gratuit offert » et barre de progression juste (bannière de la station, Facturation, Stations). À la fin, mêmes règles qu’un essai : écran de paiement (isSubscriptionEnded) et retrait de l’annuaire public (station_subscription_ok).</w:t>
      </w:r>
    </w:p>
    <w:p>
      <w:pPr>
        <w:pStyle w:val="Heading2"/>
        <w:spacing w:after="140" w:before="260"/>
      </w:pPr>
      <w:r>
        <w:t xml:space="preserve">7.52 Affiliés enrichis, influenceurs et cashout, Facebook Ads (18 octobre 2026)</w:t>
      </w:r>
    </w:p>
    <w:p>
      <w:pPr>
        <w:spacing w:after="120"/>
      </w:pPr>
      <w:r>
        <w:t xml:space="preserve">Trois vues de plus dans Super Admin &gt; Affiliés (section Marketing), toutes alimentées par marketing_stats() (Super Admin seulement). Conversion = station inscrite via le site (événement inscription_station, rattaché à la station par stations.created_by / profiles.station_id) qui a payé au moins une fois la plateforme : abonnement station_renewal_payments CONFIRMED ou publicité station_ads payée (confirmed_at, statut ACTIVE ou EXPIRED). Migration add_influencers_facebook_ads.sql (idempotente, testée en transaction annulée sur la base réelle : rejouée deux fois, chiffres, commissions et journal d’audit vérifiés).</w:t>
      </w:r>
    </w:p>
    <w:p>
      <w:pPr>
        <w:pStyle w:val="ListParagraph"/>
        <w:numPr>
          <w:ilvl w:val="0"/>
          <w:numId w:val="1"/>
        </w:numPr>
        <w:spacing w:after="60"/>
      </w:pPr>
      <w:r>
        <w:t xml:space="preserve">Visiteurs uniques : site_events.visitor_id, identifiant tiré au hasard dans le navigateur (lib/attribution.js, clé ccg_visitor_id) et gardé seulement avec l’accord de mesure d’audience (bannière cookies, confidentialite.html mis à jour) ; à défaut, l’empreinte du jour (même visiteur compté une fois par jour), puis l’onglet. record_site_event() prend un 10e paramètre p_visitor (l’ancienne signature est supprimée) ; le site réessaie sans p_visitor si la base n’est pas encore à jour.</w:t>
      </w:r>
    </w:p>
    <w:p>
      <w:pPr>
        <w:pStyle w:val="ListParagraph"/>
        <w:numPr>
          <w:ilvl w:val="0"/>
          <w:numId w:val="1"/>
        </w:numPr>
        <w:spacing w:after="60"/>
      </w:pPr>
      <w:r>
        <w:t xml:space="preserve">Liens &amp; affiliés : totaux en haut (affiliés, clics, uniques, stations inscrites, payantes, conversion moyenne) et, par affilié, clics, uniques, contacts, inscrites, payantes, gratuites, conversion (payantes / inscrites et inscrites / uniques), dernier clic. Sur la période choisie (dernier clic : depuis le début).</w:t>
      </w:r>
    </w:p>
    <w:p>
      <w:pPr>
        <w:pStyle w:val="ListParagraph"/>
        <w:numPr>
          <w:ilvl w:val="0"/>
          <w:numId w:val="1"/>
        </w:numPr>
        <w:spacing w:after="60"/>
      </w:pPr>
      <w:r>
        <w:t xml:space="preserve">Influenceurs &amp; cashout (components/marketing/InfluencersPanel.jsx) : affiliates.is_influencer + commission_rate (20 % par défaut). L’influenceur gagne ce taux sur chaque paiement confirmé des stations inscrites par son lien pendant les 3 mois qui suivent le 1er paiement de la station (le taux actuel s’applique à tous ses paiements). Par influenceur : total gagné, déjà versé, reste à payer, détail par station, historique ; « Enregistrer un versement » (affiliate_payouts : montant, Wave / Orange Money / Espèces / Autre, référence, date, note) et « Copier le récapitulatif » pour WhatsApp. Versements, suppressions et changements de taux inscrits dans audit_log par déclencheurs. Pas d’accès influenceur.</w:t>
      </w:r>
    </w:p>
    <w:p>
      <w:pPr>
        <w:pStyle w:val="ListParagraph"/>
        <w:numPr>
          <w:ilvl w:val="0"/>
          <w:numId w:val="1"/>
        </w:numPr>
        <w:spacing w:after="60"/>
      </w:pPr>
      <w:r>
        <w:t xml:space="preserve">Facebook Ads (components/marketing/FacebookAdsPanel.jsx) : dépenses saisies par campagne (ad_spends : campagne, régie, montant, période, note), rapprochées du utm_campaign des liens de suivi sans tenir compte des majuscules ni des espaces (campaign_key()). Par campagne, depuis le début : dépense, visites, uniques, inscrites, payantes, revenus générés, coût par visite / inscrite / payante, retour sur dépense (revenus / dépense).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ListParagraph"/>
        <w:numPr>
          <w:ilvl w:val="0"/>
          <w:numId w:val="1"/>
        </w:numPr>
        <w:spacing w:after="60"/>
      </w:pPr>
      <w:r>
        <w:t xml:space="preserve">Depuis le 17 octobre 2026 : mesure de provenance propre au site, en plus de GA4 — liens de suivi utm à partager sur chaque réseau, liens d’affiliés (?ref=) et statistiques dans Super Admin &gt; Affiliés (voir 7.50).</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xlsx (≈280 Ko) et pptxgenjs (≈275 Ko, export PowerPoint du Bilan)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depuis le 17 octobre 2026, les messages se lisent dans Super Admin &gt; Affiliés &gt; Messages (7.50) ; la réponse part de la messagerie de l’ordinateur (bouton « Répondre »), pas de l’application.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pStyle w:val="ListParagraph"/>
        <w:numPr>
          <w:ilvl w:val="0"/>
          <w:numId w:val="1"/>
        </w:numPr>
        <w:spacing w:after="60"/>
      </w:pPr>
      <w:r>
        <w:t xml:space="preserve">Provenance (7.50) : WhatsApp et TikTok ne transmettent souvent pas l’adresse d’origine ; sans lien de suivi, ces visites comptent en « Accès direct ». La limite de débit freine les faux appels sans les empêcher tout à fait (la fonction est publique). Les messages reçus avant le 17 octobre 2026 n’ont pas de provenance.</w:t>
      </w:r>
    </w:p>
    <w:p>
      <w:pPr>
        <w:pStyle w:val="ListParagraph"/>
        <w:numPr>
          <w:ilvl w:val="0"/>
          <w:numId w:val="1"/>
        </w:numPr>
        <w:spacing w:after="60"/>
      </w:pPr>
      <w:r>
        <w:t xml:space="preserve">Accès gratuit offert (7.51) : aucune notification n’est envoyée à la station ; la relance J-5 habituelle s’applique avant la fin.</w:t>
      </w:r>
    </w:p>
    <w:p>
      <w:pPr>
        <w:spacing w:after="120"/>
      </w:pPr>
      <w:r>
        <w:t xml:space="preserve">Document tenu à jour à partir de l’état du code — dernière mise à jour le 17 octobre 2026 (stock et ventes sur place de la boutique, menu latéral en sections, provenance des visiteurs et rubrique Affiliés, accès gratuit offert, Bilan exporté en PowerPoint)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