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7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ou sur place, gère son garage de véhicules (2 gratuits, 5 avec l'offre Plus, illimité avec Super User), et peut souscrire un abonnement fidélité prépayé auprès d'une station.</w:t>
      </w:r>
    </w:p>
    <w:p>
      <w:pPr>
        <w:pStyle w:val="ListParagraph"/>
        <w:numPr>
          <w:ilvl w:val="0"/>
          <w:numId w:val="1"/>
        </w:numPr>
        <w:spacing w:after="60"/>
      </w:pPr>
      <w:r>
        <w:t xml:space="preserve">Station (admin) : gère sa file d'attente, ses laveurs et leur pointage, sa tarification, ses promotions, sa comptabilité, ses abonnements clients fidélité, et ses campagnes publicitaires payantes.</w:t>
      </w:r>
    </w:p>
    <w:p>
      <w:pPr>
        <w:pStyle w:val="ListParagraph"/>
        <w:numPr>
          <w:ilvl w:val="0"/>
          <w:numId w:val="1"/>
        </w:numPr>
        <w:spacing w:after="60"/>
      </w:pPr>
      <w:r>
        <w:t xml:space="preserve">Super Admin (opérateur de la plateforme) : supervise l'ensemble du réseau de stations, la facturation SaaS, les abonnements Super User et les publicités payantes, les litiges.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w:t>
      </w:r>
    </w:p>
    <w:p>
      <w:pPr>
        <w:pStyle w:val="Heading1"/>
        <w:spacing w:after="160" w:before="360"/>
      </w:pPr>
      <w:r>
        <w:t xml:space="preserve">2. Stack technique</w:t>
      </w:r>
    </w:p>
    <w:p>
      <w:pPr>
        <w:pStyle w:val="Heading2"/>
        <w:spacing w:after="120" w:before="24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accept-invitation.html),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(aucune librairie de charts externe type Recharts/Chart.js).</w:t>
      </w:r>
    </w:p>
    <w:p>
      <w:pPr>
        <w:pStyle w:val="ListParagraph"/>
        <w:numPr>
          <w:ilvl w:val="0"/>
          <w:numId w:val="1"/>
        </w:numPr>
        <w:spacing w:after="60"/>
      </w:pPr>
      <w:r>
        <w:t xml:space="preserve">Export Excel : xlsx (SheetJS), utilisé pour l'export du planning des laveurs et, depuis peu, l'export de l'historique des transactions.</w:t>
      </w:r>
    </w:p>
    <w:p>
      <w:pPr>
        <w:pStyle w:val="Heading2"/>
        <w:spacing w:after="120" w:before="24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et images de publicité sont stockés en base64 (Data URL) directement dans les colonnes texte, plafonnés à 1,5 Mo.</w:t>
      </w:r>
    </w:p>
    <w:p>
      <w:pPr>
        <w:pStyle w:val="ListParagraph"/>
        <w:numPr>
          <w:ilvl w:val="0"/>
          <w:numId w:val="1"/>
        </w:numPr>
        <w:spacing w:after="60"/>
      </w:pPr>
      <w:r>
        <w:t xml:space="preserve">Edge Functions (Deno) : uniquement des fonctions ponctuelles — emails transactionnels via Resend (send-welcome-email, send-retention-reminders) et, depuis le 7 septembre 2026, l'invitation de collaborateurs (invite-station-member, accept-station-invite — voir section 7.10). Pas de cron applicatif : les statuts qui "expirent" (abonnement Plus/Super User, publicité, bandeau promo, essai station) sont recalculés à la volée à chaque lecture plutôt que mis à jour en base par un job.</w:t>
      </w:r>
    </w:p>
    <w:p>
      <w:pPr>
        <w:pStyle w:val="Heading2"/>
        <w:spacing w:after="120" w:before="240"/>
      </w:pPr>
      <w:r>
        <w:t xml:space="preserve">2.3 Paiement</w:t>
      </w:r>
    </w:p>
    <w:p>
      <w:pPr>
        <w:spacing w:after="120"/>
      </w:pPr>
      <w:r>
        <w:t xml:space="preserve">Il n'existe aucune passerelle de paiement réelle intégrée (pas d'API Wave/Orange Money). Trois mécanismes coexistent désormais :</w:t>
      </w:r>
    </w:p>
    <w:p>
      <w:pPr>
        <w:pStyle w:val="ListParagraph"/>
        <w:numPr>
          <w:ilvl w:val="0"/>
          <w:numId w:val="1"/>
        </w:numPr>
        <w:spacing w:after="60"/>
      </w:pPr>
      <w:r>
        <w:t xml:space="preserve">Paiement "réservation" (file d'attente) : simulé côté client (délai artificiel puis confirmation), à but de démonstration du parcours — ou réglé via le solde d'un abonnement fidélité (voir ci-dessous).</w:t>
      </w:r>
    </w:p>
    <w:p>
      <w:pPr>
        <w:pStyle w:val="ListParagraph"/>
        <w:numPr>
          <w:ilvl w:val="0"/>
          <w:numId w:val="1"/>
        </w:numPr>
        <w:spacing w:after="60"/>
      </w:pPr>
      <w:r>
        <w:t xml:space="preserve">Paiement "abonnement" (Plus/Super User automobiliste, Publicité station) : le client/la station saisit un numéro et clique payer, ce qui crée une ligne en base au statut PENDING. Seul le Super Admin peut la faire passer à ACTIVE, une fois l'argent réellement reçu par un autre canal (Wave/OM manuel). Aucune activation automatique n'existe. Côté automobiliste, deux offres payantes coexistent depuis le 22 août 2026 (Plus et Super User — voir section 6.3). La publicité station propose 3 offres de durée (3 jours / 1 semaine / 1 mois, prix croissants) au lieu d'une offre unique.</w:t>
      </w:r>
    </w:p>
    <w:p>
      <w:pPr>
        <w:pStyle w:val="ListParagraph"/>
        <w:numPr>
          <w:ilvl w:val="0"/>
          <w:numId w:val="1"/>
        </w:numPr>
        <w:spacing w:after="60"/>
      </w:pPr>
      <w:r>
        <w:t xml:space="preserve">Paiement "abonnement fidélité client" (station_client_subscriptions) : une station crée un abonnement prépayé pour un client régulier (nom + téléphone). Le solde se déduit automatiquement lorsqu'un lavage est réglé avec la méthode "Abonnement" — géré entièrement côté base de données par un trigger Postgres (voir section 7.5), pas par le code applicatif.</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Espace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Préfixe de route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Layout</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Provider d'état</w:t>
            </w:r>
          </w:p>
        </w:tc>
      </w:tr>
      <w:tr>
        <w:tc>
          <w:tcPr>
            <w:tcW w:type="pct" w:w="25%"/>
            <w:tcBorders>
              <w:top w:val="single" w:color="auto" w:sz="4"/>
              <w:left w:val="single" w:color="auto" w:sz="4"/>
              <w:bottom w:val="single" w:color="auto" w:sz="4"/>
              <w:right w:val="single" w:color="auto" w:sz="4"/>
            </w:tcBorders>
          </w:tcPr>
          <w:p>
            <w:r>
              <w:t xml:space="preserve">Public / vitrine</w:t>
            </w:r>
          </w:p>
        </w:tc>
        <w:tc>
          <w:tcPr>
            <w:tcW w:type="pct" w:w="25%"/>
            <w:tcBorders>
              <w:top w:val="single" w:color="auto" w:sz="4"/>
              <w:left w:val="single" w:color="auto" w:sz="4"/>
              <w:bottom w:val="single" w:color="auto" w:sz="4"/>
              <w:right w:val="single" w:color="auto" w:sz="4"/>
            </w:tcBorders>
          </w:tcPr>
          <w:p>
            <w:r>
              <w:t xml:space="preserve">/ , /stations</w:t>
            </w:r>
          </w:p>
        </w:tc>
        <w:tc>
          <w:tcPr>
            <w:tcW w:type="pct" w:w="25%"/>
            <w:tcBorders>
              <w:top w:val="single" w:color="auto" w:sz="4"/>
              <w:left w:val="single" w:color="auto" w:sz="4"/>
              <w:bottom w:val="single" w:color="auto" w:sz="4"/>
              <w:right w:val="single" w:color="auto" w:sz="4"/>
            </w:tcBorders>
          </w:tcPr>
          <w:p>
            <w:r>
              <w:t xml:space="preserve">MainLayout</w:t>
            </w:r>
          </w:p>
        </w:tc>
        <w:tc>
          <w:tcPr>
            <w:tcW w:type="pct" w:w="25%"/>
            <w:tcBorders>
              <w:top w:val="single" w:color="auto" w:sz="4"/>
              <w:left w:val="single" w:color="auto" w:sz="4"/>
              <w:bottom w:val="single" w:color="auto" w:sz="4"/>
              <w:right w:val="single" w:color="auto" w:sz="4"/>
            </w:tcBorders>
          </w:tcPr>
          <w:p>
            <w:r>
              <w:t xml:space="preserve">—</w:t>
            </w:r>
          </w:p>
        </w:tc>
      </w:tr>
      <w:tr>
        <w:tc>
          <w:tcPr>
            <w:tcW w:type="pct" w:w="25%"/>
            <w:tcBorders>
              <w:top w:val="single" w:color="auto" w:sz="4"/>
              <w:left w:val="single" w:color="auto" w:sz="4"/>
              <w:bottom w:val="single" w:color="auto" w:sz="4"/>
              <w:right w:val="single" w:color="auto" w:sz="4"/>
            </w:tcBorders>
          </w:tcPr>
          <w:p>
            <w:r>
              <w:t xml:space="preserve">Automobiliste</w:t>
            </w:r>
          </w:p>
        </w:tc>
        <w:tc>
          <w:tcPr>
            <w:tcW w:type="pct" w:w="25%"/>
            <w:tcBorders>
              <w:top w:val="single" w:color="auto" w:sz="4"/>
              <w:left w:val="single" w:color="auto" w:sz="4"/>
              <w:bottom w:val="single" w:color="auto" w:sz="4"/>
              <w:right w:val="single" w:color="auto" w:sz="4"/>
            </w:tcBorders>
          </w:tcPr>
          <w:p>
            <w:r>
              <w:t xml:space="preserve">/dashboard/*</w:t>
            </w:r>
          </w:p>
        </w:tc>
        <w:tc>
          <w:tcPr>
            <w:tcW w:type="pct" w:w="25%"/>
            <w:tcBorders>
              <w:top w:val="single" w:color="auto" w:sz="4"/>
              <w:left w:val="single" w:color="auto" w:sz="4"/>
              <w:bottom w:val="single" w:color="auto" w:sz="4"/>
              <w:right w:val="single" w:color="auto" w:sz="4"/>
            </w:tcBorders>
          </w:tcPr>
          <w:p>
            <w:r>
              <w:t xml:space="preserve">ClientLayout</w:t>
            </w:r>
          </w:p>
        </w:tc>
        <w:tc>
          <w:tcPr>
            <w:tcW w:type="pct" w:w="25%"/>
            <w:tcBorders>
              <w:top w:val="single" w:color="auto" w:sz="4"/>
              <w:left w:val="single" w:color="auto" w:sz="4"/>
              <w:bottom w:val="single" w:color="auto" w:sz="4"/>
              <w:right w:val="single" w:color="auto" w:sz="4"/>
            </w:tcBorders>
          </w:tcPr>
          <w:p>
            <w:r>
              <w:t xml:space="preserve">ClientAccountProvider</w:t>
            </w:r>
          </w:p>
        </w:tc>
      </w:tr>
      <w:tr>
        <w:tc>
          <w:tcPr>
            <w:tcW w:type="pct" w:w="25%"/>
            <w:tcBorders>
              <w:top w:val="single" w:color="auto" w:sz="4"/>
              <w:left w:val="single" w:color="auto" w:sz="4"/>
              <w:bottom w:val="single" w:color="auto" w:sz="4"/>
              <w:right w:val="single" w:color="auto" w:sz="4"/>
            </w:tcBorders>
          </w:tcPr>
          <w:p>
            <w:r>
              <w:t xml:space="preserve">Station</w:t>
            </w:r>
          </w:p>
        </w:tc>
        <w:tc>
          <w:tcPr>
            <w:tcW w:type="pct" w:w="25%"/>
            <w:tcBorders>
              <w:top w:val="single" w:color="auto" w:sz="4"/>
              <w:left w:val="single" w:color="auto" w:sz="4"/>
              <w:bottom w:val="single" w:color="auto" w:sz="4"/>
              <w:right w:val="single" w:color="auto" w:sz="4"/>
            </w:tcBorders>
          </w:tcPr>
          <w:p>
            <w:r>
              <w:t xml:space="preserve">/admin/*</w:t>
            </w:r>
          </w:p>
        </w:tc>
        <w:tc>
          <w:tcPr>
            <w:tcW w:type="pct" w:w="25%"/>
            <w:tcBorders>
              <w:top w:val="single" w:color="auto" w:sz="4"/>
              <w:left w:val="single" w:color="auto" w:sz="4"/>
              <w:bottom w:val="single" w:color="auto" w:sz="4"/>
              <w:right w:val="single" w:color="auto" w:sz="4"/>
            </w:tcBorders>
          </w:tcPr>
          <w:p>
            <w:r>
              <w:t xml:space="preserve">AdminLayout</w:t>
            </w:r>
          </w:p>
        </w:tc>
        <w:tc>
          <w:tcPr>
            <w:tcW w:type="pct" w:w="25%"/>
            <w:tcBorders>
              <w:top w:val="single" w:color="auto" w:sz="4"/>
              <w:left w:val="single" w:color="auto" w:sz="4"/>
              <w:bottom w:val="single" w:color="auto" w:sz="4"/>
              <w:right w:val="single" w:color="auto" w:sz="4"/>
            </w:tcBorders>
          </w:tcPr>
          <w:p>
            <w:r>
              <w:t xml:space="preserve">AppStateProvider</w:t>
            </w:r>
          </w:p>
        </w:tc>
      </w:tr>
      <w:tr>
        <w:tc>
          <w:tcPr>
            <w:tcW w:type="pct" w:w="25%"/>
            <w:tcBorders>
              <w:top w:val="single" w:color="auto" w:sz="4"/>
              <w:left w:val="single" w:color="auto" w:sz="4"/>
              <w:bottom w:val="single" w:color="auto" w:sz="4"/>
              <w:right w:val="single" w:color="auto" w:sz="4"/>
            </w:tcBorders>
          </w:tcPr>
          <w:p>
            <w:r>
              <w:t xml:space="preserve">Super Admin</w:t>
            </w:r>
          </w:p>
        </w:tc>
        <w:tc>
          <w:tcPr>
            <w:tcW w:type="pct" w:w="25%"/>
            <w:tcBorders>
              <w:top w:val="single" w:color="auto" w:sz="4"/>
              <w:left w:val="single" w:color="auto" w:sz="4"/>
              <w:bottom w:val="single" w:color="auto" w:sz="4"/>
              <w:right w:val="single" w:color="auto" w:sz="4"/>
            </w:tcBorders>
          </w:tcPr>
          <w:p>
            <w:r>
              <w:t xml:space="preserve">/superadmin/*</w:t>
            </w:r>
          </w:p>
        </w:tc>
        <w:tc>
          <w:tcPr>
            <w:tcW w:type="pct" w:w="25%"/>
            <w:tcBorders>
              <w:top w:val="single" w:color="auto" w:sz="4"/>
              <w:left w:val="single" w:color="auto" w:sz="4"/>
              <w:bottom w:val="single" w:color="auto" w:sz="4"/>
              <w:right w:val="single" w:color="auto" w:sz="4"/>
            </w:tcBorders>
          </w:tcPr>
          <w:p>
            <w:r>
              <w:t xml:space="preserve">SuperAdminLayout</w:t>
            </w:r>
          </w:p>
        </w:tc>
        <w:tc>
          <w:tcPr>
            <w:tcW w:type="pct" w:w="25%"/>
            <w:tcBorders>
              <w:top w:val="single" w:color="auto" w:sz="4"/>
              <w:left w:val="single" w:color="auto" w:sz="4"/>
              <w:bottom w:val="single" w:color="auto" w:sz="4"/>
              <w:right w:val="single" w:color="auto" w:sz="4"/>
            </w:tcBorders>
          </w:tcPr>
          <w:p>
            <w:r>
              <w:t xml:space="preserve">SuperAdminStateProvider</w:t>
            </w:r>
          </w:p>
        </w:tc>
      </w:tr>
    </w:tbl>
    <w:p>
      <w:pPr>
        <w:spacing w:after="0"/>
      </w:pPr>
    </w:p>
    <w:p>
      <w:pPr>
        <w:spacing w:after="120"/>
      </w:pPr>
      <w: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20"/>
      </w:pPr>
      <w: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2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20"/>
      </w:pPr>
      <w:r>
        <w:t xml:space="preserve">Pages statiques additionnelles (public/) : 404.html, merci.html, confidentialite.html et conditions-generales.html sont de VRAIES pages servies en production. Depuis le 1 septembre 2026, ce sont des points d'entrée Vite à part entière (Tailwind compilé, assets hachés) et non plus des fichiers copiés tels quels ; seuls robots.txt, sitemap.xml, manifest.webmanifest et les médias restent servis à l'identique depuis public/.</w:t>
      </w:r>
    </w:p>
    <w:p>
      <w:pPr>
        <w:pStyle w:val="Heading1"/>
        <w:spacing w:after="160" w:before="360"/>
      </w:pPr>
      <w:r>
        <w:t xml:space="preserve">4. Gestion d'état (Context Providers)</w:t>
      </w:r>
    </w:p>
    <w:p>
      <w:pPr>
        <w:pStyle w:val="Heading2"/>
        <w:spacing w:after="120" w:before="240"/>
      </w:pPr>
      <w:r>
        <w:t xml:space="preserve">4.1 useAppState.jsx — données d'UNE station</w:t>
      </w:r>
    </w:p>
    <w:p>
      <w:pPr>
        <w:spacing w:after="120"/>
      </w:pPr>
      <w:r>
        <w:t xml:space="preserve">Isole entièrement les données de la station actuellement connectée (ou impersonnée).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et essai gratuit en cours, avec sa date de fin (station_billing, trial_ends_at)</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Heading2"/>
        <w:spacing w:after="120" w:before="24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 chaque ligne portant désormais sa propre durée (duration_days) fixée au moment du paiement</w:t>
      </w:r>
    </w:p>
    <w:p>
      <w:pPr>
        <w:pStyle w:val="ListParagraph"/>
        <w:numPr>
          <w:ilvl w:val="0"/>
          <w:numId w:val="1"/>
        </w:numPr>
        <w:spacing w:after="60"/>
      </w:pPr>
      <w:r>
        <w:t xml:space="preserve">Plans tarifaires SaaS, litiges, journal d'audit (plans, disputes, audit_log)</w:t>
      </w:r>
    </w:p>
    <w:p>
      <w:pPr>
        <w:pStyle w:val="Heading2"/>
        <w:spacing w:after="120" w:before="24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20" w:before="24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24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auto" w:sz="4"/>
              <w:left w:val="single" w:color="auto" w:sz="4"/>
              <w:bottom w:val="single" w:color="auto" w:sz="4"/>
              <w:right w:val="single" w:color="auto" w:sz="4"/>
            </w:tcBorders>
            <w:shd w:fill="1F3864" w:color="1F3864" w:val="solid"/>
          </w:tcPr>
          <w:p>
            <w:r>
              <w:rPr>
                <w:b/>
                <w:bCs/>
                <w:color w:val="FFFFFF"/>
              </w:rPr>
              <w:t xml:space="preserve">Domaine</w:t>
            </w:r>
          </w:p>
        </w:tc>
        <w:tc>
          <w:tcPr>
            <w:tcW w:type="pct" w:w="60%"/>
            <w:tcBorders>
              <w:top w:val="single" w:color="auto" w:sz="4"/>
              <w:left w:val="single" w:color="auto" w:sz="4"/>
              <w:bottom w:val="single" w:color="auto" w:sz="4"/>
              <w:right w:val="single" w:color="auto" w:sz="4"/>
            </w:tcBorders>
            <w:shd w:fill="1F3864" w:color="1F3864" w:val="solid"/>
          </w:tcPr>
          <w:p>
            <w:r>
              <w:rPr>
                <w:b/>
                <w:bCs/>
                <w:color w:val="FFFFFF"/>
              </w:rPr>
              <w:t xml:space="preserve">Tables</w:t>
            </w:r>
          </w:p>
        </w:tc>
      </w:tr>
      <w:tr>
        <w:tc>
          <w:tcPr>
            <w:tcW w:type="pct" w:w="40%"/>
            <w:tcBorders>
              <w:top w:val="single" w:color="auto" w:sz="4"/>
              <w:left w:val="single" w:color="auto" w:sz="4"/>
              <w:bottom w:val="single" w:color="auto" w:sz="4"/>
              <w:right w:val="single" w:color="auto" w:sz="4"/>
            </w:tcBorders>
          </w:tcPr>
          <w:p>
            <w:r>
              <w:t xml:space="preserve">Stations &amp; facturation SaaS</w:t>
            </w:r>
          </w:p>
        </w:tc>
        <w:tc>
          <w:tcPr>
            <w:tcW w:type="pct" w:w="60%"/>
            <w:tcBorders>
              <w:top w:val="single" w:color="auto" w:sz="4"/>
              <w:left w:val="single" w:color="auto" w:sz="4"/>
              <w:bottom w:val="single" w:color="auto" w:sz="4"/>
              <w:right w:val="single" w:color="auto" w:sz="4"/>
            </w:tcBorders>
          </w:tcPr>
          <w:p>
            <w:r>
              <w:t xml:space="preserve">stations, station_billing, plans</w:t>
            </w:r>
          </w:p>
        </w:tc>
      </w:tr>
      <w:tr>
        <w:tc>
          <w:tcPr>
            <w:tcW w:type="pct" w:w="40%"/>
            <w:tcBorders>
              <w:top w:val="single" w:color="auto" w:sz="4"/>
              <w:left w:val="single" w:color="auto" w:sz="4"/>
              <w:bottom w:val="single" w:color="auto" w:sz="4"/>
              <w:right w:val="single" w:color="auto" w:sz="4"/>
            </w:tcBorders>
          </w:tcPr>
          <w:p>
            <w:r>
              <w:t xml:space="preserve">Comptes &amp; authentification</w:t>
            </w:r>
          </w:p>
        </w:tc>
        <w:tc>
          <w:tcPr>
            <w:tcW w:type="pct" w:w="60%"/>
            <w:tcBorders>
              <w:top w:val="single" w:color="auto" w:sz="4"/>
              <w:left w:val="single" w:color="auto" w:sz="4"/>
              <w:bottom w:val="single" w:color="auto" w:sz="4"/>
              <w:right w:val="single" w:color="auto" w:sz="4"/>
            </w:tcBorders>
          </w:tcPr>
          <w:p>
            <w:r>
              <w:t xml:space="preserve">profiles, vehicles</w:t>
            </w:r>
          </w:p>
        </w:tc>
      </w:tr>
      <w:tr>
        <w:tc>
          <w:tcPr>
            <w:tcW w:type="pct" w:w="40%"/>
            <w:tcBorders>
              <w:top w:val="single" w:color="auto" w:sz="4"/>
              <w:left w:val="single" w:color="auto" w:sz="4"/>
              <w:bottom w:val="single" w:color="auto" w:sz="4"/>
              <w:right w:val="single" w:color="auto" w:sz="4"/>
            </w:tcBorders>
          </w:tcPr>
          <w:p>
            <w:r>
              <w:t xml:space="preserve">Réservations &amp; paiements</w:t>
            </w:r>
          </w:p>
        </w:tc>
        <w:tc>
          <w:tcPr>
            <w:tcW w:type="pct" w:w="60%"/>
            <w:tcBorders>
              <w:top w:val="single" w:color="auto" w:sz="4"/>
              <w:left w:val="single" w:color="auto" w:sz="4"/>
              <w:bottom w:val="single" w:color="auto" w:sz="4"/>
              <w:right w:val="single" w:color="auto" w:sz="4"/>
            </w:tcBorders>
          </w:tcPr>
          <w:p>
            <w:r>
              <w:t xml:space="preserve">reservations, transactions, wash_pricing</w:t>
            </w:r>
          </w:p>
        </w:tc>
      </w:tr>
      <w:tr>
        <w:tc>
          <w:tcPr>
            <w:tcW w:type="pct" w:w="40%"/>
            <w:tcBorders>
              <w:top w:val="single" w:color="auto" w:sz="4"/>
              <w:left w:val="single" w:color="auto" w:sz="4"/>
              <w:bottom w:val="single" w:color="auto" w:sz="4"/>
              <w:right w:val="single" w:color="auto" w:sz="4"/>
            </w:tcBorders>
          </w:tcPr>
          <w:p>
            <w:r>
              <w:t xml:space="preserve">Équipe station</w:t>
            </w:r>
          </w:p>
        </w:tc>
        <w:tc>
          <w:tcPr>
            <w:tcW w:type="pct" w:w="60%"/>
            <w:tcBorders>
              <w:top w:val="single" w:color="auto" w:sz="4"/>
              <w:left w:val="single" w:color="auto" w:sz="4"/>
              <w:bottom w:val="single" w:color="auto" w:sz="4"/>
              <w:right w:val="single" w:color="auto" w:sz="4"/>
            </w:tcBorders>
          </w:tcPr>
          <w:p>
            <w:r>
              <w:t xml:space="preserve">employees, attendance_records, shift_templates, shift_schedule, station_roles, station_members, station_invitations</w:t>
            </w:r>
          </w:p>
        </w:tc>
      </w:tr>
      <w:tr>
        <w:tc>
          <w:tcPr>
            <w:tcW w:type="pct" w:w="40%"/>
            <w:tcBorders>
              <w:top w:val="single" w:color="auto" w:sz="4"/>
              <w:left w:val="single" w:color="auto" w:sz="4"/>
              <w:bottom w:val="single" w:color="auto" w:sz="4"/>
              <w:right w:val="single" w:color="auto" w:sz="4"/>
            </w:tcBorders>
          </w:tcPr>
          <w:p>
            <w:r>
              <w:t xml:space="preserve">Fidélisation &amp; avis</w:t>
            </w:r>
          </w:p>
        </w:tc>
        <w:tc>
          <w:tcPr>
            <w:tcW w:type="pct" w:w="60%"/>
            <w:tcBorders>
              <w:top w:val="single" w:color="auto" w:sz="4"/>
              <w:left w:val="single" w:color="auto" w:sz="4"/>
              <w:bottom w:val="single" w:color="auto" w:sz="4"/>
              <w:right w:val="single" w:color="auto" w:sz="4"/>
            </w:tcBorders>
          </w:tcPr>
          <w:p>
            <w:r>
              <w:t xml:space="preserve">station_reviews</w:t>
            </w:r>
          </w:p>
        </w:tc>
      </w:tr>
      <w:tr>
        <w:tc>
          <w:tcPr>
            <w:tcW w:type="pct" w:w="40%"/>
            <w:tcBorders>
              <w:top w:val="single" w:color="auto" w:sz="4"/>
              <w:left w:val="single" w:color="auto" w:sz="4"/>
              <w:bottom w:val="single" w:color="auto" w:sz="4"/>
              <w:right w:val="single" w:color="auto" w:sz="4"/>
            </w:tcBorders>
          </w:tcPr>
          <w:p>
            <w:r>
              <w:t xml:space="preserve">Abonnements clients fidélité (station)</w:t>
            </w:r>
          </w:p>
        </w:tc>
        <w:tc>
          <w:tcPr>
            <w:tcW w:type="pct" w:w="60%"/>
            <w:tcBorders>
              <w:top w:val="single" w:color="auto" w:sz="4"/>
              <w:left w:val="single" w:color="auto" w:sz="4"/>
              <w:bottom w:val="single" w:color="auto" w:sz="4"/>
              <w:right w:val="single" w:color="auto" w:sz="4"/>
            </w:tcBorders>
          </w:tcPr>
          <w:p>
            <w:r>
              <w:t xml:space="preserve">station_client_subscriptions, station_subscription_invoices</w:t>
            </w:r>
          </w:p>
        </w:tc>
      </w:tr>
      <w:tr>
        <w:tc>
          <w:tcPr>
            <w:tcW w:type="pct" w:w="40%"/>
            <w:tcBorders>
              <w:top w:val="single" w:color="auto" w:sz="4"/>
              <w:left w:val="single" w:color="auto" w:sz="4"/>
              <w:bottom w:val="single" w:color="auto" w:sz="4"/>
              <w:right w:val="single" w:color="auto" w:sz="4"/>
            </w:tcBorders>
          </w:tcPr>
          <w:p>
            <w:r>
              <w:t xml:space="preserve">Monétisation plateforme</w:t>
            </w:r>
          </w:p>
        </w:tc>
        <w:tc>
          <w:tcPr>
            <w:tcW w:type="pct" w:w="60%"/>
            <w:tcBorders>
              <w:top w:val="single" w:color="auto" w:sz="4"/>
              <w:left w:val="single" w:color="auto" w:sz="4"/>
              <w:bottom w:val="single" w:color="auto" w:sz="4"/>
              <w:right w:val="single" w:color="auto" w:sz="4"/>
            </w:tcBorders>
          </w:tcPr>
          <w:p>
            <w:r>
              <w:t xml:space="preserve">super_user_subscriptions, station_ads</w:t>
            </w:r>
          </w:p>
        </w:tc>
      </w:tr>
      <w:tr>
        <w:tc>
          <w:tcPr>
            <w:tcW w:type="pct" w:w="40%"/>
            <w:tcBorders>
              <w:top w:val="single" w:color="auto" w:sz="4"/>
              <w:left w:val="single" w:color="auto" w:sz="4"/>
              <w:bottom w:val="single" w:color="auto" w:sz="4"/>
              <w:right w:val="single" w:color="auto" w:sz="4"/>
            </w:tcBorders>
          </w:tcPr>
          <w:p>
            <w:r>
              <w:t xml:space="preserve">Référentiels partagés</w:t>
            </w:r>
          </w:p>
        </w:tc>
        <w:tc>
          <w:tcPr>
            <w:tcW w:type="pct" w:w="60%"/>
            <w:tcBorders>
              <w:top w:val="single" w:color="auto" w:sz="4"/>
              <w:left w:val="single" w:color="auto" w:sz="4"/>
              <w:bottom w:val="single" w:color="auto" w:sz="4"/>
              <w:right w:val="single" w:color="auto" w:sz="4"/>
            </w:tcBorders>
          </w:tcPr>
          <w:p>
            <w:r>
              <w:t xml:space="preserve">custom_vehicle_types, custom_vehicle_brands</w:t>
            </w:r>
          </w:p>
        </w:tc>
      </w:tr>
      <w:tr>
        <w:tc>
          <w:tcPr>
            <w:tcW w:type="pct" w:w="40%"/>
            <w:tcBorders>
              <w:top w:val="single" w:color="auto" w:sz="4"/>
              <w:left w:val="single" w:color="auto" w:sz="4"/>
              <w:bottom w:val="single" w:color="auto" w:sz="4"/>
              <w:right w:val="single" w:color="auto" w:sz="4"/>
            </w:tcBorders>
          </w:tcPr>
          <w:p>
            <w:r>
              <w:t xml:space="preserve">Support &amp; gouvernance</w:t>
            </w:r>
          </w:p>
        </w:tc>
        <w:tc>
          <w:tcPr>
            <w:tcW w:type="pct" w:w="60%"/>
            <w:tcBorders>
              <w:top w:val="single" w:color="auto" w:sz="4"/>
              <w:left w:val="single" w:color="auto" w:sz="4"/>
              <w:bottom w:val="single" w:color="auto" w:sz="4"/>
              <w:right w:val="single" w:color="auto" w:sz="4"/>
            </w:tcBorders>
          </w:tcPr>
          <w:p>
            <w:r>
              <w:t xml:space="preserve">disputes, audit_log</w:t>
            </w:r>
          </w:p>
        </w:tc>
      </w:tr>
    </w:tbl>
    <w:p>
      <w:pPr>
        <w:spacing w:after="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désormais l'insertion si le solde est insuffisant ou si aucun abonnement actif ne correspond, au lieu de laisser passer un lavage non tracé (comportement corrigé le 21 août 2026, voir section 7.5).</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"expiré" n'est écrit par un job : deriveSuperUserStatus() et deriveAdStatus() recalculent ACTIVE vs EXPIRED à la lecture en comparant expires_at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"Camion") ; assigned_to_name continue de porter le laveur principal seul, pour rester compatible avec tout le code qui ne lit que ce champ (Analytics, historique) — voir section 7.7.</w:t>
      </w:r>
    </w:p>
    <w:p>
      <w:pPr>
        <w:pStyle w:val="ListParagraph"/>
        <w:numPr>
          <w:ilvl w:val="0"/>
          <w:numId w:val="1"/>
        </w:numPr>
        <w:spacing w:after="60"/>
      </w:pPr>
      <w:r>
        <w:t xml:space="preserve">super_user_subscriptions.plan ('PLUS' | 'SUPER_USER', défaut 'SUPER_USER') distingue depuis le 22 août 2026 les deux paliers payants automobiliste ; le défaut préserve les abonnés déjà actifs (payés 5 000 FCFA avant l'existence du palier Plus) au lieu de les rétrograder silencieusement.</w:t>
      </w:r>
    </w:p>
    <w:p>
      <w:pPr>
        <w:pStyle w:val="ListParagraph"/>
        <w:numPr>
          <w:ilvl w:val="0"/>
          <w:numId w:val="1"/>
        </w:numPr>
        <w:spacing w:after="60"/>
      </w:pPr>
      <w:r>
        <w:t xml:space="preserve">station_billing.trial_ends_at date la fin de l'essai gratuit d'un mois d'une station, rétro-rempli depuis stations.created_at pour les stations existantes et posé automatiquement par le trigger handle_new_station() pour les nouvelles — voir section 7.9.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20" w:before="24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connecté.</w:t>
      </w:r>
    </w:p>
    <w:p>
      <w:pPr>
        <w:pStyle w:val="ListParagraph"/>
        <w:numPr>
          <w:ilvl w:val="0"/>
          <w:numId w:val="1"/>
        </w:numPr>
        <w:spacing w:after="60"/>
      </w:pPr>
      <w:r>
        <w:t xml:space="preserve">client_vehicle_cap(uid) — renvoie le plafond de véhicules réel de l'automobiliste selon son offre (2 gratuit, 5 Plus, illimité Super User) ; remplace depuis le 22 août 2026 l'ancien booléen is_super_user(uid), incapable d'exprimer plus de deux paliers.</w:t>
      </w:r>
    </w:p>
    <w:p>
      <w:pPr>
        <w:pStyle w:val="ListParagraph"/>
        <w:numPr>
          <w:ilvl w:val="0"/>
          <w:numId w:val="1"/>
        </w:numPr>
        <w:spacing w:after="60"/>
      </w:pPr>
      <w:r>
        <w:t xml:space="preserve">recharge_subscription(p_sub_id, p_amount) — recharge atomique du solde d'un abonnement fidélité en une seule requête SQL, pour ne pas entrer en collision avec la déduction automatique du trigger (l'ancienne version, un select puis un update séparés côté application, pouvait écraser une déduction survenue entre les deux).</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de N places (ou jusqu'à la dernière) dans la file d'attente, en échangeant son created_at avec celui d'une réservation plus loin. Un client ne pouvant modifier que sa propre ligne via les policies RLS classiques, cette fonction security definer est le seul moyen d'écrire aussi sur la ligne d'un autre client — elle ne regarde jamais que des réservations créées APRÈS la sienne, donc ne peut structurellement jamais faire avancer l'appelant. Voir section 7.8.</w:t>
      </w:r>
    </w:p>
    <w:p>
      <w:pPr>
        <w:pStyle w:val="Heading2"/>
        <w:spacing w:after="120" w:before="24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w:t>
      </w:r>
    </w:p>
    <w:p>
      <w:pPr>
        <w:pStyle w:val="Heading2"/>
        <w:spacing w:after="120" w:before="24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 une fonction entière (2 pour l'offre gratuite, 5 pour Plus, illimité pour Super User) qui a remplacé le 22 août 2026 le booléen is_super_user(uid), incapable d'exprimer un 3ᵉ palier. La limite de chaque offre est donc appliquée par Postgres, pas seulement par l'interface. Cette même policy restrictive (owner_id = auth.uid()) empêche par ailleurs un admin de station de lire directement le véhicule d'un autre client — d'où le besoin de find_vehicle_owner (section 7.6) pour la reconnaissance par plaque.</w:t>
      </w:r>
    </w:p>
    <w:p>
      <w:pPr>
        <w:pStyle w:val="Heading2"/>
        <w:spacing w:after="120" w:before="24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(diffusion plateforme). Seul le Super Admin peut faire évoluer le statut d'une campagne (confirmer un paiement, rejeter), et fixe alors la date d'expiration à partir de la durée choisie par la station (duration_days), plus une constante fixe pour tout le monde.</w:t>
      </w:r>
    </w:p>
    <w:p>
      <w:pPr>
        <w:pStyle w:val="Heading2"/>
        <w:spacing w:after="120" w:before="240"/>
      </w:pPr>
      <w:r>
        <w:t xml:space="preserve">6.5 Exemple : abonnements clients fidélité (station_client_subscriptions)</w:t>
      </w:r>
    </w:p>
    <w:p>
      <w:pPr>
        <w:spacing w:after="120"/>
      </w:pPr>
      <w:r>
        <w:t xml:space="preserve">Le rapprochement entre une transaction réglée "par Abonnement" et l'abonnement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l'opération si aucun abonnement actif ne correspond ou si le solde est insuffisant, plutôt que d'accepter silencieusement un lavage non déduit.</w:t>
      </w:r>
    </w:p>
    <w:p>
      <w:pPr>
        <w:pStyle w:val="Heading2"/>
        <w:spacing w:after="120" w:before="240"/>
      </w:pPr>
      <w:r>
        <w:t xml:space="preserve">6.6 Expiration de session sur inactivité</w:t>
      </w:r>
    </w:p>
    <w:p>
      <w:pPr>
        <w:spacing w:after="120"/>
      </w:pPr>
      <w:r>
        <w:t xml:space="preserve">Ajoutée le 6 septembre 2026. Supabase Auth ne termine jamais une session de lui-même (jeton rafraîchi en silence, stockage localStorage) et le time-box côté serveur est réservé au plan Pro. Une veille côté client (src/lib/idleTimeout.js, branchée dans src/App.jsx) déconnecte donc l'utilisateur après 1 heure sans interaction.</w:t>
      </w:r>
    </w:p>
    <w:p>
      <w:pPr>
        <w:pStyle w:val="ListParagraph"/>
        <w:numPr>
          <w:ilvl w:val="0"/>
          <w:numId w:val="1"/>
        </w:numPr>
        <w:spacing w:after="60"/>
      </w:pPr>
      <w:r>
        <w:t xml:space="preserve">Horodatage "dernière activité" conservé dans localStorage et partagé entre onglets : une action dans un onglet garde les autres actifs, l'expiration les déconnecte tous.</w:t>
      </w:r>
    </w:p>
    <w:p>
      <w:pPr>
        <w:pStyle w:val="ListParagraph"/>
        <w:numPr>
          <w:ilvl w:val="0"/>
          <w:numId w:val="1"/>
        </w:numPr>
        <w:spacing w:after="60"/>
      </w:pPr>
      <w:r>
        <w:t xml:space="preserve">Événements suivis : souris, clavier, tactile, molette. Vérification toutes les 30 s et au retour sur l'onglet (couvre la mise en veille de la machine).</w:t>
      </w:r>
    </w:p>
    <w:p>
      <w:pPr>
        <w:pStyle w:val="ListParagraph"/>
        <w:numPr>
          <w:ilvl w:val="0"/>
          <w:numId w:val="1"/>
        </w:numPr>
        <w:spacing w:after="60"/>
      </w:pPr>
      <w:r>
        <w:t xml:space="preserve">À l'expiration : supabase.auth.signOut(), purge du cache de session local, puis redirection vers /login.html?expired=1 (bandeau "session expirée").</w:t>
      </w:r>
    </w:p>
    <w:p>
      <w:pPr>
        <w:pStyle w:val="ListParagraph"/>
        <w:numPr>
          <w:ilvl w:val="0"/>
          <w:numId w:val="1"/>
        </w:numPr>
        <w:spacing w:after="60"/>
      </w:pPr>
      <w:r>
        <w:t xml:space="preserve">Les visiteurs anonymes de la page publique /stations ne sont pas concernés : la déconnexion n'a lieu que si une session existe réellement.</w:t>
      </w:r>
    </w:p>
    <w:p>
      <w:pPr>
        <w:pStyle w:val="Heading1"/>
        <w:spacing w:after="160" w:before="360"/>
      </w:pPr>
      <w:r>
        <w:t xml:space="preserve">7. Flux métier clés</w:t>
      </w:r>
    </w:p>
    <w:p>
      <w:pPr>
        <w:pStyle w:val="Heading2"/>
        <w:spacing w:after="120" w:before="24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20" w:before="240"/>
      </w:pPr>
      <w:r>
        <w:t xml:space="preserve">7.2 Pointage des laveurs</w:t>
      </w:r>
    </w:p>
    <w:p>
      <w:pPr>
        <w:spacing w:after="120"/>
      </w:pPr>
      <w:r>
        <w:t xml:space="preserve">Machine à états sur employees.status, distincte du statut du jour (daily_status) :</w:t>
      </w:r>
    </w:p>
    <w:p>
      <w:pPr>
        <w:pStyle w:val="ListParagraph"/>
        <w:numPr>
          <w:ilvl w:val="0"/>
          <w:numId w:val="1"/>
        </w:numPr>
        <w:spacing w:after="60"/>
      </w:pPr>
      <w:r>
        <w:t xml:space="preserve">Actif : prise de poste automatique dès que le laveur est marqué "Présent" du jour.</w:t>
      </w:r>
    </w:p>
    <w:p>
      <w:pPr>
        <w:pStyle w:val="ListParagraph"/>
        <w:numPr>
          <w:ilvl w:val="0"/>
          <w:numId w:val="1"/>
        </w:numPr>
        <w:spacing w:after="60"/>
      </w:pPr>
      <w:r>
        <w:t xml:space="preserve">Terminé : après un clic "Descendre" — encore réactivable ("Reprendre service"), y compris automatiquement si un nouveau véhicule lui est confié.</w:t>
      </w:r>
    </w:p>
    <w:p>
      <w:pPr>
        <w:pStyle w:val="ListParagraph"/>
        <w:numPr>
          <w:ilvl w:val="0"/>
          <w:numId w:val="1"/>
        </w:numPr>
        <w:spacing w:after="60"/>
      </w:pPr>
      <w:r>
        <w:t xml:space="preserve">Fin de service : clôture définitive de la journée, plus aucune réactivation possible.</w:t>
      </w:r>
    </w:p>
    <w:p>
      <w:pPr>
        <w:pStyle w:val="ListParagraph"/>
        <w:numPr>
          <w:ilvl w:val="0"/>
          <w:numId w:val="1"/>
        </w:numPr>
        <w:spacing w:after="60"/>
      </w:pPr>
      <w:r>
        <w:t xml:space="preserve">Coupure automatique : un contrôle tourne chaque minute côté application ; si un laveur est encore Actif après l'heure de fermeture configurée par la station, il est automatiquement basculé en Fin de service.</w:t>
      </w:r>
    </w:p>
    <w:p>
      <w:pPr>
        <w:spacing w:after="120"/>
      </w:pPr>
      <w:r>
        <w:t xml:space="preserve">Deux notions de "fermeture" distinctes coexistent volontairement dans lib/stationData.js : isStationOpenNow() (ouvert seulement DANS la plage horaire, utilisé pour le badge Ouvert/Fermé côté client) et isPastClosingTime() (bloque uniquement APRÈS la fermeture, sans jamais bloquer avant l'ouverture, utilisé côté admin pour le bouton "Go" et "Reprendre service") — les confondre a provoqué une régression corrigée le 21 août 2026.</w:t>
      </w:r>
    </w:p>
    <w:p>
      <w:pPr>
        <w:pStyle w:val="Heading2"/>
        <w:spacing w:after="120" w:before="240"/>
      </w:pPr>
      <w:r>
        <w:t xml:space="preserve">7.3 Paiements différés à confirmation manuelle</w:t>
      </w:r>
    </w:p>
    <w:p>
      <w:pPr>
        <w:spacing w:after="120"/>
      </w:pPr>
      <w:r>
        <w:t xml:space="preserve">Plusieurs flux suivent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auto" w:sz="4"/>
              <w:left w:val="single" w:color="auto" w:sz="4"/>
              <w:bottom w:val="single" w:color="auto" w:sz="4"/>
              <w:right w:val="single" w:color="auto" w:sz="4"/>
            </w:tcBorders>
            <w:shd w:fill="1F3864" w:color="1F3864" w:val="solid"/>
          </w:tcPr>
          <w:p>
            <w:r>
              <w:rPr>
                <w:b/>
                <w:bCs/>
                <w:color w:val="FFFFFF"/>
              </w:rPr>
              <w:t xml:space="preserve"/>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Abonnement Plus / Super User</w:t>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Publicité station</w:t>
            </w:r>
          </w:p>
        </w:tc>
      </w:tr>
      <w:tr>
        <w:tc>
          <w:tcPr>
            <w:tcW w:type="pct" w:w="22%"/>
            <w:tcBorders>
              <w:top w:val="single" w:color="auto" w:sz="4"/>
              <w:left w:val="single" w:color="auto" w:sz="4"/>
              <w:bottom w:val="single" w:color="auto" w:sz="4"/>
              <w:right w:val="single" w:color="auto" w:sz="4"/>
            </w:tcBorders>
          </w:tcPr>
          <w:p>
            <w:r>
              <w:t xml:space="preserve">Qui paie</w:t>
            </w:r>
          </w:p>
        </w:tc>
        <w:tc>
          <w:tcPr>
            <w:tcW w:type="pct" w:w="39%"/>
            <w:tcBorders>
              <w:top w:val="single" w:color="auto" w:sz="4"/>
              <w:left w:val="single" w:color="auto" w:sz="4"/>
              <w:bottom w:val="single" w:color="auto" w:sz="4"/>
              <w:right w:val="single" w:color="auto" w:sz="4"/>
            </w:tcBorders>
          </w:tcPr>
          <w:p>
            <w:r>
              <w:t xml:space="preserve">Automobiliste</w:t>
            </w:r>
          </w:p>
        </w:tc>
        <w:tc>
          <w:tcPr>
            <w:tcW w:type="pct" w:w="39%"/>
            <w:tcBorders>
              <w:top w:val="single" w:color="auto" w:sz="4"/>
              <w:left w:val="single" w:color="auto" w:sz="4"/>
              <w:bottom w:val="single" w:color="auto" w:sz="4"/>
              <w:right w:val="single" w:color="auto" w:sz="4"/>
            </w:tcBorders>
          </w:tcPr>
          <w:p>
            <w:r>
              <w:t xml:space="preserve">Station</w:t>
            </w:r>
          </w:p>
        </w:tc>
      </w:tr>
      <w:tr>
        <w:tc>
          <w:tcPr>
            <w:tcW w:type="pct" w:w="22%"/>
            <w:tcBorders>
              <w:top w:val="single" w:color="auto" w:sz="4"/>
              <w:left w:val="single" w:color="auto" w:sz="4"/>
              <w:bottom w:val="single" w:color="auto" w:sz="4"/>
              <w:right w:val="single" w:color="auto" w:sz="4"/>
            </w:tcBorders>
          </w:tcPr>
          <w:p>
            <w:r>
              <w:t xml:space="preserve">Montant</w:t>
            </w:r>
          </w:p>
        </w:tc>
        <w:tc>
          <w:tcPr>
            <w:tcW w:type="pct" w:w="39%"/>
            <w:tcBorders>
              <w:top w:val="single" w:color="auto" w:sz="4"/>
              <w:left w:val="single" w:color="auto" w:sz="4"/>
              <w:bottom w:val="single" w:color="auto" w:sz="4"/>
              <w:right w:val="single" w:color="auto" w:sz="4"/>
            </w:tcBorders>
          </w:tcPr>
          <w:p>
            <w:r>
              <w:t xml:space="preserve">2 500 FCFA/mois (Plus) · 5 000 FCFA/mois (Super User)</w:t>
            </w:r>
          </w:p>
        </w:tc>
        <w:tc>
          <w:tcPr>
            <w:tcW w:type="pct" w:w="39%"/>
            <w:tcBorders>
              <w:top w:val="single" w:color="auto" w:sz="4"/>
              <w:left w:val="single" w:color="auto" w:sz="4"/>
              <w:bottom w:val="single" w:color="auto" w:sz="4"/>
              <w:right w:val="single" w:color="auto" w:sz="4"/>
            </w:tcBorders>
          </w:tcPr>
          <w:p>
            <w:r>
              <w:t xml:space="preserve">5 000 F / 3j · 10 000 F / 7j · 30 000 F / 30j (au choix)</w:t>
            </w:r>
          </w:p>
        </w:tc>
      </w:tr>
      <w:tr>
        <w:tc>
          <w:tcPr>
            <w:tcW w:type="pct" w:w="22%"/>
            <w:tcBorders>
              <w:top w:val="single" w:color="auto" w:sz="4"/>
              <w:left w:val="single" w:color="auto" w:sz="4"/>
              <w:bottom w:val="single" w:color="auto" w:sz="4"/>
              <w:right w:val="single" w:color="auto" w:sz="4"/>
            </w:tcBorders>
          </w:tcPr>
          <w:p>
            <w:r>
              <w:t xml:space="preserve">Qui confirme</w:t>
            </w:r>
          </w:p>
        </w:tc>
        <w:tc>
          <w:tcPr>
            <w:tcW w:type="pct" w:w="39%"/>
            <w:tcBorders>
              <w:top w:val="single" w:color="auto" w:sz="4"/>
              <w:left w:val="single" w:color="auto" w:sz="4"/>
              <w:bottom w:val="single" w:color="auto" w:sz="4"/>
              <w:right w:val="single" w:color="auto" w:sz="4"/>
            </w:tcBorders>
          </w:tcPr>
          <w:p>
            <w:r>
              <w:t xml:space="preserve">Super Admin</w:t>
            </w:r>
          </w:p>
        </w:tc>
        <w:tc>
          <w:tcPr>
            <w:tcW w:type="pct" w:w="39%"/>
            <w:tcBorders>
              <w:top w:val="single" w:color="auto" w:sz="4"/>
              <w:left w:val="single" w:color="auto" w:sz="4"/>
              <w:bottom w:val="single" w:color="auto" w:sz="4"/>
              <w:right w:val="single" w:color="auto" w:sz="4"/>
            </w:tcBorders>
          </w:tcPr>
          <w:p>
            <w:r>
              <w:t xml:space="preserve">Super Admin</w:t>
            </w:r>
          </w:p>
        </w:tc>
      </w:tr>
      <w:tr>
        <w:tc>
          <w:tcPr>
            <w:tcW w:type="pct" w:w="22%"/>
            <w:tcBorders>
              <w:top w:val="single" w:color="auto" w:sz="4"/>
              <w:left w:val="single" w:color="auto" w:sz="4"/>
              <w:bottom w:val="single" w:color="auto" w:sz="4"/>
              <w:right w:val="single" w:color="auto" w:sz="4"/>
            </w:tcBorders>
          </w:tcPr>
          <w:p>
            <w:r>
              <w:t xml:space="preserve">Effet une fois ACTIVE</w:t>
            </w:r>
          </w:p>
        </w:tc>
        <w:tc>
          <w:tcPr>
            <w:tcW w:type="pct" w:w="39%"/>
            <w:tcBorders>
              <w:top w:val="single" w:color="auto" w:sz="4"/>
              <w:left w:val="single" w:color="auto" w:sz="4"/>
              <w:bottom w:val="single" w:color="auto" w:sz="4"/>
              <w:right w:val="single" w:color="auto" w:sz="4"/>
            </w:tcBorders>
          </w:tcPr>
          <w:p>
            <w:r>
              <w:t xml:space="preserve">Plafond de véhicules relevé à 5 (Plus) ou illimité (Super User)</w:t>
            </w:r>
          </w:p>
        </w:tc>
        <w:tc>
          <w:tcPr>
            <w:tcW w:type="pct" w:w="39%"/>
            <w:tcBorders>
              <w:top w:val="single" w:color="auto" w:sz="4"/>
              <w:left w:val="single" w:color="auto" w:sz="4"/>
              <w:bottom w:val="single" w:color="auto" w:sz="4"/>
              <w:right w:val="single" w:color="auto" w:sz="4"/>
            </w:tcBorders>
          </w:tcPr>
          <w:p>
            <w:r>
              <w:t xml:space="preserve">Diffusion sur le tableau de bord de tous les automobilistes + mise en avant sur /stations</w:t>
            </w:r>
          </w:p>
        </w:tc>
      </w:tr>
    </w:tbl>
    <w:p>
      <w:pPr>
        <w:spacing w:after="0"/>
      </w:pPr>
    </w:p>
    <w:p>
      <w:pPr>
        <w:spacing w:after="120"/>
      </w:pPr>
      <w:r>
        <w:t xml:space="preserve">L'abonnement fidélité client (station_client_subscriptions) suit un schéma différent, entièrement géré par la station elle-même (pas de confirmation Super Admin) : voir section 7.5.</w:t>
      </w:r>
    </w:p>
    <w:p>
      <w:pPr>
        <w:pStyle w:val="Heading2"/>
        <w:spacing w:after="120" w:before="240"/>
      </w:pPr>
      <w:r>
        <w:t xml:space="preserve">7.4 Promotion (gratuite) vs Publicité (payante) vs "À la une"</w:t>
      </w:r>
    </w:p>
    <w:p>
      <w:pPr>
        <w:spacing w:after="120"/>
      </w:pPr>
      <w:r>
        <w:t xml:space="preserve">Trois mécanismes de visibilité distincts, à ne pas confondre :</w:t>
      </w:r>
    </w:p>
    <w:p>
      <w:pPr>
        <w:pStyle w:val="ListParagraph"/>
        <w:numPr>
          <w:ilvl w:val="0"/>
          <w:numId w:val="1"/>
        </w:numPr>
        <w:spacing w:after="60"/>
      </w:pPr>
      <w:r>
        <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
      </w:r>
    </w:p>
    <w:p>
      <w:pPr>
        <w:pStyle w:val="ListParagraph"/>
        <w:numPr>
          <w:ilvl w:val="0"/>
          <w:numId w:val="1"/>
        </w:numPr>
        <w:spacing w:after="60"/>
      </w:pPr>
      <w: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ListParagraph"/>
        <w:numPr>
          <w:ilvl w:val="0"/>
          <w:numId w:val="1"/>
        </w:numPr>
        <w:spacing w:after="60"/>
      </w:pPr>
      <w:r>
        <w:t xml:space="preserve">"À la une" (21 août 2026) : une station avec une publicité ACTIVE est aussi mise en avant sur la page publique "Trouver une station" (/stations, accessible sans compte) — badge "⭐ À la une", message affiché, et épinglée en tête de liste avant le tri par distance. Réutilise entièrement les mêmes données station_ads, sans nouveau système ni nouvelle table : une seconde surface d'affichage pour la même campagne.</w:t>
      </w:r>
    </w:p>
    <w:p>
      <w:pPr>
        <w:pStyle w:val="Heading2"/>
        <w:spacing w:after="120" w:before="240"/>
      </w:pPr>
      <w:r>
        <w:t xml:space="preserve">7.5 Abonnements clients fidélité (wallet prépayé par station)</w:t>
      </w:r>
    </w:p>
    <w:p>
      <w:pPr>
        <w:spacing w:after="120"/>
      </w:pPr>
      <w:r>
        <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lorsqu'un lavage est réglé avec la méthode "Abonnement", via un trigger Postgres BEFORE INSERT sur transactions :</w:t>
      </w:r>
    </w:p>
    <w:p>
      <w:pPr>
        <w:pStyle w:val="ListParagraph"/>
        <w:numPr>
          <w:ilvl w:val="0"/>
          <w:numId w:val="1"/>
        </w:numPr>
        <w:spacing w:after="60"/>
      </w:pPr>
      <w:r>
        <w:t xml:space="preserve">Recherche l'abonnement actif correspondant par client_id ou par téléphone normalisé (chiffres uniquement).</w:t>
      </w:r>
    </w:p>
    <w:p>
      <w:pPr>
        <w:pStyle w:val="ListParagraph"/>
        <w:numPr>
          <w:ilvl w:val="0"/>
          <w:numId w:val="1"/>
        </w:numPr>
        <w:spacing w:after="60"/>
      </w:pPr>
      <w:r>
        <w:t xml:space="preserve">Rejette l'insertion (raise exception) si aucun abonnement actif ne correspond, ou si le solde est insuffisant — comportement corrigé : la version d'origine acceptait silencieusement la transaction sans jamais déduire le solde dans ces deux cas, ouvrant la voie à des lavages gratuits non tracés.</w:t>
      </w:r>
    </w:p>
    <w:p>
      <w:pPr>
        <w:pStyle w:val="ListParagraph"/>
        <w:numPr>
          <w:ilvl w:val="0"/>
          <w:numId w:val="1"/>
        </w:numPr>
        <w:spacing w:after="60"/>
      </w:pPr>
      <w:r>
        <w:t xml:space="preserve">Sinon, déduit le montant et bascule le statut à "suspendu" si le solde atteint zéro.</w:t>
      </w:r>
    </w:p>
    <w:p>
      <w:pPr>
        <w:pStyle w:val="ListParagraph"/>
        <w:numPr>
          <w:ilvl w:val="0"/>
          <w:numId w:val="1"/>
        </w:numPr>
        <w:spacing w:after="60"/>
      </w:pPr>
      <w:r>
        <w:t xml:space="preserve">La recharge de solde par la station passe par la fonction atomique recharge_subscription (section 6.1) plutôt qu'un enchaînement lecture-puis-écriture côté application, pour ne pas pouvoir écraser une déduction survenue entre-temps.</w:t>
      </w:r>
    </w:p>
    <w:p>
      <w:pPr>
        <w:spacing w:after="120"/>
      </w:pPr>
      <w:r>
        <w:t xml:space="preserve">Côté application (Client/Stations.jsx), si le paiement par abonnement est rejeté côté serveur (solde insuffisant détecté après coup, ou abonnement introuvable), la réservation déjà créée est automatiquement repassée à "non payée" et le client voit un message clair, plutôt qu'un échec silencieux avec un lavage marqué payé sans transaction correspondante.</w:t>
      </w:r>
    </w:p>
    <w:p>
      <w:pPr>
        <w:pStyle w:val="Heading2"/>
        <w:spacing w:after="120" w:before="240"/>
      </w:pPr>
      <w:r>
        <w:t xml:space="preserve">7.6 Reconnaissance d'un client habitué par plaque d'immatriculation</w:t>
      </w:r>
    </w:p>
    <w:p>
      <w:pPr>
        <w:spacing w:after="120"/>
      </w:pPr>
      <w:r>
        <w:t xml:space="preserve">Nouveau flux (21 août 2026) pour le cas d'un automobiliste qui a déjà un compte mais se présente sans avoir réservé via l'app (il paie en espèces sur place, la station saisit son lavage manuellement — "Ajouter un véhicule", StationDashboard.jsx). Comme la plaque est unique (contrairement au nom, souvent partagé) :</w:t>
      </w:r>
    </w:p>
    <w:p>
      <w:pPr>
        <w:pStyle w:val="ListParagraph"/>
        <w:numPr>
          <w:ilvl w:val="0"/>
          <w:numId w:val="1"/>
        </w:numPr>
        <w:spacing w:after="60"/>
      </w:pPr>
      <w:r>
        <w:t xml:space="preserve">La station tape la plaque dans un nouveau champ du formulaire ; à la sortie du champ, un appel à find_vehicle_owner (section 6.1) cherche si un véhicule enregistré correspond.</w:t>
      </w:r>
    </w:p>
    <w:p>
      <w:pPr>
        <w:pStyle w:val="ListParagraph"/>
        <w:numPr>
          <w:ilvl w:val="0"/>
          <w:numId w:val="1"/>
        </w:numPr>
        <w:spacing w:after="60"/>
      </w:pPr>
      <w:r>
        <w:t xml:space="preserve">Si trouvé : nom, catégorie et véhicule sont pré-remplis automatiquement (modifiables si la station constate une erreur), et reservations.client_id est posé sur le vrai compte du client.</w:t>
      </w:r>
    </w:p>
    <w:p>
      <w:pPr>
        <w:pStyle w:val="ListParagraph"/>
        <w:numPr>
          <w:ilvl w:val="0"/>
          <w:numId w:val="1"/>
        </w:numPr>
        <w:spacing w:after="60"/>
      </w:pPr>
      <w:r>
        <w:t xml:space="preserve">Si rien n'est trouvé : comportement inchangé, le lavage reste enregistré avec un nom libre, sans compte lié.</w:t>
      </w:r>
    </w:p>
    <w:p>
      <w:pPr>
        <w:pStyle w:val="ListParagraph"/>
        <w:numPr>
          <w:ilvl w:val="0"/>
          <w:numId w:val="1"/>
        </w:numPr>
        <w:spacing w:after="60"/>
      </w:pPr>
      <w:r>
        <w:t xml:space="preserve">Une fois client_id posé, le suivi en temps réel côté client fonctionne sans aucun code supplémentaire : le canal Realtime déjà filtré sur client_id (section 4.3) fait apparaître la réservation instantanément sur son tableau de bord.</w:t>
      </w:r>
    </w:p>
    <w:p>
      <w:pPr>
        <w:pStyle w:val="ListParagraph"/>
        <w:numPr>
          <w:ilvl w:val="0"/>
          <w:numId w:val="1"/>
        </w:numPr>
        <w:spacing w:after="60"/>
      </w:pPr>
      <w:r>
        <w:t xml:space="preserve">Le client reçoit en plus une notification navigateur (API Notification, permission déjà gérée par ailleurs sur Client/Dashboard.jsx) au moment précis de l'INSERT — distincte de la notification existante sur changement de position, qui elle ignore volontairement le tout premier item vu pour éviter un faux positif sur un déplacement interne de réservation.</w:t>
      </w:r>
    </w:p>
    <w:p>
      <w:pPr>
        <w:pStyle w:val="Heading2"/>
        <w:spacing w:after="120" w:before="240"/>
      </w:pPr>
      <w:r>
        <w:t xml:space="preserve">7.7 Lavage à plusieurs laveurs (véhicules volumineux)</w:t>
      </w:r>
    </w:p>
    <w:p>
      <w:pPr>
        <w:spacing w:after="120"/>
      </w:pPr>
      <w:r>
        <w:t xml:space="preserve">Depuis le 24 août 2026, un lavage dont la catégorie tarifaire est "Camion" (regroupe Bus/Car +50 places et camions léger/lourd, voir PRICING_CATEGORY_LABELS dans lib/vehicleBrands.js) ouvre une modale dédiée au clic sur "Go" : la station choisit librement 1 à 3 laveurs parmi les disponibles (MAX_WASHERS_PER_WASH = 3, StationDashboard.jsx) plutôt que le laveur unique habituel. startWash(id, employeeIdOrIds) accepte désormais un seul identifiant ou un tableau d'identifiants. reservations.assigned_to_name garde le premier laveur (compatibilité avec le code existant qui ne lit que ce champ), assigned_washer_names (nouvelle colonne text[]) ne contient une valeur que si plusieurs laveurs sont assignés.</w:t>
      </w:r>
    </w:p>
    <w:p>
      <w:pPr>
        <w:pStyle w:val="ListParagraph"/>
        <w:numPr>
          <w:ilvl w:val="0"/>
          <w:numId w:val="1"/>
        </w:numPr>
        <w:spacing w:after="60"/>
      </w:pPr>
      <w:r>
        <w:t xml:space="preserve">Tant que le lavage n'est pas terminé, tous les laveurs assignés sont marqués occupés et exclus de availableEmployees — pas seulement le premier.</w:t>
      </w:r>
    </w:p>
    <w:p>
      <w:pPr>
        <w:pStyle w:val="ListParagraph"/>
        <w:numPr>
          <w:ilvl w:val="0"/>
          <w:numId w:val="1"/>
        </w:numPr>
        <w:spacing w:after="60"/>
      </w:pPr>
      <w:r>
        <w:t xml:space="preserve">Le classement "Top Laveurs" d'Analytics crédite désormais chacun des laveurs d'un lavage à plusieurs, pas seulement le laveur principal.</w:t>
      </w:r>
    </w:p>
    <w:p>
      <w:pPr>
        <w:pStyle w:val="Heading2"/>
        <w:spacing w:after="120" w:before="240"/>
      </w:pPr>
      <w:r>
        <w:t xml:space="preserve">7.8 Report de position en file d'attente</w:t>
      </w:r>
    </w:p>
    <w:p>
      <w:pPr>
        <w:spacing w:after="120"/>
      </w:pPr>
      <w:r>
        <w:t xml:space="preserve">Un mécanisme d'échange de position existait déjà côté station (pushBackOnePosition, useAppState.jsx) : comme la position et le temps d'attente estimé sont purement dérivés du tri par created_at (getItemPosition, estimateItemWaitTime dans lib/stationData.js), reculer une réservation revient à échanger son created_at avec celui d'une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
      </w:r>
    </w:p>
    <w:p>
      <w:pPr>
        <w:pStyle w:val="ListParagraph"/>
        <w:numPr>
          <w:ilvl w:val="0"/>
          <w:numId w:val="1"/>
        </w:numPr>
        <w:spacing w:after="60"/>
      </w:pPr>
      <w:r>
        <w:t xml:space="preserve">Comme un client ne peut modifier que sa propre réservation sous RLS, l'opération passe par client_push_back_reservation (section 6.1), une fonction security definer qui vérifie la propriété de la réservation et la présence d'un abonnement actif à cette station, avant de faire l'échange.</w:t>
      </w:r>
    </w:p>
    <w:p>
      <w:pPr>
        <w:pStyle w:val="ListParagraph"/>
        <w:numPr>
          <w:ilvl w:val="0"/>
          <w:numId w:val="1"/>
        </w:numPr>
        <w:spacing w:after="60"/>
      </w:pPr>
      <w:r>
        <w:t xml:space="preserve">Elle ne considère jamais que des réservations créées après la sienne : structurellement incapable de faire avancer l'appelant, seulement de le reculer.</w:t>
      </w:r>
    </w:p>
    <w:p>
      <w:pPr>
        <w:pStyle w:val="ListParagraph"/>
        <w:numPr>
          <w:ilvl w:val="0"/>
          <w:numId w:val="1"/>
        </w:numPr>
        <w:spacing w:after="60"/>
      </w:pPr>
      <w:r>
        <w:t xml:space="preserve">Le flag hasSubscription affiché côté client (Dashboard.jsx) n'est qu'un indice d'UI pour afficher le bouton ; le vrai contrôle d'accès est entièrement côté fonction SQL — une incohérence de synchronisation dégrade proprement (simple erreur affichée), sans corrompre de donnée.</w:t>
      </w:r>
    </w:p>
    <w:p>
      <w:pPr>
        <w:pStyle w:val="Heading2"/>
        <w:spacing w:after="120" w:before="240"/>
      </w:pPr>
      <w:r>
        <w:t xml:space="preserve">7.9 Essai gratuit d'un mois pour les stations</w:t>
      </w:r>
    </w:p>
    <w:p>
      <w:pPr>
        <w:spacing w:after="120"/>
      </w:pPr>
      <w:r>
        <w:t xml:space="preserve">Depuis le 22 août 2026, station_billing.trial_ends_at date la fin de l'essai gratuit d'une station (1 mois) — auparavant, subscription_status pouvait valoir 'essai' mais sans aucune date bornant sa durée. Les stations déjà en essai au moment de la migration ont été rétro-remplies à partir de stations.created_at (pas "maintenant", pour ne pas leur offrir de mois gratuit supplémentaire) ; toute nouvelle station reçoit désormais trial_ends_at = now() + 1 mois via le trigger handle_new_station().</w:t>
      </w:r>
    </w:p>
    <w:p>
      <w:pPr>
        <w:pStyle w:val="ListParagraph"/>
        <w:numPr>
          <w:ilvl w:val="0"/>
          <w:numId w:val="1"/>
        </w:numPr>
        <w:spacing w:after="60"/>
      </w:pPr>
      <w:r>
        <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l'inverse), et passe de vert à orange puis rouge à l'approche de l'expiration.</w:t>
      </w:r>
    </w:p>
    <w:p>
      <w:pPr>
        <w:pStyle w:val="ListParagraph"/>
        <w:numPr>
          <w:ilvl w:val="0"/>
          <w:numId w:val="1"/>
        </w:numPr>
        <w:spacing w:after="60"/>
      </w:pPr>
      <w:r>
        <w:t xml:space="preserve">Comme pour la facturation station en général, rien ne bascule automatiquement subscription_status à l'expiration — seule une action manuelle du Super Admin (markSubscriptionPaid/markSubscriptionOverdue) fait évoluer le statut. La bannière reste purement informative, et masquée pendant une impersonation Super Admin (qui affiche déjà sa propre bannière).</w:t>
      </w:r>
    </w:p>
    <w:p>
      <w:pPr>
        <w:pStyle w:val="Heading2"/>
        <w:spacing w:after="120" w:before="240"/>
      </w:pPr>
      <w:r>
        <w:t xml:space="preserve">7.10 Gestion d'équipe : collaborateurs, rôles et invitations</w:t>
      </w:r>
    </w:p>
    <w:p>
      <w:pPr>
        <w:spacing w:after="120"/>
      </w:pPr>
      <w:r>
        <w:t xml:space="preserve">Ajoutée le 7 septembre 2026. Une station peut désormais inviter des collaborateurs disposant de leur propre compte de connexion et d'un accès restreint à l'espace /admin selon un rôle. Le propriétaire garde son compte role='admin' (l'index one_admin_per_station reste valable) et apparaît comme "Propriétaire" dans la liste.</w:t>
      </w:r>
    </w:p>
    <w:p>
      <w:pPr>
        <w:pStyle w:val="ListParagraph"/>
        <w:numPr>
          <w:ilvl w:val="0"/>
          <w:numId w:val="1"/>
        </w:numPr>
        <w:spacing w:after="60"/>
      </w:pPr>
      <w:r>
        <w:t xml:space="preserve">Nouveau rôle applicatif profiles.role = 'staff' (avec station_id renseigné). Un 'staff' est redirigé vers /admin/queue à la connexion (login.html) et partage AdminLayout avec le propriétaire.</w:t>
      </w:r>
    </w:p>
    <w:p>
      <w:pPr>
        <w:pStyle w:val="ListParagraph"/>
        <w:numPr>
          <w:ilvl w:val="0"/>
          <w:numId w:val="1"/>
        </w:numPr>
        <w:spacing w:after="60"/>
      </w:pPr>
      <w:r>
        <w:t xml:space="preserve">Trois tables (migration add_station_team.sql) : station_roles (catalogue par station — 6 rôles "catalogue" non modifiables : Super Admin Station, Gérant, Caissier / Comptable, Superviseur, Réception, Laveur — plus jusqu'à 10 rôles personnalisés), station_members (un collaborateur : email, rôle, statut invited / active / suspended, lien éventuel employee_id), station_invitations (jeton à usage unique, expiration 7 jours).</w:t>
      </w:r>
    </w:p>
    <w:p>
      <w:pPr>
        <w:pStyle w:val="ListParagraph"/>
        <w:numPr>
          <w:ilvl w:val="0"/>
          <w:numId w:val="1"/>
        </w:numPr>
        <w:spacing w:after="60"/>
      </w:pPr>
      <w:r>
        <w:t xml:space="preserve">Invitation : l'Edge Function invite-station-member crée le membre et le jeton puis envoie l'email (Resend, domaine galsenautocleaner.com vérifié). Le lien pointe vers accept-invitation.html (nouvelle page statique, point d'entrée Vite).</w:t>
      </w:r>
    </w:p>
    <w:p>
      <w:pPr>
        <w:pStyle w:val="ListParagraph"/>
        <w:numPr>
          <w:ilvl w:val="0"/>
          <w:numId w:val="1"/>
        </w:numPr>
        <w:spacing w:after="60"/>
      </w:pPr>
      <w:r>
        <w:t xml:space="preserve">Acceptation : l'Edge Function accept-station-invite (service_role) crée le compte Auth avec le mot de passe choisi (email_confirm forcé), insère le profil 'staff' rattaché à la station et passe le membre en 'active'.</w:t>
      </w:r>
    </w:p>
    <w:p>
      <w:pPr>
        <w:pStyle w:val="ListParagraph"/>
        <w:numPr>
          <w:ilvl w:val="0"/>
          <w:numId w:val="1"/>
        </w:numPr>
        <w:spacing w:after="60"/>
      </w:pPr>
      <w:r>
        <w:t xml:space="preserve">Un collaborateur invité comme "Laveur" obtient aussi une fiche dans employees (planning / pointage), liée par station_members.employee_id.</w:t>
      </w:r>
    </w:p>
    <w:p>
      <w:pPr>
        <w:pStyle w:val="ListParagraph"/>
        <w:numPr>
          <w:ilvl w:val="0"/>
          <w:numId w:val="1"/>
        </w:numPr>
        <w:spacing w:after="60"/>
      </w:pPr>
      <w:r>
        <w:t xml:space="preserve">Contrôle d'accès (v1 "interface seulement") : le menu et les routes /admin/* sont filtrés selon les permissions du rôle (src/lib/permissions.js, filtre de navigation dans AdminLayout, composant RequirePerm dans App.jsx, myPermissions exposé par useAppState). Le RLS Supabase reste au niveau station — current_station_id() renvoie la station du 'staff', donc les policies station_id = current_station_id() existantes s'appliquent telles quelles. Seules les écritures sensibles (équipe / rôles / invitations) sont réellement verrouillées, via la fonction SECURITY DEFINER has_station_perm('team.manage').</w:t>
      </w:r>
    </w:p>
    <w:p>
      <w:pPr>
        <w:pStyle w:val="Heading1"/>
        <w:spacing w:after="160" w:before="360"/>
      </w:pPr>
      <w:r>
        <w:t xml:space="preserve">8. Couche marketing / SEO (site statique)</w:t>
      </w:r>
    </w:p>
    <w:p>
      <w:pPr>
        <w:spacing w:after="120"/>
      </w:pPr>
      <w:r>
        <w:t xml:space="preserve">Huit pages HTML sont bâties par Vite (index.html, login.html, dashboard.html, reset-password.html, 404.html, merci.html, confidentialite.html, conditions-generales.html) et portent les fondamentaux SEO/marketing d'un site vitrine :</w:t>
      </w:r>
    </w:p>
    <w:p>
      <w:pPr>
        <w:pStyle w:val="ListParagraph"/>
        <w:numPr>
          <w:ilvl w:val="0"/>
          <w:numId w:val="1"/>
        </w:numPr>
        <w:spacing w:after="60"/>
      </w:pPr>
      <w:r>
        <w:t xml:space="preserve">Meta descriptions et titres orientés B2B ("logiciel de gestion pour station de lavage auto au Sénégal"), Open Graph / Twitter Card, URL canonique, et données structurées JSON-LD sur index.html : Organization + SoftwareApplication (les 3 forfaits SaaS en Offer) + WebSite + FAQPage. Le type LocalBusiness a été retiré le 1 septembre 2026 — l'activité est un éditeur de logiciel 100 % en ligne, sans local physique.</w:t>
      </w:r>
    </w:p>
    <w:p>
      <w:pPr>
        <w:pStyle w:val="ListParagraph"/>
        <w:numPr>
          <w:ilvl w:val="0"/>
          <w:numId w:val="1"/>
        </w:numPr>
        <w:spacing w:after="60"/>
      </w:pPr>
      <w:r>
        <w:t xml:space="preserve">Google Analytics 4 actif depuis le 1 septembre 2026 sur les 4 points d'entrée — propriété "Clean Car Galsen", identifiant de mesure G-6EFQN7CBB8, mesures améliorées activées.</w:t>
      </w:r>
    </w:p>
    <w:p>
      <w:pPr>
        <w:pStyle w:val="ListParagraph"/>
        <w:numPr>
          <w:ilvl w:val="0"/>
          <w:numId w:val="1"/>
        </w:numPr>
        <w:spacing w:after="60"/>
      </w:pPr>
      <w:r>
        <w:t xml:space="preserve">Toutes les pages HTML (404, merci, confidentialité, CGU comprises) chargent le même app.css compilé au build par Vite/PostCSS ; le CDN runtime cdn.tailwindcss.com (~407 Ko de JS bloquant) a été retiré le 1 septembre 2026.</w:t>
      </w:r>
    </w:p>
    <w:p>
      <w:pPr>
        <w:pStyle w:val="ListParagraph"/>
        <w:numPr>
          <w:ilvl w:val="0"/>
          <w:numId w:val="1"/>
        </w:numPr>
        <w:spacing w:after="60"/>
      </w:pPr>
      <w:r>
        <w:t xml:space="preserve">Routage d'hébergement piloté par vercel.json (public/_redirects, au format Netlify, est ignoré par Vercel) : /admin/*, /superadmin/*, /dashboard et /stations sont réécrits vers dashboard.html. Le renvoi catch-all /(.*) → /index.html a été supprimé le 1 septembre 2026 : un chemin inconnu sert désormais 404.html avec un vrai statut HTTP 404, au lieu d'une fausse page 200 ("soft 404") qui polluait l'indexation.</w:t>
      </w:r>
    </w:p>
    <w:p>
      <w:pPr>
        <w:pStyle w:val="ListParagraph"/>
        <w:numPr>
          <w:ilvl w:val="0"/>
          <w:numId w:val="1"/>
        </w:numPr>
        <w:spacing w:after="60"/>
      </w:pPr>
      <w:r>
        <w:t xml:space="preserve">index.html interroge directement Supabase pour afficher les vraies stations partenaires actives et leurs avis.</w:t>
      </w:r>
    </w:p>
    <w:p>
      <w:pPr>
        <w:pStyle w:val="ListParagraph"/>
        <w:numPr>
          <w:ilvl w:val="0"/>
          <w:numId w:val="1"/>
        </w:numPr>
        <w:spacing w:after="60"/>
      </w:pPr>
      <w:r>
        <w:t xml:space="preserve">Fil d'Ariane + titre de page dynamique sur la route publique /stations.</w:t>
      </w:r>
    </w:p>
    <w:p>
      <w:pPr>
        <w:pStyle w:val="ListParagraph"/>
        <w:numPr>
          <w:ilvl w:val="0"/>
          <w:numId w:val="1"/>
        </w:numPr>
        <w:spacing w:after="60"/>
      </w:pPr>
      <w:r>
        <w:t xml:space="preserve">Carte Google Maps intégrée + lien "itinéraire" sur la fiche détail d'une station.</w:t>
      </w:r>
    </w:p>
    <w:p>
      <w:pPr>
        <w:pStyle w:val="ListParagraph"/>
        <w:numPr>
          <w:ilvl w:val="0"/>
          <w:numId w:val="1"/>
        </w:numPr>
        <w:spacing w:after="60"/>
      </w:pPr>
      <w:r>
        <w:t xml:space="preserve">Depuis le 21 août 2026, /stations met aussi en avant les stations avec une campagne publicitaire ACTIVE (badge "À la une", épinglées en tête) — voir section 7.4.</w:t>
      </w:r>
    </w:p>
    <w:p>
      <w:pPr>
        <w:pStyle w:val="ListParagraph"/>
        <w:numPr>
          <w:ilvl w:val="0"/>
          <w:numId w:val="1"/>
        </w:numPr>
        <w:spacing w:after="60"/>
      </w:pPr>
      <w:r>
        <w:t xml:space="preserve">Section "À propos" (#a-propos) sur la page d'accueil : équipe de laveurs (pointage, planning, affectation multi-laveurs, classement) et périmètre fonctionnel du système, 3 photos de laveurs libres de droits (Pexels), 3 valeurs, CTA station. Sous-partie "Le poste de commande du gérant" : maquette en pur HTML/CSS de la file d'attente Live (plaque, fiche véhicule, assignation d'un ou plusieurs laveurs, bouton Démarrer, bloc "En cours") qui reproduit l'écran réel de StationDashboard, avec l'explication du flux valider-puis-laver en 3 étapes.</w:t>
      </w:r>
    </w:p>
    <w:p>
      <w:pPr>
        <w:pStyle w:val="ListParagraph"/>
        <w:numPr>
          <w:ilvl w:val="0"/>
          <w:numId w:val="1"/>
        </w:numPr>
        <w:spacing w:after="60"/>
      </w:pPr>
      <w:r>
        <w:t xml:space="preserve">Vidéo hero réencodée en 960×540 (~470 Ko au lieu de 3,2 Mo) et chargée uniquement sur grand écran et connexion correcte (ni save-data, ni 2g, ni prefers-reduced-motion) ; sinon poster seul (~38 Ko). Polices Google chargées via &lt;link&gt; plutôt qu'un @import CSS bloquant.</w:t>
      </w:r>
    </w:p>
    <w:p>
      <w:pPr>
        <w:pStyle w:val="ListParagraph"/>
        <w:numPr>
          <w:ilvl w:val="0"/>
          <w:numId w:val="1"/>
        </w:numPr>
        <w:spacing w:after="60"/>
      </w:pPr>
      <w:r>
        <w:t xml:space="preserve">dashboard.html porte désormais une balise noindex (coquille React sans contenu propre à indexer), au même titre que login.html et reset-password.html ; robots.txt ne bloque plus que /admin/ et /superadmin/.</w:t>
      </w:r>
    </w:p>
    <w:p>
      <w:pPr>
        <w:pStyle w:val="ListParagraph"/>
        <w:numPr>
          <w:ilvl w:val="0"/>
          <w:numId w:val="1"/>
        </w:numPr>
        <w:spacing w:after="60"/>
      </w:pPr>
      <w:r>
        <w:t xml:space="preserve">sitemap.xml réduit aux 3 pages réellement indexables (accueil, conditions générales, confidentialité) — /login, /dashboard et /stations en ont été retirés.</w:t>
      </w:r>
    </w:p>
    <w:p>
      <w:pPr>
        <w:pStyle w:val="ListParagraph"/>
        <w:numPr>
          <w:ilvl w:val="0"/>
          <w:numId w:val="1"/>
        </w:numPr>
        <w:spacing w:after="60"/>
      </w:pPr>
      <w:r>
        <w:t xml:space="preserve">Google Search Console : propriété de type Domaine sur galsenautocleaner.com, vérifiée par enregistrement DNS TXT (DNS géré par Vercel) le 1 septembre 2026 — sitemap soumis, indexation de l'accueil demandée. Le référencement vise en priorité les gérants de station (requêtes B2B).</w:t>
      </w:r>
    </w:p>
    <w:p>
      <w:pPr>
        <w:pStyle w:val="Heading1"/>
        <w:spacing w:after="160" w:before="360"/>
      </w:pPr>
      <w:r>
        <w:t xml:space="preserve">9. Limites connues / dette technique</w:t>
      </w:r>
    </w:p>
    <w:p>
      <w:pPr>
        <w:pStyle w:val="ListParagraph"/>
        <w:numPr>
          <w:ilvl w:val="0"/>
          <w:numId w:val="1"/>
        </w:numPr>
        <w:spacing w:after="60"/>
      </w:pPr>
      <w:r>
        <w:t xml:space="preserve">Aucune passerelle de paiement réelle — tout paiement "en ligne" est simulé ou passe par une confirmation manuelle du Super Admin.</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sont en base64, plafonnées à 1,5 Mo.</w:t>
      </w:r>
    </w:p>
    <w:p>
      <w:pPr>
        <w:pStyle w:val="ListParagraph"/>
        <w:numPr>
          <w:ilvl w:val="0"/>
          <w:numId w:val="1"/>
        </w:numPr>
        <w:spacing w:after="60"/>
      </w:pPr>
      <w:r>
        <w:t xml:space="preserve">Le chunk JavaScript principal de l'espace Admin/Dashboard dépasse 1,4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 : une variable référencée sans être déclarée ne casse pas npm run build, seulement au moment où ce code s'exécute réellement en production. Une régression de ce type (stationProfile non récupéré dans StationDashboard.jsx, cassant silencieusement le bouton "Go") a été introduite puis corrigée le 21 août 2026 ; un scan ESLint no-undef ponctuel (sans configuration permanente) a confirmé l'absence d'autres cas similaires à cette date.</w:t>
      </w:r>
    </w:p>
    <w:p>
      <w:pPr>
        <w:pStyle w:val="ListParagraph"/>
        <w:numPr>
          <w:ilvl w:val="0"/>
          <w:numId w:val="1"/>
        </w:numPr>
        <w:spacing w:after="60"/>
      </w:pPr>
      <w:r>
        <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("Votre lavage de confiance à Dakar")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(rôle 'staff') appliqué côté interface seulement — menu et routes /admin/*. Un compte 'staff' connecté peut techniquement lire ou écrire les données de SA station via l'API Supabase (le RLS n'est scopé qu'à la station). Un durcissement RLS par permission reste à faire — voir section 7.10.</w:t>
      </w:r>
    </w:p>
    <w:p>
      <w:pPr>
        <w:spacing w:after="200"/>
      </w:pPr>
      <w:r>
        <w:rPr>
          <w:i/>
          <w:iCs/>
          <w:color w:val="595959"/>
        </w:rP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