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9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</w:tblGrid>
      <w:tr w:rsidR="005C2920" w:rsidRPr="00B375D6" w:rsidTr="004212B8">
        <w:tblPrEx>
          <w:tblCellMar>
            <w:top w:w="0" w:type="dxa"/>
            <w:bottom w:w="0" w:type="dxa"/>
          </w:tblCellMar>
        </w:tblPrEx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Supplier rating</w:t>
            </w:r>
          </w:p>
        </w:tc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Scheduled delivery</w:t>
            </w:r>
          </w:p>
        </w:tc>
      </w:tr>
      <w:tr w:rsidR="005C2920" w:rsidRPr="00B375D6" w:rsidTr="004212B8">
        <w:tblPrEx>
          <w:tblCellMar>
            <w:top w:w="0" w:type="dxa"/>
            <w:bottom w:w="0" w:type="dxa"/>
          </w:tblCellMar>
        </w:tblPrEx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4</w:t>
            </w:r>
          </w:p>
        </w:tc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5 weeks early</w:t>
            </w:r>
          </w:p>
        </w:tc>
      </w:tr>
      <w:tr w:rsidR="005C2920" w:rsidRPr="00B375D6" w:rsidTr="004212B8">
        <w:tblPrEx>
          <w:tblCellMar>
            <w:top w:w="0" w:type="dxa"/>
            <w:bottom w:w="0" w:type="dxa"/>
          </w:tblCellMar>
        </w:tblPrEx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3</w:t>
            </w:r>
          </w:p>
        </w:tc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2 weeks early</w:t>
            </w:r>
          </w:p>
        </w:tc>
      </w:tr>
      <w:tr w:rsidR="005C2920" w:rsidRPr="00B375D6" w:rsidTr="004212B8">
        <w:tblPrEx>
          <w:tblCellMar>
            <w:top w:w="0" w:type="dxa"/>
            <w:bottom w:w="0" w:type="dxa"/>
          </w:tblCellMar>
        </w:tblPrEx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2</w:t>
            </w:r>
          </w:p>
        </w:tc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2 weeks late</w:t>
            </w:r>
          </w:p>
        </w:tc>
      </w:tr>
      <w:tr w:rsidR="005C2920" w:rsidRPr="00B375D6" w:rsidTr="004212B8">
        <w:tblPrEx>
          <w:tblCellMar>
            <w:top w:w="0" w:type="dxa"/>
            <w:bottom w:w="0" w:type="dxa"/>
          </w:tblCellMar>
        </w:tblPrEx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1</w:t>
            </w:r>
          </w:p>
        </w:tc>
        <w:tc>
          <w:tcPr>
            <w:tcW w:w="2275" w:type="dxa"/>
          </w:tcPr>
          <w:p w:rsidR="005C2920" w:rsidRPr="00B375D6" w:rsidRDefault="005C2920" w:rsidP="004212B8">
            <w:pPr>
              <w:jc w:val="center"/>
              <w:rPr>
                <w:sz w:val="24"/>
                <w:szCs w:val="24"/>
              </w:rPr>
            </w:pPr>
            <w:r w:rsidRPr="00B375D6">
              <w:rPr>
                <w:sz w:val="24"/>
                <w:szCs w:val="24"/>
              </w:rPr>
              <w:t>6 weeks late</w:t>
            </w:r>
          </w:p>
        </w:tc>
      </w:tr>
    </w:tbl>
    <w:p w:rsidR="005C2920" w:rsidRPr="004212B8" w:rsidRDefault="004212B8" w:rsidP="004212B8">
      <w:pPr>
        <w:ind w:left="360"/>
        <w:jc w:val="center"/>
        <w:rPr>
          <w:b/>
          <w:sz w:val="28"/>
          <w:szCs w:val="28"/>
        </w:rPr>
      </w:pPr>
      <w:r w:rsidRPr="004212B8">
        <w:rPr>
          <w:b/>
          <w:sz w:val="28"/>
          <w:szCs w:val="28"/>
        </w:rPr>
        <w:t>DECISIONS MADE BY TAFITI HUB IN REGARD TO SUPPLIERS AND CONTRACTORS</w:t>
      </w:r>
      <w:r>
        <w:rPr>
          <w:b/>
          <w:sz w:val="28"/>
          <w:szCs w:val="28"/>
        </w:rPr>
        <w:t xml:space="preserve"> SELECTION</w:t>
      </w:r>
    </w:p>
    <w:p w:rsidR="004212B8" w:rsidRDefault="004212B8" w:rsidP="00741BC4">
      <w:pPr>
        <w:spacing w:line="360" w:lineRule="auto"/>
        <w:rPr>
          <w:sz w:val="24"/>
          <w:szCs w:val="24"/>
        </w:rPr>
      </w:pPr>
    </w:p>
    <w:p w:rsidR="004212B8" w:rsidRDefault="004212B8" w:rsidP="00741BC4">
      <w:pPr>
        <w:spacing w:line="360" w:lineRule="auto"/>
        <w:rPr>
          <w:sz w:val="24"/>
          <w:szCs w:val="24"/>
        </w:rPr>
      </w:pPr>
    </w:p>
    <w:p w:rsidR="004212B8" w:rsidRDefault="004212B8" w:rsidP="00741BC4">
      <w:pPr>
        <w:spacing w:line="360" w:lineRule="auto"/>
        <w:rPr>
          <w:sz w:val="24"/>
          <w:szCs w:val="24"/>
        </w:rPr>
      </w:pPr>
    </w:p>
    <w:p w:rsidR="004212B8" w:rsidRDefault="004212B8" w:rsidP="00741BC4">
      <w:pPr>
        <w:spacing w:line="360" w:lineRule="auto"/>
        <w:rPr>
          <w:sz w:val="24"/>
          <w:szCs w:val="24"/>
        </w:rPr>
      </w:pPr>
    </w:p>
    <w:p w:rsidR="004212B8" w:rsidRDefault="004212B8" w:rsidP="00741BC4">
      <w:pPr>
        <w:spacing w:line="360" w:lineRule="auto"/>
        <w:rPr>
          <w:sz w:val="24"/>
          <w:szCs w:val="24"/>
        </w:rPr>
      </w:pPr>
    </w:p>
    <w:p w:rsidR="00B375D6" w:rsidRPr="00B375D6" w:rsidRDefault="005C2920" w:rsidP="00741BC4">
      <w:pPr>
        <w:spacing w:line="360" w:lineRule="auto"/>
        <w:rPr>
          <w:sz w:val="24"/>
          <w:szCs w:val="24"/>
        </w:rPr>
      </w:pPr>
      <w:r w:rsidRPr="00B375D6">
        <w:rPr>
          <w:sz w:val="24"/>
          <w:szCs w:val="24"/>
        </w:rPr>
        <w:t xml:space="preserve">On </w:t>
      </w:r>
      <w:r w:rsidRPr="00B375D6">
        <w:rPr>
          <w:sz w:val="24"/>
          <w:szCs w:val="24"/>
        </w:rPr>
        <w:t>Water &amp; Sewerage Equipment:</w:t>
      </w:r>
      <w:r w:rsidR="00B375D6" w:rsidRPr="00B375D6">
        <w:rPr>
          <w:sz w:val="24"/>
          <w:szCs w:val="24"/>
        </w:rPr>
        <w:t xml:space="preserve"> </w:t>
      </w:r>
      <w:proofErr w:type="spellStart"/>
      <w:r w:rsidR="00B375D6" w:rsidRPr="00B375D6">
        <w:rPr>
          <w:sz w:val="24"/>
          <w:szCs w:val="24"/>
        </w:rPr>
        <w:t>Vierech</w:t>
      </w:r>
      <w:proofErr w:type="spellEnd"/>
      <w:r w:rsidR="00B375D6" w:rsidRPr="00B375D6">
        <w:rPr>
          <w:sz w:val="24"/>
          <w:szCs w:val="24"/>
        </w:rPr>
        <w:t xml:space="preserve"> GmbH of </w:t>
      </w:r>
      <w:r w:rsidR="00956907" w:rsidRPr="00B375D6">
        <w:rPr>
          <w:sz w:val="24"/>
          <w:szCs w:val="24"/>
        </w:rPr>
        <w:t>Germany</w:t>
      </w:r>
      <w:r w:rsidR="00B375D6" w:rsidRPr="00B375D6">
        <w:rPr>
          <w:sz w:val="24"/>
          <w:szCs w:val="24"/>
        </w:rPr>
        <w:t xml:space="preserve"> was selected with a rating of 1. Some of the key consideration made was </w:t>
      </w:r>
      <w:r w:rsidR="00B375D6" w:rsidRPr="00B375D6">
        <w:rPr>
          <w:sz w:val="24"/>
          <w:szCs w:val="24"/>
        </w:rPr>
        <w:t>Cost and delivery time</w:t>
      </w:r>
      <w:r w:rsidR="00B375D6" w:rsidRPr="00B375D6">
        <w:rPr>
          <w:sz w:val="24"/>
          <w:szCs w:val="24"/>
        </w:rPr>
        <w:t xml:space="preserve">. </w:t>
      </w:r>
      <w:r w:rsidR="00B375D6" w:rsidRPr="00B375D6">
        <w:rPr>
          <w:sz w:val="24"/>
          <w:szCs w:val="24"/>
        </w:rPr>
        <w:t>Since it does not fall in the critical path delivering time increasing to 22 from 16 won’t affect the project completion date</w:t>
      </w:r>
    </w:p>
    <w:p w:rsidR="008C4B55" w:rsidRDefault="00B375D6" w:rsidP="00741BC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Spiral costs of 12% over their quoted cost of 1000</w:t>
      </w:r>
      <w:r w:rsidR="004A7AD5">
        <w:rPr>
          <w:sz w:val="24"/>
          <w:szCs w:val="24"/>
        </w:rPr>
        <w:t xml:space="preserve"> equals to 1120 which is still low compared with the rest of the suppliers.</w:t>
      </w:r>
    </w:p>
    <w:p w:rsidR="00B07BC1" w:rsidRDefault="00B07BC1" w:rsidP="00741BC4">
      <w:pPr>
        <w:spacing w:line="360" w:lineRule="auto"/>
        <w:rPr>
          <w:sz w:val="24"/>
          <w:szCs w:val="24"/>
        </w:rPr>
      </w:pPr>
    </w:p>
    <w:p w:rsidR="00B07BC1" w:rsidRPr="00B375D6" w:rsidRDefault="00B07BC1" w:rsidP="00741BC4">
      <w:pPr>
        <w:spacing w:line="360" w:lineRule="auto"/>
        <w:rPr>
          <w:sz w:val="24"/>
          <w:szCs w:val="24"/>
        </w:rPr>
      </w:pPr>
      <w:r w:rsidRPr="00B375D6">
        <w:rPr>
          <w:sz w:val="24"/>
          <w:szCs w:val="24"/>
        </w:rPr>
        <w:t xml:space="preserve">On </w:t>
      </w:r>
      <w:r w:rsidRPr="00B07BC1">
        <w:rPr>
          <w:sz w:val="24"/>
          <w:szCs w:val="24"/>
        </w:rPr>
        <w:t>Electrical Works</w:t>
      </w:r>
      <w:r w:rsidRPr="00B375D6">
        <w:rPr>
          <w:sz w:val="24"/>
          <w:szCs w:val="24"/>
        </w:rPr>
        <w:t xml:space="preserve">: </w:t>
      </w:r>
      <w:proofErr w:type="spellStart"/>
      <w:r w:rsidRPr="00B07BC1">
        <w:rPr>
          <w:sz w:val="24"/>
          <w:szCs w:val="24"/>
        </w:rPr>
        <w:t>Stockist</w:t>
      </w:r>
      <w:proofErr w:type="spellEnd"/>
      <w:r w:rsidRPr="00B07BC1">
        <w:rPr>
          <w:sz w:val="24"/>
          <w:szCs w:val="24"/>
        </w:rPr>
        <w:t xml:space="preserve"> A </w:t>
      </w:r>
      <w:r w:rsidRPr="00B375D6">
        <w:rPr>
          <w:sz w:val="24"/>
          <w:szCs w:val="24"/>
        </w:rPr>
        <w:t xml:space="preserve">of </w:t>
      </w:r>
      <w:r>
        <w:rPr>
          <w:sz w:val="24"/>
          <w:szCs w:val="24"/>
        </w:rPr>
        <w:t>UK</w:t>
      </w:r>
      <w:r w:rsidRPr="00B375D6">
        <w:rPr>
          <w:sz w:val="24"/>
          <w:szCs w:val="24"/>
        </w:rPr>
        <w:t xml:space="preserve"> </w:t>
      </w:r>
      <w:r>
        <w:rPr>
          <w:sz w:val="24"/>
          <w:szCs w:val="24"/>
        </w:rPr>
        <w:t>was selected with a rating of 4</w:t>
      </w:r>
      <w:r w:rsidRPr="00B375D6">
        <w:rPr>
          <w:sz w:val="24"/>
          <w:szCs w:val="24"/>
        </w:rPr>
        <w:t xml:space="preserve">. Some of the key consideration made was </w:t>
      </w:r>
      <w:r w:rsidRPr="00D91831">
        <w:rPr>
          <w:sz w:val="24"/>
          <w:szCs w:val="24"/>
        </w:rPr>
        <w:t>Average cost, low delivery time and good rating</w:t>
      </w:r>
      <w:r w:rsidRPr="00B375D6">
        <w:rPr>
          <w:sz w:val="24"/>
          <w:szCs w:val="24"/>
        </w:rPr>
        <w:t xml:space="preserve">. </w:t>
      </w:r>
      <w:r>
        <w:rPr>
          <w:sz w:val="24"/>
          <w:szCs w:val="24"/>
        </w:rPr>
        <w:t>Advantage of this supplier delivery time is less 5 weeks making the delivery to reduce from 20 to 15 weeks</w:t>
      </w:r>
      <w:r w:rsidR="00FB435D">
        <w:rPr>
          <w:sz w:val="24"/>
          <w:szCs w:val="24"/>
        </w:rPr>
        <w:t>.</w:t>
      </w:r>
    </w:p>
    <w:p w:rsidR="00B07BC1" w:rsidRDefault="00B07BC1" w:rsidP="00741BC4">
      <w:pPr>
        <w:spacing w:line="360" w:lineRule="auto"/>
        <w:rPr>
          <w:sz w:val="24"/>
          <w:szCs w:val="24"/>
        </w:rPr>
      </w:pPr>
    </w:p>
    <w:p w:rsidR="00FB435D" w:rsidRDefault="00FB435D" w:rsidP="00741BC4">
      <w:pPr>
        <w:spacing w:line="360" w:lineRule="auto"/>
        <w:rPr>
          <w:sz w:val="24"/>
          <w:szCs w:val="24"/>
        </w:rPr>
      </w:pPr>
      <w:r w:rsidRPr="00B375D6">
        <w:rPr>
          <w:sz w:val="24"/>
          <w:szCs w:val="24"/>
        </w:rPr>
        <w:t xml:space="preserve">On </w:t>
      </w:r>
      <w:r w:rsidR="00956907">
        <w:rPr>
          <w:sz w:val="24"/>
          <w:szCs w:val="24"/>
        </w:rPr>
        <w:t xml:space="preserve">Computing </w:t>
      </w:r>
      <w:r w:rsidRPr="00FB435D">
        <w:rPr>
          <w:sz w:val="24"/>
          <w:szCs w:val="24"/>
        </w:rPr>
        <w:t xml:space="preserve">&amp;Networking </w:t>
      </w:r>
      <w:proofErr w:type="gramStart"/>
      <w:r w:rsidRPr="00FB435D">
        <w:rPr>
          <w:sz w:val="24"/>
          <w:szCs w:val="24"/>
        </w:rPr>
        <w:t>Equipment:</w:t>
      </w:r>
      <w:r w:rsidRPr="00B375D6">
        <w:rPr>
          <w:sz w:val="24"/>
          <w:szCs w:val="24"/>
        </w:rPr>
        <w:t>:</w:t>
      </w:r>
      <w:proofErr w:type="gramEnd"/>
      <w:r w:rsidRPr="00B375D6">
        <w:rPr>
          <w:sz w:val="24"/>
          <w:szCs w:val="24"/>
        </w:rPr>
        <w:t xml:space="preserve"> </w:t>
      </w:r>
      <w:r>
        <w:rPr>
          <w:sz w:val="24"/>
          <w:szCs w:val="24"/>
        </w:rPr>
        <w:t>IBM</w:t>
      </w:r>
      <w:r w:rsidRPr="00B07BC1">
        <w:rPr>
          <w:sz w:val="24"/>
          <w:szCs w:val="24"/>
        </w:rPr>
        <w:t xml:space="preserve"> </w:t>
      </w:r>
      <w:r w:rsidRPr="00B375D6">
        <w:rPr>
          <w:sz w:val="24"/>
          <w:szCs w:val="24"/>
        </w:rPr>
        <w:t xml:space="preserve">of </w:t>
      </w:r>
      <w:r>
        <w:rPr>
          <w:sz w:val="24"/>
          <w:szCs w:val="24"/>
        </w:rPr>
        <w:t>US</w:t>
      </w:r>
      <w:r w:rsidRPr="00B375D6">
        <w:rPr>
          <w:sz w:val="24"/>
          <w:szCs w:val="24"/>
        </w:rPr>
        <w:t xml:space="preserve"> </w:t>
      </w:r>
      <w:r>
        <w:rPr>
          <w:sz w:val="24"/>
          <w:szCs w:val="24"/>
        </w:rPr>
        <w:t>was selected with a rating of 4</w:t>
      </w:r>
      <w:r w:rsidRPr="00B375D6">
        <w:rPr>
          <w:sz w:val="24"/>
          <w:szCs w:val="24"/>
        </w:rPr>
        <w:t xml:space="preserve">. Some of the key consideration made was </w:t>
      </w:r>
      <w:r w:rsidRPr="00D91831">
        <w:rPr>
          <w:sz w:val="24"/>
          <w:szCs w:val="24"/>
        </w:rPr>
        <w:t>Average cost, low delivery time and good rating</w:t>
      </w:r>
      <w:r w:rsidRPr="00B375D6">
        <w:rPr>
          <w:sz w:val="24"/>
          <w:szCs w:val="24"/>
        </w:rPr>
        <w:t xml:space="preserve">. </w:t>
      </w:r>
      <w:r>
        <w:rPr>
          <w:sz w:val="24"/>
          <w:szCs w:val="24"/>
        </w:rPr>
        <w:t>Advantage of this supplier delivery time is less 5 weeks making the delivery to reduce from 20 to 15 weeks.</w:t>
      </w:r>
    </w:p>
    <w:p w:rsidR="00FB435D" w:rsidRDefault="00FB435D" w:rsidP="00741BC4">
      <w:pPr>
        <w:spacing w:line="360" w:lineRule="auto"/>
        <w:rPr>
          <w:sz w:val="24"/>
          <w:szCs w:val="24"/>
        </w:rPr>
      </w:pPr>
    </w:p>
    <w:p w:rsidR="00FB435D" w:rsidRDefault="00FB435D" w:rsidP="00741BC4">
      <w:pPr>
        <w:spacing w:line="360" w:lineRule="auto"/>
        <w:rPr>
          <w:sz w:val="24"/>
          <w:szCs w:val="24"/>
        </w:rPr>
      </w:pPr>
      <w:r w:rsidRPr="00B375D6">
        <w:rPr>
          <w:sz w:val="24"/>
          <w:szCs w:val="24"/>
        </w:rPr>
        <w:t xml:space="preserve">On </w:t>
      </w:r>
      <w:r w:rsidR="00741BC4" w:rsidRPr="00741BC4">
        <w:rPr>
          <w:sz w:val="24"/>
          <w:szCs w:val="24"/>
        </w:rPr>
        <w:t>Communications and Networking (Fiber-optic Materials)</w:t>
      </w:r>
      <w:r w:rsidRPr="00B375D6">
        <w:rPr>
          <w:sz w:val="24"/>
          <w:szCs w:val="24"/>
        </w:rPr>
        <w:t xml:space="preserve">: </w:t>
      </w:r>
      <w:proofErr w:type="spellStart"/>
      <w:r w:rsidR="00741BC4" w:rsidRPr="00741BC4">
        <w:rPr>
          <w:sz w:val="24"/>
          <w:szCs w:val="24"/>
        </w:rPr>
        <w:t>Pensou</w:t>
      </w:r>
      <w:proofErr w:type="spellEnd"/>
      <w:r w:rsidRPr="00B07BC1">
        <w:rPr>
          <w:sz w:val="24"/>
          <w:szCs w:val="24"/>
        </w:rPr>
        <w:t xml:space="preserve"> </w:t>
      </w:r>
      <w:r w:rsidRPr="00B375D6">
        <w:rPr>
          <w:sz w:val="24"/>
          <w:szCs w:val="24"/>
        </w:rPr>
        <w:t xml:space="preserve">of </w:t>
      </w:r>
      <w:r w:rsidR="00741BC4">
        <w:rPr>
          <w:sz w:val="24"/>
          <w:szCs w:val="24"/>
        </w:rPr>
        <w:t>France</w:t>
      </w:r>
      <w:r w:rsidRPr="00B375D6">
        <w:rPr>
          <w:sz w:val="24"/>
          <w:szCs w:val="24"/>
        </w:rPr>
        <w:t xml:space="preserve"> </w:t>
      </w:r>
      <w:r>
        <w:rPr>
          <w:sz w:val="24"/>
          <w:szCs w:val="24"/>
        </w:rPr>
        <w:t>was selected with a rating of 4</w:t>
      </w:r>
      <w:r w:rsidRPr="00B375D6">
        <w:rPr>
          <w:sz w:val="24"/>
          <w:szCs w:val="24"/>
        </w:rPr>
        <w:t xml:space="preserve">. Some of the key consideration made was </w:t>
      </w:r>
      <w:r w:rsidRPr="00D91831">
        <w:rPr>
          <w:sz w:val="24"/>
          <w:szCs w:val="24"/>
        </w:rPr>
        <w:t>low delivery time and good rating</w:t>
      </w:r>
      <w:r w:rsidRPr="00B375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Advantage of this supplier delivery time is less 5 weeks making </w:t>
      </w:r>
      <w:r w:rsidR="00DB3398">
        <w:rPr>
          <w:sz w:val="24"/>
          <w:szCs w:val="24"/>
        </w:rPr>
        <w:t>the delivery to reduce from 15 to 10</w:t>
      </w:r>
      <w:r>
        <w:rPr>
          <w:sz w:val="24"/>
          <w:szCs w:val="24"/>
        </w:rPr>
        <w:t xml:space="preserve"> weeks.</w:t>
      </w:r>
    </w:p>
    <w:p w:rsidR="009E07EC" w:rsidRDefault="009E07EC" w:rsidP="00741BC4">
      <w:pPr>
        <w:spacing w:line="360" w:lineRule="auto"/>
        <w:rPr>
          <w:sz w:val="24"/>
          <w:szCs w:val="24"/>
        </w:rPr>
      </w:pPr>
    </w:p>
    <w:p w:rsidR="009E07EC" w:rsidRPr="00B375D6" w:rsidRDefault="009E07EC" w:rsidP="009E07EC">
      <w:pPr>
        <w:spacing w:line="360" w:lineRule="auto"/>
        <w:rPr>
          <w:sz w:val="24"/>
          <w:szCs w:val="24"/>
        </w:rPr>
      </w:pPr>
      <w:r w:rsidRPr="00B375D6">
        <w:rPr>
          <w:sz w:val="24"/>
          <w:szCs w:val="24"/>
        </w:rPr>
        <w:t xml:space="preserve">On </w:t>
      </w:r>
      <w:r w:rsidR="001812C1" w:rsidRPr="001812C1">
        <w:rPr>
          <w:sz w:val="24"/>
          <w:szCs w:val="24"/>
        </w:rPr>
        <w:t>H/W Assembly Equipment</w:t>
      </w:r>
      <w:r w:rsidR="0070346B">
        <w:rPr>
          <w:sz w:val="24"/>
          <w:szCs w:val="24"/>
        </w:rPr>
        <w:t xml:space="preserve">: </w:t>
      </w:r>
      <w:proofErr w:type="spellStart"/>
      <w:r w:rsidR="0070346B">
        <w:rPr>
          <w:sz w:val="24"/>
          <w:szCs w:val="24"/>
        </w:rPr>
        <w:t>Mindorf</w:t>
      </w:r>
      <w:proofErr w:type="spellEnd"/>
      <w:r w:rsidRPr="00B07BC1">
        <w:rPr>
          <w:sz w:val="24"/>
          <w:szCs w:val="24"/>
        </w:rPr>
        <w:t xml:space="preserve"> </w:t>
      </w:r>
      <w:r w:rsidRPr="00B375D6">
        <w:rPr>
          <w:sz w:val="24"/>
          <w:szCs w:val="24"/>
        </w:rPr>
        <w:t xml:space="preserve">of </w:t>
      </w:r>
      <w:r w:rsidR="0070346B">
        <w:rPr>
          <w:sz w:val="24"/>
          <w:szCs w:val="24"/>
        </w:rPr>
        <w:t xml:space="preserve">Germany </w:t>
      </w:r>
      <w:r>
        <w:rPr>
          <w:sz w:val="24"/>
          <w:szCs w:val="24"/>
        </w:rPr>
        <w:t>was selected with a rating of 4</w:t>
      </w:r>
      <w:r w:rsidRPr="00B375D6">
        <w:rPr>
          <w:sz w:val="24"/>
          <w:szCs w:val="24"/>
        </w:rPr>
        <w:t xml:space="preserve">. Some of the key consideration made was </w:t>
      </w:r>
      <w:r w:rsidRPr="00D91831">
        <w:rPr>
          <w:sz w:val="24"/>
          <w:szCs w:val="24"/>
        </w:rPr>
        <w:t>low delivery time and good rating</w:t>
      </w:r>
      <w:r w:rsidRPr="00B375D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Advantage of this supplier delivery time is less 5 weeks making </w:t>
      </w:r>
      <w:r w:rsidR="0070346B">
        <w:rPr>
          <w:sz w:val="24"/>
          <w:szCs w:val="24"/>
        </w:rPr>
        <w:t>the delivery to reduce from 20 to 15</w:t>
      </w:r>
      <w:r>
        <w:rPr>
          <w:sz w:val="24"/>
          <w:szCs w:val="24"/>
        </w:rPr>
        <w:t xml:space="preserve"> weeks.</w:t>
      </w:r>
    </w:p>
    <w:p w:rsidR="009E07EC" w:rsidRPr="00B375D6" w:rsidRDefault="009E07EC" w:rsidP="00741BC4">
      <w:pPr>
        <w:spacing w:line="360" w:lineRule="auto"/>
        <w:rPr>
          <w:sz w:val="24"/>
          <w:szCs w:val="24"/>
        </w:rPr>
      </w:pPr>
    </w:p>
    <w:p w:rsidR="00FB435D" w:rsidRPr="00B375D6" w:rsidRDefault="00FB435D" w:rsidP="00FB435D">
      <w:pPr>
        <w:rPr>
          <w:sz w:val="24"/>
          <w:szCs w:val="24"/>
        </w:rPr>
      </w:pPr>
    </w:p>
    <w:p w:rsidR="00B86AFC" w:rsidRDefault="00B86AFC">
      <w:pPr>
        <w:rPr>
          <w:sz w:val="24"/>
          <w:szCs w:val="24"/>
        </w:rPr>
      </w:pPr>
    </w:p>
    <w:p w:rsidR="00B86AFC" w:rsidRDefault="00B86AFC">
      <w:pPr>
        <w:rPr>
          <w:sz w:val="24"/>
          <w:szCs w:val="24"/>
        </w:rPr>
      </w:pPr>
    </w:p>
    <w:p w:rsidR="00B86AFC" w:rsidRDefault="00B86AFC">
      <w:pPr>
        <w:rPr>
          <w:sz w:val="24"/>
          <w:szCs w:val="24"/>
        </w:rPr>
      </w:pPr>
    </w:p>
    <w:p w:rsidR="00B86AFC" w:rsidRDefault="00B86AFC" w:rsidP="00B86AFC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Civil and Building Works:</w:t>
      </w:r>
    </w:p>
    <w:p w:rsidR="00B86AFC" w:rsidRDefault="00B86AFC" w:rsidP="00B86AFC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Rating 4 Civil Works and Building Works contractors are</w:t>
      </w:r>
      <w:r w:rsidRPr="00DB78C5">
        <w:rPr>
          <w:sz w:val="24"/>
          <w:szCs w:val="24"/>
        </w:rPr>
        <w:t xml:space="preserve"> currently scheduled to finish 4 weeks ahead of schedule</w:t>
      </w:r>
      <w:r>
        <w:rPr>
          <w:sz w:val="24"/>
          <w:szCs w:val="24"/>
        </w:rPr>
        <w:t xml:space="preserve">. </w:t>
      </w:r>
    </w:p>
    <w:p w:rsidR="00B86AFC" w:rsidRDefault="00B86AFC" w:rsidP="00B86AFC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DB78C5">
        <w:rPr>
          <w:sz w:val="24"/>
          <w:szCs w:val="24"/>
        </w:rPr>
        <w:t xml:space="preserve">All other </w:t>
      </w:r>
      <w:r>
        <w:rPr>
          <w:sz w:val="24"/>
          <w:szCs w:val="24"/>
        </w:rPr>
        <w:t>Civil works and Building Works contractors</w:t>
      </w:r>
      <w:r w:rsidRPr="00DB78C5">
        <w:rPr>
          <w:sz w:val="24"/>
          <w:szCs w:val="24"/>
        </w:rPr>
        <w:t xml:space="preserve"> are running 6 weeks behind schedule.</w:t>
      </w:r>
    </w:p>
    <w:p w:rsidR="00B86AFC" w:rsidRDefault="00B86AFC" w:rsidP="00B86A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Civil Works</w:t>
      </w:r>
      <w:r w:rsidR="00024E6A">
        <w:rPr>
          <w:sz w:val="24"/>
          <w:szCs w:val="24"/>
        </w:rPr>
        <w:t>,</w:t>
      </w:r>
      <w:r>
        <w:rPr>
          <w:sz w:val="24"/>
          <w:szCs w:val="24"/>
        </w:rPr>
        <w:t xml:space="preserve"> no contractor had a rating of 4 and above meaning </w:t>
      </w:r>
      <w:r w:rsidRPr="00B86AFC">
        <w:rPr>
          <w:sz w:val="24"/>
          <w:szCs w:val="24"/>
        </w:rPr>
        <w:t>all other vendors will be 6 weeks late as follows</w:t>
      </w:r>
      <w:r>
        <w:rPr>
          <w:sz w:val="24"/>
          <w:szCs w:val="24"/>
        </w:rPr>
        <w:t>:</w:t>
      </w:r>
      <w:r w:rsidR="0037742D">
        <w:rPr>
          <w:sz w:val="24"/>
          <w:szCs w:val="24"/>
        </w:rPr>
        <w:t xml:space="preserve"> </w:t>
      </w:r>
      <w:r w:rsidR="004212B8">
        <w:rPr>
          <w:sz w:val="24"/>
          <w:szCs w:val="24"/>
        </w:rPr>
        <w:t>initial</w:t>
      </w:r>
      <w:r w:rsidR="0037742D">
        <w:rPr>
          <w:sz w:val="24"/>
          <w:szCs w:val="24"/>
        </w:rPr>
        <w:t xml:space="preserve"> selection was </w:t>
      </w:r>
      <w:r w:rsidR="0037742D" w:rsidRPr="0037742D">
        <w:rPr>
          <w:sz w:val="24"/>
          <w:szCs w:val="24"/>
        </w:rPr>
        <w:t>Shanghai Steel</w:t>
      </w:r>
      <w:r w:rsidR="0037742D">
        <w:rPr>
          <w:sz w:val="24"/>
          <w:szCs w:val="24"/>
        </w:rPr>
        <w:t xml:space="preserve"> 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4"/>
        <w:gridCol w:w="1852"/>
        <w:gridCol w:w="1934"/>
        <w:gridCol w:w="2185"/>
        <w:gridCol w:w="1345"/>
      </w:tblGrid>
      <w:tr w:rsidR="004212B8" w:rsidTr="004212B8">
        <w:tc>
          <w:tcPr>
            <w:tcW w:w="20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Contractor</w:t>
            </w:r>
          </w:p>
        </w:tc>
        <w:tc>
          <w:tcPr>
            <w:tcW w:w="1852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9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 </w:t>
            </w:r>
            <w:r w:rsidR="0015077F">
              <w:rPr>
                <w:sz w:val="24"/>
                <w:szCs w:val="24"/>
              </w:rPr>
              <w:t>Delivery</w:t>
            </w:r>
          </w:p>
        </w:tc>
        <w:tc>
          <w:tcPr>
            <w:tcW w:w="2185" w:type="dxa"/>
          </w:tcPr>
          <w:p w:rsidR="004212B8" w:rsidRDefault="0015077F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Slippage</w:t>
            </w:r>
            <w:r w:rsidR="004212B8">
              <w:rPr>
                <w:sz w:val="24"/>
                <w:szCs w:val="24"/>
              </w:rPr>
              <w:t xml:space="preserve"> Delivery</w:t>
            </w:r>
          </w:p>
        </w:tc>
        <w:tc>
          <w:tcPr>
            <w:tcW w:w="134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</w:tr>
      <w:tr w:rsidR="004212B8" w:rsidTr="004212B8">
        <w:tc>
          <w:tcPr>
            <w:tcW w:w="2034" w:type="dxa"/>
          </w:tcPr>
          <w:p w:rsidR="004212B8" w:rsidRPr="00024E6A" w:rsidRDefault="004212B8" w:rsidP="00B86AFC">
            <w:pPr>
              <w:spacing w:line="360" w:lineRule="auto"/>
              <w:jc w:val="center"/>
              <w:rPr>
                <w:sz w:val="24"/>
                <w:szCs w:val="24"/>
                <w:highlight w:val="yellow"/>
              </w:rPr>
            </w:pPr>
            <w:r w:rsidRPr="00024E6A">
              <w:rPr>
                <w:sz w:val="24"/>
                <w:szCs w:val="24"/>
                <w:highlight w:val="yellow"/>
              </w:rPr>
              <w:t>Shanghai Steel</w:t>
            </w:r>
          </w:p>
        </w:tc>
        <w:tc>
          <w:tcPr>
            <w:tcW w:w="1852" w:type="dxa"/>
          </w:tcPr>
          <w:p w:rsidR="004212B8" w:rsidRPr="00024E6A" w:rsidRDefault="004212B8" w:rsidP="00B86AF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024E6A">
              <w:rPr>
                <w:sz w:val="24"/>
                <w:szCs w:val="24"/>
                <w:highlight w:val="yellow"/>
              </w:rPr>
              <w:t>45000</w:t>
            </w:r>
          </w:p>
        </w:tc>
        <w:tc>
          <w:tcPr>
            <w:tcW w:w="1934" w:type="dxa"/>
          </w:tcPr>
          <w:p w:rsidR="004212B8" w:rsidRPr="00024E6A" w:rsidRDefault="004212B8" w:rsidP="00B86AFC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024E6A">
              <w:rPr>
                <w:sz w:val="24"/>
                <w:szCs w:val="24"/>
                <w:highlight w:val="yellow"/>
              </w:rPr>
              <w:t>78</w:t>
            </w:r>
          </w:p>
        </w:tc>
        <w:tc>
          <w:tcPr>
            <w:tcW w:w="2185" w:type="dxa"/>
          </w:tcPr>
          <w:p w:rsidR="004212B8" w:rsidRPr="00024E6A" w:rsidRDefault="004212B8" w:rsidP="00024E6A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84</w:t>
            </w:r>
          </w:p>
        </w:tc>
        <w:tc>
          <w:tcPr>
            <w:tcW w:w="1345" w:type="dxa"/>
          </w:tcPr>
          <w:p w:rsidR="004212B8" w:rsidRPr="00024E6A" w:rsidRDefault="004212B8" w:rsidP="00024E6A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024E6A">
              <w:rPr>
                <w:sz w:val="24"/>
                <w:szCs w:val="24"/>
                <w:highlight w:val="yellow"/>
              </w:rPr>
              <w:t>2</w:t>
            </w:r>
          </w:p>
        </w:tc>
      </w:tr>
      <w:tr w:rsidR="004212B8" w:rsidTr="004212B8">
        <w:tc>
          <w:tcPr>
            <w:tcW w:w="20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 w:rsidRPr="00B86AFC">
              <w:rPr>
                <w:sz w:val="24"/>
                <w:szCs w:val="24"/>
              </w:rPr>
              <w:t>China Jiangsu</w:t>
            </w:r>
          </w:p>
        </w:tc>
        <w:tc>
          <w:tcPr>
            <w:tcW w:w="1852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46000</w:t>
            </w:r>
          </w:p>
        </w:tc>
        <w:tc>
          <w:tcPr>
            <w:tcW w:w="19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218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34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4212B8" w:rsidTr="004212B8">
        <w:tc>
          <w:tcPr>
            <w:tcW w:w="20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 w:rsidRPr="00B86AFC">
              <w:rPr>
                <w:sz w:val="24"/>
                <w:szCs w:val="24"/>
              </w:rPr>
              <w:t>Beijing Engineering</w:t>
            </w:r>
          </w:p>
        </w:tc>
        <w:tc>
          <w:tcPr>
            <w:tcW w:w="1852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43000</w:t>
            </w:r>
          </w:p>
        </w:tc>
        <w:tc>
          <w:tcPr>
            <w:tcW w:w="19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18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34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12B8" w:rsidTr="004212B8">
        <w:tc>
          <w:tcPr>
            <w:tcW w:w="2034" w:type="dxa"/>
          </w:tcPr>
          <w:p w:rsidR="004212B8" w:rsidRDefault="004212B8" w:rsidP="00326584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326584">
              <w:rPr>
                <w:sz w:val="24"/>
                <w:szCs w:val="24"/>
              </w:rPr>
              <w:t>Bethlehem Steel</w:t>
            </w:r>
          </w:p>
        </w:tc>
        <w:tc>
          <w:tcPr>
            <w:tcW w:w="1852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19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218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34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212B8" w:rsidTr="004212B8">
        <w:tc>
          <w:tcPr>
            <w:tcW w:w="20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 w:rsidRPr="00326584">
              <w:rPr>
                <w:sz w:val="24"/>
                <w:szCs w:val="24"/>
              </w:rPr>
              <w:t>Thames Concrete</w:t>
            </w:r>
          </w:p>
        </w:tc>
        <w:tc>
          <w:tcPr>
            <w:tcW w:w="1852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48000</w:t>
            </w:r>
          </w:p>
        </w:tc>
        <w:tc>
          <w:tcPr>
            <w:tcW w:w="1934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18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345" w:type="dxa"/>
          </w:tcPr>
          <w:p w:rsidR="004212B8" w:rsidRDefault="004212B8" w:rsidP="00B86AF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B86AFC" w:rsidRDefault="00B86AFC" w:rsidP="00B86AFC">
      <w:pPr>
        <w:spacing w:line="360" w:lineRule="auto"/>
        <w:rPr>
          <w:sz w:val="24"/>
          <w:szCs w:val="24"/>
        </w:rPr>
      </w:pPr>
    </w:p>
    <w:p w:rsidR="00B86AFC" w:rsidRDefault="00024E6A" w:rsidP="00B86A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Since civil works falls in the critical path</w:t>
      </w:r>
      <w:r w:rsidR="00CC049F">
        <w:rPr>
          <w:sz w:val="24"/>
          <w:szCs w:val="24"/>
        </w:rPr>
        <w:t>,</w:t>
      </w:r>
      <w:r>
        <w:rPr>
          <w:sz w:val="24"/>
          <w:szCs w:val="24"/>
        </w:rPr>
        <w:t xml:space="preserve"> duration is a key element</w:t>
      </w:r>
      <w:r w:rsidR="00CC049F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consideration. </w:t>
      </w:r>
      <w:r w:rsidR="00CC049F">
        <w:rPr>
          <w:sz w:val="24"/>
          <w:szCs w:val="24"/>
        </w:rPr>
        <w:t xml:space="preserve">All contractor will be late in delivery by 6 weeks as follows and if contractor were to be changed at this stage we would select Bethlehem steel with a rating of 3 and cost </w:t>
      </w:r>
      <w:r w:rsidR="00956907">
        <w:rPr>
          <w:sz w:val="24"/>
          <w:szCs w:val="24"/>
        </w:rPr>
        <w:t>$</w:t>
      </w:r>
      <w:bookmarkStart w:id="0" w:name="_GoBack"/>
      <w:bookmarkEnd w:id="0"/>
      <w:r w:rsidR="00CC049F">
        <w:rPr>
          <w:sz w:val="24"/>
          <w:szCs w:val="24"/>
        </w:rPr>
        <w:t xml:space="preserve">50000. Even though high resources would be required to finance the project it is the ideal </w:t>
      </w:r>
      <w:r w:rsidR="0015077F">
        <w:rPr>
          <w:sz w:val="24"/>
          <w:szCs w:val="24"/>
        </w:rPr>
        <w:t>to</w:t>
      </w:r>
      <w:r w:rsidR="00CC049F">
        <w:rPr>
          <w:sz w:val="24"/>
          <w:szCs w:val="24"/>
        </w:rPr>
        <w:t xml:space="preserve"> complete the project on time. </w:t>
      </w:r>
    </w:p>
    <w:p w:rsidR="00B86AFC" w:rsidRPr="00B375D6" w:rsidRDefault="00B86AFC">
      <w:pPr>
        <w:rPr>
          <w:sz w:val="24"/>
          <w:szCs w:val="24"/>
        </w:rPr>
      </w:pPr>
    </w:p>
    <w:sectPr w:rsidR="00B86AFC" w:rsidRPr="00B3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B050C"/>
    <w:multiLevelType w:val="hybridMultilevel"/>
    <w:tmpl w:val="4D7ABA6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994CB2"/>
    <w:multiLevelType w:val="hybridMultilevel"/>
    <w:tmpl w:val="A35EFAF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20"/>
    <w:rsid w:val="00024E6A"/>
    <w:rsid w:val="0015077F"/>
    <w:rsid w:val="001812C1"/>
    <w:rsid w:val="00326584"/>
    <w:rsid w:val="0037742D"/>
    <w:rsid w:val="004212B8"/>
    <w:rsid w:val="00471355"/>
    <w:rsid w:val="004A7AD5"/>
    <w:rsid w:val="005C2920"/>
    <w:rsid w:val="0070346B"/>
    <w:rsid w:val="00741BC4"/>
    <w:rsid w:val="008C4B55"/>
    <w:rsid w:val="00956907"/>
    <w:rsid w:val="009E07EC"/>
    <w:rsid w:val="00B07BC1"/>
    <w:rsid w:val="00B375D6"/>
    <w:rsid w:val="00B86AFC"/>
    <w:rsid w:val="00CC049F"/>
    <w:rsid w:val="00DB3398"/>
    <w:rsid w:val="00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CC93"/>
  <w15:chartTrackingRefBased/>
  <w15:docId w15:val="{FDB8505E-AF0A-4E77-A516-EA8E7718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9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C. Kariuki</dc:creator>
  <cp:keywords/>
  <dc:description/>
  <cp:lastModifiedBy>Peter C. Kariuki</cp:lastModifiedBy>
  <cp:revision>2</cp:revision>
  <dcterms:created xsi:type="dcterms:W3CDTF">2018-11-28T05:50:00Z</dcterms:created>
  <dcterms:modified xsi:type="dcterms:W3CDTF">2018-11-28T05:50:00Z</dcterms:modified>
</cp:coreProperties>
</file>