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18g3lnd2122" w:id="0"/>
      <w:bookmarkEnd w:id="0"/>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Project Statement</w:t>
      </w:r>
      <w:r w:rsidDel="00000000" w:rsidR="00000000" w:rsidRPr="00000000">
        <w:rPr>
          <w:rtl w:val="0"/>
        </w:rPr>
      </w:r>
    </w:p>
    <w:p w:rsidR="00000000" w:rsidDel="00000000" w:rsidP="00000000" w:rsidRDefault="00000000" w:rsidRPr="00000000" w14:paraId="00000002">
      <w:pPr>
        <w:pStyle w:val="Heading1"/>
        <w:rPr/>
      </w:pPr>
      <w:bookmarkStart w:colFirst="0" w:colLast="0" w:name="_f8z358v21an1" w:id="1"/>
      <w:bookmarkEnd w:id="1"/>
      <w:r w:rsidDel="00000000" w:rsidR="00000000" w:rsidRPr="00000000">
        <w:rPr>
          <w:rtl w:val="0"/>
        </w:rPr>
        <w:t xml:space="preserve">Research Problem</w:t>
      </w:r>
      <w:r w:rsidDel="00000000" w:rsidR="00000000" w:rsidRPr="00000000">
        <w:rPr>
          <w:rtl w:val="0"/>
        </w:rPr>
      </w:r>
    </w:p>
    <w:p w:rsidR="00000000" w:rsidDel="00000000" w:rsidP="00000000" w:rsidRDefault="00000000" w:rsidRPr="00000000" w14:paraId="00000003">
      <w:pPr>
        <w:jc w:val="center"/>
        <w:rPr>
          <w:b w:val="1"/>
          <w:bCs w:val="1"/>
          <w:color w:val="666666"/>
        </w:rPr>
      </w:pPr>
      <w:r w:rsidDel="00000000" w:rsidR="00000000" w:rsidRPr="00000000">
        <w:rPr>
          <w:b w:val="1"/>
          <w:bCs w:val="1"/>
          <w:color w:val="666666"/>
          <w:rtl w:val="0"/>
        </w:rPr>
        <w:t xml:space="preserve">Can a model be developed that accurately predicts a disease state based on a microbiome “</w:t>
      </w:r>
      <w:r w:rsidDel="00000000" w:rsidR="00000000" w:rsidRPr="00000000">
        <w:rPr>
          <w:b w:val="1"/>
          <w:bCs w:val="1"/>
          <w:color w:val="666666"/>
          <w:rtl w:val="0"/>
        </w:rPr>
        <w:t xml:space="preserve">fingerprint</w:t>
      </w:r>
      <w:r w:rsidDel="00000000" w:rsidR="00000000" w:rsidRPr="00000000">
        <w:rPr>
          <w:b w:val="1"/>
          <w:bCs w:val="1"/>
          <w:color w:val="666666"/>
          <w:rtl w:val="0"/>
        </w:rPr>
        <w:t xml:space="preserve">” based on human metagenomic samples and datasets?</w:t>
      </w:r>
    </w:p>
    <w:p w:rsidR="00000000" w:rsidDel="00000000" w:rsidP="00000000" w:rsidRDefault="00000000" w:rsidRPr="00000000" w14:paraId="00000004">
      <w:pPr>
        <w:jc w:val="center"/>
        <w:rPr>
          <w:b w:val="1"/>
          <w:bCs w:val="1"/>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ab/>
        <w:t xml:space="preserve">Through the analysis of previously acquired metagenomic data, our aim is to generate a model with clinical applications from the information contained within the human microbiome. By investigating the predictive value of a microbial “fingerprint” for particular diseases, we will generate an algorithmic model that has the potential to be developed into a proof-of-concept clinical tool to aid in differential diagnoses. </w:t>
      </w:r>
    </w:p>
    <w:p w:rsidR="00000000" w:rsidDel="00000000" w:rsidP="00000000" w:rsidRDefault="00000000" w:rsidRPr="00000000" w14:paraId="00000006">
      <w:pPr>
        <w:pStyle w:val="Heading1"/>
        <w:rPr/>
      </w:pPr>
      <w:bookmarkStart w:colFirst="0" w:colLast="0" w:name="_u73jal7t5jl8" w:id="2"/>
      <w:bookmarkEnd w:id="2"/>
      <w:r w:rsidDel="00000000" w:rsidR="00000000" w:rsidRPr="00000000">
        <w:rPr>
          <w:rtl w:val="0"/>
        </w:rPr>
        <w:t xml:space="preserve">Research Questions</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Is it more beneficial to model based on taxonomy, metabolic functionality, or a combination of the two? </w:t>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rtl w:val="0"/>
        </w:rPr>
        <w:t xml:space="preserve">If a combination is more predictive than using either metric alone, what weighting should be applied to taxonomy versus functionality for model optimization?</w:t>
      </w:r>
    </w:p>
    <w:p w:rsidR="00000000" w:rsidDel="00000000" w:rsidP="00000000" w:rsidRDefault="00000000" w:rsidRPr="00000000" w14:paraId="00000009">
      <w:pPr>
        <w:spacing w:after="200" w:lineRule="auto"/>
        <w:ind w:firstLine="720"/>
        <w:rPr/>
      </w:pPr>
      <w:r w:rsidDel="00000000" w:rsidR="00000000" w:rsidRPr="00000000">
        <w:rPr>
          <w:rtl w:val="0"/>
        </w:rPr>
        <w:t xml:space="preserve">The major factor requiring investigation is the microbiome composition itself. The microbiome could be characterized in two main ways: the taxonomic profile and the metabolic/functional profile. The taxonomic profile consists of what species are present, while the metabolic or functional profile would characterize what those species are actively doing in the system. For disease fingerprinting, a key component to this will be determining which of these profiles would be the most indicative of a disease or disease-state. An alternative to this would be a weighted combination of the two. </w:t>
      </w:r>
    </w:p>
    <w:p w:rsidR="00000000" w:rsidDel="00000000" w:rsidP="00000000" w:rsidRDefault="00000000" w:rsidRPr="00000000" w14:paraId="0000000A">
      <w:pPr>
        <w:rPr>
          <w:b w:val="1"/>
          <w:bCs w:val="1"/>
        </w:rPr>
      </w:pPr>
      <w:r w:rsidDel="00000000" w:rsidR="00000000" w:rsidRPr="00000000">
        <w:rPr>
          <w:b w:val="1"/>
          <w:bCs w:val="1"/>
          <w:rtl w:val="0"/>
        </w:rPr>
        <w:t xml:space="preserve">Does a system only become problematic when a target reaches a certain threshold, and how could this be measured as an indicator?</w:t>
      </w:r>
    </w:p>
    <w:p w:rsidR="00000000" w:rsidDel="00000000" w:rsidP="00000000" w:rsidRDefault="00000000" w:rsidRPr="00000000" w14:paraId="0000000B">
      <w:pPr>
        <w:spacing w:after="200" w:lineRule="auto"/>
        <w:ind w:firstLine="720"/>
        <w:rPr/>
      </w:pPr>
      <w:r w:rsidDel="00000000" w:rsidR="00000000" w:rsidRPr="00000000">
        <w:rPr>
          <w:rtl w:val="0"/>
        </w:rPr>
        <w:t xml:space="preserve">It is possible that a profile does not become problematic until it reaches a certain level or proportion within the system. There is a popular idiom in toxicology that the dose makes the poison, originally stemming from a translation from Paracelsus in 1538: “All things are poison, and nothing is without poison; only the dose makes a thing not a poison.” </w:t>
      </w:r>
      <w:hyperlink r:id="rId6">
        <w:r w:rsidDel="00000000" w:rsidR="00000000" w:rsidRPr="00000000">
          <w:rPr>
            <w:rtl w:val="0"/>
          </w:rPr>
          <w:t xml:space="preserve">(Paracelsus, 1538/2003)</w:t>
        </w:r>
      </w:hyperlink>
      <w:r w:rsidDel="00000000" w:rsidR="00000000" w:rsidRPr="00000000">
        <w:rPr>
          <w:rtl w:val="0"/>
        </w:rPr>
        <w:t xml:space="preserve">. We are curious if a similar principle applies to human microbial composition, with a threshold or proportion indicative of a disease state.</w:t>
      </w:r>
    </w:p>
    <w:p w:rsidR="00000000" w:rsidDel="00000000" w:rsidP="00000000" w:rsidRDefault="00000000" w:rsidRPr="00000000" w14:paraId="0000000C">
      <w:pPr>
        <w:rPr>
          <w:b w:val="1"/>
          <w:bCs w:val="1"/>
        </w:rPr>
      </w:pPr>
      <w:r w:rsidDel="00000000" w:rsidR="00000000" w:rsidRPr="00000000">
        <w:rPr>
          <w:b w:val="1"/>
          <w:bCs w:val="1"/>
          <w:rtl w:val="0"/>
        </w:rPr>
        <w:t xml:space="preserve">Would the model be more accurate if the calling algorithm were to call individual diseases, or disease-groupings? </w:t>
      </w:r>
    </w:p>
    <w:p w:rsidR="00000000" w:rsidDel="00000000" w:rsidP="00000000" w:rsidRDefault="00000000" w:rsidRPr="00000000" w14:paraId="0000000D">
      <w:pPr>
        <w:numPr>
          <w:ilvl w:val="0"/>
          <w:numId w:val="3"/>
        </w:numPr>
        <w:ind w:left="720" w:hanging="360"/>
        <w:rPr>
          <w:b w:val="1"/>
          <w:bCs w:val="1"/>
        </w:rPr>
      </w:pPr>
      <w:r w:rsidDel="00000000" w:rsidR="00000000" w:rsidRPr="00000000">
        <w:rPr>
          <w:b w:val="1"/>
          <w:bCs w:val="1"/>
          <w:rtl w:val="0"/>
        </w:rPr>
        <w:t xml:space="preserve">If using disease groupings, what is the best method to group diseases together for the highest accuracy? </w:t>
      </w:r>
    </w:p>
    <w:p w:rsidR="00000000" w:rsidDel="00000000" w:rsidP="00000000" w:rsidRDefault="00000000" w:rsidRPr="00000000" w14:paraId="0000000E">
      <w:pPr>
        <w:numPr>
          <w:ilvl w:val="0"/>
          <w:numId w:val="3"/>
        </w:numPr>
        <w:ind w:left="720" w:hanging="360"/>
        <w:rPr>
          <w:b w:val="1"/>
          <w:bCs w:val="1"/>
        </w:rPr>
      </w:pPr>
      <w:r w:rsidDel="00000000" w:rsidR="00000000" w:rsidRPr="00000000">
        <w:rPr>
          <w:b w:val="1"/>
          <w:bCs w:val="1"/>
          <w:rtl w:val="0"/>
        </w:rPr>
        <w:t xml:space="preserve">Would disease-similarity scoring provide more benefit to the end-user rather than a single output?</w:t>
      </w:r>
      <w:r w:rsidDel="00000000" w:rsidR="00000000" w:rsidRPr="00000000">
        <w:rPr>
          <w:rtl w:val="0"/>
        </w:rPr>
      </w:r>
    </w:p>
    <w:p w:rsidR="00000000" w:rsidDel="00000000" w:rsidP="00000000" w:rsidRDefault="00000000" w:rsidRPr="00000000" w14:paraId="0000000F">
      <w:pPr>
        <w:spacing w:after="200" w:lineRule="auto"/>
        <w:ind w:firstLine="720"/>
        <w:rPr>
          <w:highlight w:val="yellow"/>
        </w:rPr>
      </w:pPr>
      <w:r w:rsidDel="00000000" w:rsidR="00000000" w:rsidRPr="00000000">
        <w:rPr>
          <w:rtl w:val="0"/>
        </w:rPr>
        <w:t xml:space="preserve">The resolution of such differential diagnostics will alter the accuracy and thus utility of the model. There are several methods that could be used for grouping diseases, such as a model-based similarity scoring based on the microbial fingerprints generated for each, or based on clinical signs and symptoms. For example, we could manually group all cancers together or disease subclasses into a single diagnostic category, or diseases and illnesses could first be individually assessed and clustering applied to relate them based on a “similarity score”. This similarity score could instead be output to the user.</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b w:val="1"/>
          <w:bCs w:val="1"/>
          <w:rtl w:val="0"/>
        </w:rPr>
        <w:t xml:space="preserve">How significant are the effects of geography and familial relations on such an algorithm, and can it remain accurate if this metadata is not considered?</w:t>
      </w:r>
      <w:r w:rsidDel="00000000" w:rsidR="00000000" w:rsidRPr="00000000">
        <w:rPr>
          <w:rtl w:val="0"/>
        </w:rPr>
        <w:br w:type="textWrapping"/>
        <w:tab/>
        <w:t xml:space="preserve">A main contributor to the human microbiome is geographical location and, consequently, their diet </w:t>
      </w:r>
      <w:hyperlink r:id="rId7">
        <w:r w:rsidDel="00000000" w:rsidR="00000000" w:rsidRPr="00000000">
          <w:rPr>
            <w:rtl w:val="0"/>
          </w:rPr>
          <w:t xml:space="preserve">(Singh et al., 2017; Zmora et al., 2019)</w:t>
        </w:r>
      </w:hyperlink>
      <w:r w:rsidDel="00000000" w:rsidR="00000000" w:rsidRPr="00000000">
        <w:rPr>
          <w:rtl w:val="0"/>
        </w:rPr>
        <w:t xml:space="preserve">. This would suggest that geography would have a large influence on our model; the question becomes how much of a role would it play in the accuracy of disease classification. With a large bias in data within the NCBI Sequence Read Archive (SRA) towards those in the United States, China, and European countries, we must consider how generalizable the model would be to underrepresented populations </w:t>
      </w:r>
      <w:hyperlink r:id="rId8">
        <w:r w:rsidDel="00000000" w:rsidR="00000000" w:rsidRPr="00000000">
          <w:rPr>
            <w:rtl w:val="0"/>
          </w:rPr>
          <w:t xml:space="preserve">(Kim et al., 2024)</w:t>
        </w:r>
      </w:hyperlink>
      <w:r w:rsidDel="00000000" w:rsidR="00000000" w:rsidRPr="00000000">
        <w:rPr>
          <w:rtl w:val="0"/>
        </w:rPr>
        <w:t xml:space="preserve">. </w:t>
      </w:r>
    </w:p>
    <w:p w:rsidR="00000000" w:rsidDel="00000000" w:rsidP="00000000" w:rsidRDefault="00000000" w:rsidRPr="00000000" w14:paraId="00000011">
      <w:pPr>
        <w:rPr>
          <w:b w:val="1"/>
          <w:bCs w:val="1"/>
        </w:rPr>
      </w:pPr>
      <w:r w:rsidDel="00000000" w:rsidR="00000000" w:rsidRPr="00000000">
        <w:rPr>
          <w:b w:val="1"/>
          <w:bCs w:val="1"/>
          <w:rtl w:val="0"/>
        </w:rPr>
        <w:t xml:space="preserve">What is the significance of microbial dark matter to the fingerprint?</w:t>
      </w:r>
    </w:p>
    <w:p w:rsidR="00000000" w:rsidDel="00000000" w:rsidP="00000000" w:rsidRDefault="00000000" w:rsidRPr="00000000" w14:paraId="00000012">
      <w:pPr>
        <w:numPr>
          <w:ilvl w:val="0"/>
          <w:numId w:val="5"/>
        </w:numPr>
        <w:ind w:left="720" w:hanging="360"/>
        <w:rPr>
          <w:b w:val="1"/>
          <w:bCs w:val="1"/>
        </w:rPr>
      </w:pPr>
      <w:r w:rsidDel="00000000" w:rsidR="00000000" w:rsidRPr="00000000">
        <w:rPr>
          <w:b w:val="1"/>
          <w:bCs w:val="1"/>
          <w:rtl w:val="0"/>
        </w:rPr>
        <w:t xml:space="preserve">Would a “dark matter score” be a beneficial metric to include?</w:t>
      </w:r>
    </w:p>
    <w:p w:rsidR="00000000" w:rsidDel="00000000" w:rsidP="00000000" w:rsidRDefault="00000000" w:rsidRPr="00000000" w14:paraId="00000013">
      <w:pPr>
        <w:ind w:firstLine="720"/>
        <w:rPr>
          <w:rFonts w:ascii="Merriweather" w:cs="Merriweather" w:eastAsia="Merriweather" w:hAnsi="Merriweather"/>
          <w:sz w:val="22"/>
          <w:szCs w:val="22"/>
          <w:highlight w:val="yellow"/>
        </w:rPr>
      </w:pPr>
      <w:r w:rsidDel="00000000" w:rsidR="00000000" w:rsidRPr="00000000">
        <w:rPr>
          <w:rtl w:val="0"/>
        </w:rPr>
        <w:t xml:space="preserve">Metagenomics has allowed for the detection of what is known as Microbial Dark Matter (MDM); microbes that are not culturable, meaning little is known about and there are no reference sequences for these taxa </w:t>
      </w:r>
      <w:hyperlink r:id="rId9">
        <w:r w:rsidDel="00000000" w:rsidR="00000000" w:rsidRPr="00000000">
          <w:rPr>
            <w:rtl w:val="0"/>
          </w:rPr>
          <w:t xml:space="preserve">(Kim et al., 2024; Pavlopoulos et al., 2023)</w:t>
        </w:r>
      </w:hyperlink>
      <w:r w:rsidDel="00000000" w:rsidR="00000000" w:rsidRPr="00000000">
        <w:rPr>
          <w:rtl w:val="0"/>
        </w:rPr>
        <w:t xml:space="preserve">. The proportion could be interesting to investigate, as these unculturable species may have contributing properties to a disease-state. </w:t>
      </w:r>
      <w:r w:rsidDel="00000000" w:rsidR="00000000" w:rsidRPr="00000000">
        <w:rPr>
          <w:rtl w:val="0"/>
        </w:rPr>
      </w:r>
    </w:p>
    <w:p w:rsidR="00000000" w:rsidDel="00000000" w:rsidP="00000000" w:rsidRDefault="00000000" w:rsidRPr="00000000" w14:paraId="00000014">
      <w:pPr>
        <w:pStyle w:val="Heading1"/>
        <w:rPr/>
      </w:pPr>
      <w:bookmarkStart w:colFirst="0" w:colLast="0" w:name="_g1h0igme6lj2" w:id="3"/>
      <w:bookmarkEnd w:id="3"/>
      <w:r w:rsidDel="00000000" w:rsidR="00000000" w:rsidRPr="00000000">
        <w:rPr>
          <w:rtl w:val="0"/>
        </w:rPr>
        <w:t xml:space="preserve">Significance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The human gut microbiome plays a role in immunity, metabolism, and overall human health. Only in recent years have scientists begun to fully understand the complexity of the gut microbial ecosystem. Every individual has a unique microbiome “fingerprint” that changes over time with aging, dietary shifts, and environmental or geographic influences. Studies have also shown that microbiomes perform biochemical functions that can impact disease diagnosis and treatment strategies </w:t>
      </w:r>
      <w:hyperlink r:id="rId10">
        <w:r w:rsidDel="00000000" w:rsidR="00000000" w:rsidRPr="00000000">
          <w:rPr>
            <w:rtl w:val="0"/>
          </w:rPr>
          <w:t xml:space="preserve">(Hajjo et al., 2022)</w:t>
        </w:r>
      </w:hyperlink>
      <w:r w:rsidDel="00000000" w:rsidR="00000000" w:rsidRPr="00000000">
        <w:rPr>
          <w:rtl w:val="0"/>
        </w:rPr>
        <w:t xml:space="preserve">. Accurate clinical decision making depends on an integration of all the available patient information, meaning a microbiome based insight would provide an additional layer of evidence. A tool like this would support clinicians' differential diagnosis and treatment in a timely, non-invasive manner. </w:t>
      </w:r>
    </w:p>
    <w:p w:rsidR="00000000" w:rsidDel="00000000" w:rsidP="00000000" w:rsidRDefault="00000000" w:rsidRPr="00000000" w14:paraId="00000016">
      <w:pPr>
        <w:pStyle w:val="Heading1"/>
        <w:rPr/>
      </w:pPr>
      <w:bookmarkStart w:colFirst="0" w:colLast="0" w:name="_3g3c9abkzu3t" w:id="4"/>
      <w:bookmarkEnd w:id="4"/>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Perhaps the most important source for metagenomic human microbiome data is the Human Microbiome Project (HMP), having pioneered the development of a human microbiome reference database in two phases. Phase 1, known as HMP1, focused on the creation of reference catalogues of microbial genomes contained within human samples, attempting to determine if there were commonalities between healthy hosts. Phase 2, also known as HMP2 or the integrative HMP (iHMP), introduced time series data, searching for microbiome interactions with metabolism and immunity </w:t>
      </w:r>
      <w:hyperlink r:id="rId11">
        <w:r w:rsidDel="00000000" w:rsidR="00000000" w:rsidRPr="00000000">
          <w:rPr>
            <w:rtl w:val="0"/>
          </w:rPr>
          <w:t xml:space="preserve">(NIH Human Microbiome Portfolio Analysis Team, 2019; The Integrative HMP (iHMP) Research Network Consortium et al., 2019)</w:t>
        </w:r>
      </w:hyperlink>
      <w:r w:rsidDel="00000000" w:rsidR="00000000" w:rsidRPr="00000000">
        <w:rPr>
          <w:rtl w:val="0"/>
        </w:rPr>
        <w:t xml:space="preserve">. This baseline research could be integral to informing our model. Other databases that may be useful include functional databases like EggNOG, COG, KEGG, and Pfam, and genomic databases like the Genome Taxonomy Database (GTDB), the Unified Human Gastrointestinal Genome (UHGG), HumanMetagenomeDB, and Human Reference Gut Microbiome (HRGM) </w:t>
      </w:r>
      <w:hyperlink r:id="rId12">
        <w:r w:rsidDel="00000000" w:rsidR="00000000" w:rsidRPr="00000000">
          <w:rPr>
            <w:rtl w:val="0"/>
          </w:rPr>
          <w:t xml:space="preserve">(Dakal et al., 2025; Kasmanas et al., 2021; Kim et al., 2024)</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ab/>
        <w:t xml:space="preserve">Maghi et al. </w:t>
      </w:r>
      <w:hyperlink r:id="rId13">
        <w:r w:rsidDel="00000000" w:rsidR="00000000" w:rsidRPr="00000000">
          <w:rPr>
            <w:rtl w:val="0"/>
          </w:rPr>
          <w:t xml:space="preserve">(2025)</w:t>
        </w:r>
      </w:hyperlink>
      <w:r w:rsidDel="00000000" w:rsidR="00000000" w:rsidRPr="00000000">
        <w:rPr>
          <w:rtl w:val="0"/>
        </w:rPr>
        <w:t xml:space="preserve"> recently released their newest version of the curatedMetagenomicData (cMD), available through BioConductor in R, of which previous versions have been used in similar studies </w:t>
      </w:r>
      <w:hyperlink r:id="rId14">
        <w:r w:rsidDel="00000000" w:rsidR="00000000" w:rsidRPr="00000000">
          <w:rPr>
            <w:rtl w:val="0"/>
          </w:rPr>
          <w:t xml:space="preserve">(Pasolli et al., 2017)</w:t>
        </w:r>
      </w:hyperlink>
      <w:r w:rsidDel="00000000" w:rsidR="00000000" w:rsidRPr="00000000">
        <w:rPr>
          <w:rtl w:val="0"/>
        </w:rPr>
        <w:t xml:space="preserve">. This manually curated and standardized dataset of over 22 thousand human microbiome metagenomes will be foundational for our model. Methods for further integration into this dataset are outlined within the paper, allowing further curation of data that would be helpful informing our research </w:t>
      </w:r>
      <w:hyperlink r:id="rId15">
        <w:r w:rsidDel="00000000" w:rsidR="00000000" w:rsidRPr="00000000">
          <w:rPr>
            <w:rtl w:val="0"/>
          </w:rPr>
          <w:t xml:space="preserve">(Manghi et al., 2025)</w:t>
        </w:r>
      </w:hyperlink>
      <w:r w:rsidDel="00000000" w:rsidR="00000000" w:rsidRPr="00000000">
        <w:rPr>
          <w:rtl w:val="0"/>
        </w:rPr>
        <w:t xml:space="preserve">. For discovering potential data for integration, individual papers with accessible data, as well as the SRA will be instrumental to expanding our working data </w:t>
      </w:r>
      <w:hyperlink r:id="rId16">
        <w:r w:rsidDel="00000000" w:rsidR="00000000" w:rsidRPr="00000000">
          <w:rPr>
            <w:rtl w:val="0"/>
          </w:rPr>
          <w:t xml:space="preserve">(Kim et al., 2024)</w:t>
        </w:r>
      </w:hyperlink>
      <w:r w:rsidDel="00000000" w:rsidR="00000000" w:rsidRPr="00000000">
        <w:rPr>
          <w:rtl w:val="0"/>
        </w:rPr>
        <w:t xml:space="preserve">.</w:t>
      </w:r>
    </w:p>
    <w:p w:rsidR="00000000" w:rsidDel="00000000" w:rsidP="00000000" w:rsidRDefault="00000000" w:rsidRPr="00000000" w14:paraId="00000019">
      <w:pPr>
        <w:pStyle w:val="Heading1"/>
        <w:rPr/>
      </w:pPr>
      <w:bookmarkStart w:colFirst="0" w:colLast="0" w:name="_5gdf4dcj0ft6" w:id="5"/>
      <w:bookmarkEnd w:id="5"/>
      <w:r w:rsidDel="00000000" w:rsidR="00000000" w:rsidRPr="00000000">
        <w:rPr>
          <w:rtl w:val="0"/>
        </w:rPr>
        <w:t xml:space="preserve">Research Approach</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A few papers were influential in guiding our research approaches. Li et al. </w:t>
      </w:r>
      <w:hyperlink r:id="rId17">
        <w:r w:rsidDel="00000000" w:rsidR="00000000" w:rsidRPr="00000000">
          <w:rPr>
            <w:rtl w:val="0"/>
          </w:rPr>
          <w:t xml:space="preserve">(2025)</w:t>
        </w:r>
      </w:hyperlink>
      <w:r w:rsidDel="00000000" w:rsidR="00000000" w:rsidRPr="00000000">
        <w:rPr>
          <w:rtl w:val="0"/>
        </w:rPr>
        <w:t xml:space="preserve"> has demonstrated that the performance of microbiome-based disease diagnostic classifiers depends heavily on data processing and model selection. This large benchmarking study consists of 156 tool-parameter-algorithm combinations, identifying four high-performing data preprocessing methods for regression-type algorithms and one method for non-regression-type algorithm </w:t>
      </w:r>
      <w:hyperlink r:id="rId18">
        <w:r w:rsidDel="00000000" w:rsidR="00000000" w:rsidRPr="00000000">
          <w:rPr>
            <w:rtl w:val="0"/>
          </w:rPr>
          <w:t xml:space="preserve">(Li et al., 2025)</w:t>
        </w:r>
      </w:hyperlink>
      <w:r w:rsidDel="00000000" w:rsidR="00000000" w:rsidRPr="00000000">
        <w:rPr>
          <w:rtl w:val="0"/>
        </w:rPr>
        <w:t xml:space="preserve">. In a separate review, Dakal et al. </w:t>
      </w:r>
      <w:hyperlink r:id="rId19">
        <w:r w:rsidDel="00000000" w:rsidR="00000000" w:rsidRPr="00000000">
          <w:rPr>
            <w:rtl w:val="0"/>
          </w:rPr>
          <w:t xml:space="preserve">(2025)</w:t>
        </w:r>
      </w:hyperlink>
      <w:r w:rsidDel="00000000" w:rsidR="00000000" w:rsidRPr="00000000">
        <w:rPr>
          <w:rtl w:val="0"/>
        </w:rPr>
        <w:t xml:space="preserve"> discusses computational methodologies for various -omics data, including machine- and deep-learning algorithms. With a focus in enabling these tools for precision medicine, the insights provided will be significant for informing our methodological approaches. Pita-Galeana et al. </w:t>
      </w:r>
      <w:hyperlink r:id="rId20">
        <w:r w:rsidDel="00000000" w:rsidR="00000000" w:rsidRPr="00000000">
          <w:rPr>
            <w:rtl w:val="0"/>
          </w:rPr>
          <w:t xml:space="preserve">(2025)</w:t>
        </w:r>
      </w:hyperlink>
      <w:r w:rsidDel="00000000" w:rsidR="00000000" w:rsidRPr="00000000">
        <w:rPr>
          <w:rtl w:val="0"/>
        </w:rPr>
        <w:t xml:space="preserve"> also overviews machine learning techniques as well, reinforcing our options for best practices in the field.</w:t>
      </w:r>
    </w:p>
    <w:p w:rsidR="00000000" w:rsidDel="00000000" w:rsidP="00000000" w:rsidRDefault="00000000" w:rsidRPr="00000000" w14:paraId="0000001B">
      <w:pPr>
        <w:ind w:firstLine="720"/>
        <w:rPr/>
      </w:pPr>
      <w:r w:rsidDel="00000000" w:rsidR="00000000" w:rsidRPr="00000000">
        <w:rPr>
          <w:rtl w:val="0"/>
        </w:rPr>
        <w:t xml:space="preserve">The combination of these papers highlights a few key methodologies, tools, and analyses, namely Random-Forest, k-nearest neighbor, ridge regression, comBat, LEfSe, PCA, PCoA, PERMANOVA, and alpha and beta diversity investigations </w:t>
      </w:r>
      <w:hyperlink r:id="rId21">
        <w:r w:rsidDel="00000000" w:rsidR="00000000" w:rsidRPr="00000000">
          <w:rPr>
            <w:rtl w:val="0"/>
          </w:rPr>
          <w:t xml:space="preserve">(Dakal et al., 2025; Li et al., 2025; Pita-Galeana et al., 2025)</w:t>
        </w:r>
      </w:hyperlink>
      <w:r w:rsidDel="00000000" w:rsidR="00000000" w:rsidRPr="00000000">
        <w:rPr>
          <w:rtl w:val="0"/>
        </w:rPr>
        <w:t xml:space="preserve">. </w:t>
      </w:r>
    </w:p>
    <w:p w:rsidR="00000000" w:rsidDel="00000000" w:rsidP="00000000" w:rsidRDefault="00000000" w:rsidRPr="00000000" w14:paraId="0000001C">
      <w:pPr>
        <w:pStyle w:val="Heading1"/>
        <w:rPr/>
      </w:pPr>
      <w:bookmarkStart w:colFirst="0" w:colLast="0" w:name="_yv4in2sakypy" w:id="6"/>
      <w:bookmarkEnd w:id="6"/>
      <w:r w:rsidDel="00000000" w:rsidR="00000000" w:rsidRPr="00000000">
        <w:rPr>
          <w:rtl w:val="0"/>
        </w:rPr>
        <w:t xml:space="preserve">Broader Impact</w:t>
      </w:r>
      <w:r w:rsidDel="00000000" w:rsidR="00000000" w:rsidRPr="00000000">
        <w:rPr>
          <w:rtl w:val="0"/>
        </w:rPr>
      </w:r>
    </w:p>
    <w:p w:rsidR="00000000" w:rsidDel="00000000" w:rsidP="00000000" w:rsidRDefault="00000000" w:rsidRPr="00000000" w14:paraId="0000001D">
      <w:pPr>
        <w:rPr>
          <w:sz w:val="46"/>
          <w:szCs w:val="46"/>
        </w:rPr>
      </w:pPr>
      <w:r w:rsidDel="00000000" w:rsidR="00000000" w:rsidRPr="00000000">
        <w:rPr>
          <w:rtl w:val="0"/>
        </w:rPr>
        <w:tab/>
        <w:t xml:space="preserve">Targeting potential differential diagnosis aids will bolster the notion that microbiome medicine is on the path to a healthier human population. Through trend analysis and the discovery of microbiome shifts indicative of disease, our research will enable the development of personalized medicine in the advent of more cost-effective and accessible metagenomic sequencing. Our proof-of-concept clinical tool, if and when further developed into a functioning mechanism of medical care, will aid the physicians and clinicians in further testing and treatment options for their patients.</w:t>
      </w:r>
      <w:r w:rsidDel="00000000" w:rsidR="00000000" w:rsidRPr="00000000">
        <w:rPr>
          <w:rtl w:val="0"/>
        </w:rPr>
      </w:r>
    </w:p>
    <w:p w:rsidR="00000000" w:rsidDel="00000000" w:rsidP="00000000" w:rsidRDefault="00000000" w:rsidRPr="00000000" w14:paraId="0000001E">
      <w:pPr>
        <w:rPr>
          <w:sz w:val="46"/>
          <w:szCs w:val="46"/>
        </w:rPr>
      </w:pPr>
      <w:r w:rsidDel="00000000" w:rsidR="00000000" w:rsidRPr="00000000">
        <w:rPr>
          <w:rtl w:val="0"/>
        </w:rPr>
      </w:r>
    </w:p>
    <w:p w:rsidR="00000000" w:rsidDel="00000000" w:rsidP="00000000" w:rsidRDefault="00000000" w:rsidRPr="00000000" w14:paraId="0000001F">
      <w:pPr>
        <w:pStyle w:val="Heading3"/>
        <w:rPr/>
      </w:pPr>
      <w:bookmarkStart w:colFirst="0" w:colLast="0" w:name="_3b0r65tltsz9" w:id="7"/>
      <w:bookmarkEnd w:id="7"/>
      <w:r w:rsidDel="00000000" w:rsidR="00000000" w:rsidRPr="00000000">
        <w:rPr>
          <w:rtl w:val="0"/>
        </w:rPr>
        <w:t xml:space="preserve">References:</w:t>
      </w:r>
    </w:p>
    <w:p w:rsidR="00000000" w:rsidDel="00000000" w:rsidP="00000000" w:rsidRDefault="00000000" w:rsidRPr="00000000" w14:paraId="00000020">
      <w:pPr>
        <w:ind w:left="720"/>
        <w:rPr/>
      </w:pPr>
      <w:hyperlink r:id="rId22">
        <w:r w:rsidDel="00000000" w:rsidR="00000000" w:rsidRPr="00000000">
          <w:rPr>
            <w:rtl w:val="0"/>
          </w:rPr>
          <w:t xml:space="preserve">Dakal, T. C., Xu, C., &amp; Kumar, A. (2025). Advanced computational tools, artificial intelligence and machine-learning approaches in gut microbiota and biomarker identification. </w:t>
        </w:r>
      </w:hyperlink>
      <w:hyperlink r:id="rId23">
        <w:r w:rsidDel="00000000" w:rsidR="00000000" w:rsidRPr="00000000">
          <w:rPr>
            <w:i w:val="1"/>
            <w:iCs w:val="1"/>
            <w:rtl w:val="0"/>
          </w:rPr>
          <w:t xml:space="preserve">Frontiers in Medical Technology</w:t>
        </w:r>
      </w:hyperlink>
      <w:hyperlink r:id="rId24">
        <w:r w:rsidDel="00000000" w:rsidR="00000000" w:rsidRPr="00000000">
          <w:rPr>
            <w:rtl w:val="0"/>
          </w:rPr>
          <w:t xml:space="preserve">, </w:t>
        </w:r>
      </w:hyperlink>
      <w:hyperlink r:id="rId25">
        <w:r w:rsidDel="00000000" w:rsidR="00000000" w:rsidRPr="00000000">
          <w:rPr>
            <w:i w:val="1"/>
            <w:iCs w:val="1"/>
            <w:rtl w:val="0"/>
          </w:rPr>
          <w:t xml:space="preserve">6</w:t>
        </w:r>
      </w:hyperlink>
      <w:hyperlink r:id="rId26">
        <w:r w:rsidDel="00000000" w:rsidR="00000000" w:rsidRPr="00000000">
          <w:rPr>
            <w:rtl w:val="0"/>
          </w:rPr>
          <w:t xml:space="preserve">, 1434799. https://doi.org/10.3389/fmedt.2024.1434799 </w:t>
        </w:r>
      </w:hyperlink>
      <w:r w:rsidDel="00000000" w:rsidR="00000000" w:rsidRPr="00000000">
        <w:rPr>
          <w:rtl w:val="0"/>
        </w:rPr>
      </w:r>
    </w:p>
    <w:p w:rsidR="00000000" w:rsidDel="00000000" w:rsidP="00000000" w:rsidRDefault="00000000" w:rsidRPr="00000000" w14:paraId="00000021">
      <w:pPr>
        <w:ind w:left="720"/>
        <w:rPr/>
      </w:pPr>
      <w:hyperlink r:id="rId27">
        <w:r w:rsidDel="00000000" w:rsidR="00000000" w:rsidRPr="00000000">
          <w:rPr>
            <w:rtl w:val="0"/>
          </w:rPr>
          <w:t xml:space="preserve">Hajjo, R., Sabbah, D. A., &amp; Al Bawab, A. Q. (2022). Unlocking the Potential of the Human Microbiome for Identifying Disease Diagnostic Biomarkers. </w:t>
        </w:r>
      </w:hyperlink>
      <w:hyperlink r:id="rId28">
        <w:r w:rsidDel="00000000" w:rsidR="00000000" w:rsidRPr="00000000">
          <w:rPr>
            <w:i w:val="1"/>
            <w:iCs w:val="1"/>
            <w:rtl w:val="0"/>
          </w:rPr>
          <w:t xml:space="preserve">Diagnostics</w:t>
        </w:r>
      </w:hyperlink>
      <w:hyperlink r:id="rId29">
        <w:r w:rsidDel="00000000" w:rsidR="00000000" w:rsidRPr="00000000">
          <w:rPr>
            <w:rtl w:val="0"/>
          </w:rPr>
          <w:t xml:space="preserve">, </w:t>
        </w:r>
      </w:hyperlink>
      <w:hyperlink r:id="rId30">
        <w:r w:rsidDel="00000000" w:rsidR="00000000" w:rsidRPr="00000000">
          <w:rPr>
            <w:i w:val="1"/>
            <w:iCs w:val="1"/>
            <w:rtl w:val="0"/>
          </w:rPr>
          <w:t xml:space="preserve">12</w:t>
        </w:r>
      </w:hyperlink>
      <w:hyperlink r:id="rId31">
        <w:r w:rsidDel="00000000" w:rsidR="00000000" w:rsidRPr="00000000">
          <w:rPr>
            <w:rtl w:val="0"/>
          </w:rPr>
          <w:t xml:space="preserve">(7), 1742. https://doi.org/10.3390/diagnostics12071742 </w:t>
        </w:r>
      </w:hyperlink>
      <w:r w:rsidDel="00000000" w:rsidR="00000000" w:rsidRPr="00000000">
        <w:rPr>
          <w:rtl w:val="0"/>
        </w:rPr>
      </w:r>
    </w:p>
    <w:p w:rsidR="00000000" w:rsidDel="00000000" w:rsidP="00000000" w:rsidRDefault="00000000" w:rsidRPr="00000000" w14:paraId="00000022">
      <w:pPr>
        <w:ind w:left="720"/>
        <w:rPr/>
      </w:pPr>
      <w:hyperlink r:id="rId32">
        <w:r w:rsidDel="00000000" w:rsidR="00000000" w:rsidRPr="00000000">
          <w:rPr>
            <w:rtl w:val="0"/>
          </w:rPr>
          <w:t xml:space="preserve">Kasmanas, J. C., Bartholomäus, A., Corrêa, F. B., Tal, T., Jehmlich, N., Herberth, G., von Bergen, M., Stadler, P. F., Carvalho, A. C. P. de L. F. de, &amp; Nunes da Rocha, U. (2021). HumanMetagenomeDB: A public repository of curated and standardized metadata for human metagenomes. </w:t>
        </w:r>
      </w:hyperlink>
      <w:hyperlink r:id="rId33">
        <w:r w:rsidDel="00000000" w:rsidR="00000000" w:rsidRPr="00000000">
          <w:rPr>
            <w:i w:val="1"/>
            <w:iCs w:val="1"/>
            <w:rtl w:val="0"/>
          </w:rPr>
          <w:t xml:space="preserve">Nucleic Acids Research</w:t>
        </w:r>
      </w:hyperlink>
      <w:hyperlink r:id="rId34">
        <w:r w:rsidDel="00000000" w:rsidR="00000000" w:rsidRPr="00000000">
          <w:rPr>
            <w:rtl w:val="0"/>
          </w:rPr>
          <w:t xml:space="preserve">, </w:t>
        </w:r>
      </w:hyperlink>
      <w:hyperlink r:id="rId35">
        <w:r w:rsidDel="00000000" w:rsidR="00000000" w:rsidRPr="00000000">
          <w:rPr>
            <w:i w:val="1"/>
            <w:iCs w:val="1"/>
            <w:rtl w:val="0"/>
          </w:rPr>
          <w:t xml:space="preserve">49</w:t>
        </w:r>
      </w:hyperlink>
      <w:hyperlink r:id="rId36">
        <w:r w:rsidDel="00000000" w:rsidR="00000000" w:rsidRPr="00000000">
          <w:rPr>
            <w:rtl w:val="0"/>
          </w:rPr>
          <w:t xml:space="preserve">(D1), D743–D750. https://doi.org/10.1093/nar/gkaa1031 </w:t>
        </w:r>
      </w:hyperlink>
      <w:r w:rsidDel="00000000" w:rsidR="00000000" w:rsidRPr="00000000">
        <w:rPr>
          <w:rtl w:val="0"/>
        </w:rPr>
      </w:r>
    </w:p>
    <w:p w:rsidR="00000000" w:rsidDel="00000000" w:rsidP="00000000" w:rsidRDefault="00000000" w:rsidRPr="00000000" w14:paraId="00000023">
      <w:pPr>
        <w:ind w:left="720"/>
        <w:rPr/>
      </w:pPr>
      <w:hyperlink r:id="rId37">
        <w:r w:rsidDel="00000000" w:rsidR="00000000" w:rsidRPr="00000000">
          <w:rPr>
            <w:rtl w:val="0"/>
          </w:rPr>
          <w:t xml:space="preserve">Kim, N., Ma, J., Kim, W., Kim, J., Belenky, P., &amp; Lee, I. (2024). Genome-resolved metagenomics: A game changer for microbiome medicine. </w:t>
        </w:r>
      </w:hyperlink>
      <w:hyperlink r:id="rId38">
        <w:r w:rsidDel="00000000" w:rsidR="00000000" w:rsidRPr="00000000">
          <w:rPr>
            <w:i w:val="1"/>
            <w:iCs w:val="1"/>
            <w:rtl w:val="0"/>
          </w:rPr>
          <w:t xml:space="preserve">Experimental &amp; Molecular Medicine</w:t>
        </w:r>
      </w:hyperlink>
      <w:hyperlink r:id="rId39">
        <w:r w:rsidDel="00000000" w:rsidR="00000000" w:rsidRPr="00000000">
          <w:rPr>
            <w:rtl w:val="0"/>
          </w:rPr>
          <w:t xml:space="preserve">, </w:t>
        </w:r>
      </w:hyperlink>
      <w:hyperlink r:id="rId40">
        <w:r w:rsidDel="00000000" w:rsidR="00000000" w:rsidRPr="00000000">
          <w:rPr>
            <w:i w:val="1"/>
            <w:iCs w:val="1"/>
            <w:rtl w:val="0"/>
          </w:rPr>
          <w:t xml:space="preserve">56</w:t>
        </w:r>
      </w:hyperlink>
      <w:hyperlink r:id="rId41">
        <w:r w:rsidDel="00000000" w:rsidR="00000000" w:rsidRPr="00000000">
          <w:rPr>
            <w:rtl w:val="0"/>
          </w:rPr>
          <w:t xml:space="preserve">(7), 1501–1512. https://doi.org/10.1038/s12276-024-01262-7 </w:t>
        </w:r>
      </w:hyperlink>
      <w:r w:rsidDel="00000000" w:rsidR="00000000" w:rsidRPr="00000000">
        <w:rPr>
          <w:rtl w:val="0"/>
        </w:rPr>
      </w:r>
    </w:p>
    <w:p w:rsidR="00000000" w:rsidDel="00000000" w:rsidP="00000000" w:rsidRDefault="00000000" w:rsidRPr="00000000" w14:paraId="00000024">
      <w:pPr>
        <w:ind w:left="720"/>
        <w:rPr/>
      </w:pPr>
      <w:hyperlink r:id="rId42">
        <w:r w:rsidDel="00000000" w:rsidR="00000000" w:rsidRPr="00000000">
          <w:rPr>
            <w:rtl w:val="0"/>
          </w:rPr>
          <w:t xml:space="preserve">Li, P., Li, M., &amp; Chen, W.-H. (2025). Best practices for developing microbiome-based disease diagnostic classifiers through machine learning. </w:t>
        </w:r>
      </w:hyperlink>
      <w:hyperlink r:id="rId43">
        <w:r w:rsidDel="00000000" w:rsidR="00000000" w:rsidRPr="00000000">
          <w:rPr>
            <w:i w:val="1"/>
            <w:iCs w:val="1"/>
            <w:rtl w:val="0"/>
          </w:rPr>
          <w:t xml:space="preserve">Gut Microbes</w:t>
        </w:r>
      </w:hyperlink>
      <w:hyperlink r:id="rId44">
        <w:r w:rsidDel="00000000" w:rsidR="00000000" w:rsidRPr="00000000">
          <w:rPr>
            <w:rtl w:val="0"/>
          </w:rPr>
          <w:t xml:space="preserve">, </w:t>
        </w:r>
      </w:hyperlink>
      <w:hyperlink r:id="rId45">
        <w:r w:rsidDel="00000000" w:rsidR="00000000" w:rsidRPr="00000000">
          <w:rPr>
            <w:i w:val="1"/>
            <w:iCs w:val="1"/>
            <w:rtl w:val="0"/>
          </w:rPr>
          <w:t xml:space="preserve">17</w:t>
        </w:r>
      </w:hyperlink>
      <w:hyperlink r:id="rId46">
        <w:r w:rsidDel="00000000" w:rsidR="00000000" w:rsidRPr="00000000">
          <w:rPr>
            <w:rtl w:val="0"/>
          </w:rPr>
          <w:t xml:space="preserve">(1), 2489074. https://doi.org/10.1080/19490976.2025.2489074 </w:t>
        </w:r>
      </w:hyperlink>
      <w:r w:rsidDel="00000000" w:rsidR="00000000" w:rsidRPr="00000000">
        <w:rPr>
          <w:rtl w:val="0"/>
        </w:rPr>
      </w:r>
    </w:p>
    <w:p w:rsidR="00000000" w:rsidDel="00000000" w:rsidP="00000000" w:rsidRDefault="00000000" w:rsidRPr="00000000" w14:paraId="00000025">
      <w:pPr>
        <w:ind w:left="720"/>
        <w:rPr/>
      </w:pPr>
      <w:hyperlink r:id="rId47">
        <w:r w:rsidDel="00000000" w:rsidR="00000000" w:rsidRPr="00000000">
          <w:rPr>
            <w:rtl w:val="0"/>
          </w:rPr>
          <w:t xml:space="preserve">Manghi, P., Antonello, G., Schiffer, L., Golzato, D., Wokaty, A., Beghini, F., Mirzayi, C., Long, K., Gravel-Pucillo, K., Piccinno, G., Gamboa-Tuz, S. D., Bonetti, A., D’Amato, G., Azhar, R., Eckenrode, K., Zohra, F., Giunchiglia, V., Keller, M., Pedrotti, A., … Waldron, L. (2025). Meta-analysis of 22,710 human microbiome metagenomes defines an oral-to-gut microbial enrichment score and associations with host health and disease. </w:t>
        </w:r>
      </w:hyperlink>
      <w:hyperlink r:id="rId48">
        <w:r w:rsidDel="00000000" w:rsidR="00000000" w:rsidRPr="00000000">
          <w:rPr>
            <w:i w:val="1"/>
            <w:iCs w:val="1"/>
            <w:rtl w:val="0"/>
          </w:rPr>
          <w:t xml:space="preserve">Nature Communications</w:t>
        </w:r>
      </w:hyperlink>
      <w:hyperlink r:id="rId49">
        <w:r w:rsidDel="00000000" w:rsidR="00000000" w:rsidRPr="00000000">
          <w:rPr>
            <w:rtl w:val="0"/>
          </w:rPr>
          <w:t xml:space="preserve">, </w:t>
        </w:r>
      </w:hyperlink>
      <w:hyperlink r:id="rId50">
        <w:r w:rsidDel="00000000" w:rsidR="00000000" w:rsidRPr="00000000">
          <w:rPr>
            <w:i w:val="1"/>
            <w:iCs w:val="1"/>
            <w:rtl w:val="0"/>
          </w:rPr>
          <w:t xml:space="preserve">17</w:t>
        </w:r>
      </w:hyperlink>
      <w:hyperlink r:id="rId51">
        <w:r w:rsidDel="00000000" w:rsidR="00000000" w:rsidRPr="00000000">
          <w:rPr>
            <w:rtl w:val="0"/>
          </w:rPr>
          <w:t xml:space="preserve">(1), 196. https://doi.org/10.1038/s41467-025-66888-1 </w:t>
        </w:r>
      </w:hyperlink>
      <w:r w:rsidDel="00000000" w:rsidR="00000000" w:rsidRPr="00000000">
        <w:rPr>
          <w:rtl w:val="0"/>
        </w:rPr>
      </w:r>
    </w:p>
    <w:p w:rsidR="00000000" w:rsidDel="00000000" w:rsidP="00000000" w:rsidRDefault="00000000" w:rsidRPr="00000000" w14:paraId="00000026">
      <w:pPr>
        <w:ind w:left="720"/>
        <w:rPr/>
      </w:pPr>
      <w:hyperlink r:id="rId52">
        <w:r w:rsidDel="00000000" w:rsidR="00000000" w:rsidRPr="00000000">
          <w:rPr>
            <w:rtl w:val="0"/>
          </w:rPr>
          <w:t xml:space="preserve">NIH Human Microbiome Portfolio Analysis Team. (2019). A review of 10 years of human microbiome research activities at the US National Institutes of Health, Fiscal Years 2007-2016. </w:t>
        </w:r>
      </w:hyperlink>
      <w:hyperlink r:id="rId53">
        <w:r w:rsidDel="00000000" w:rsidR="00000000" w:rsidRPr="00000000">
          <w:rPr>
            <w:i w:val="1"/>
            <w:iCs w:val="1"/>
            <w:rtl w:val="0"/>
          </w:rPr>
          <w:t xml:space="preserve">Microbiome</w:t>
        </w:r>
      </w:hyperlink>
      <w:hyperlink r:id="rId54">
        <w:r w:rsidDel="00000000" w:rsidR="00000000" w:rsidRPr="00000000">
          <w:rPr>
            <w:rtl w:val="0"/>
          </w:rPr>
          <w:t xml:space="preserve">, </w:t>
        </w:r>
      </w:hyperlink>
      <w:hyperlink r:id="rId55">
        <w:r w:rsidDel="00000000" w:rsidR="00000000" w:rsidRPr="00000000">
          <w:rPr>
            <w:i w:val="1"/>
            <w:iCs w:val="1"/>
            <w:rtl w:val="0"/>
          </w:rPr>
          <w:t xml:space="preserve">7</w:t>
        </w:r>
      </w:hyperlink>
      <w:hyperlink r:id="rId56">
        <w:r w:rsidDel="00000000" w:rsidR="00000000" w:rsidRPr="00000000">
          <w:rPr>
            <w:rtl w:val="0"/>
          </w:rPr>
          <w:t xml:space="preserve">(1), 31. https://doi.org/10.1186/s40168-019-0620-y </w:t>
        </w:r>
      </w:hyperlink>
      <w:r w:rsidDel="00000000" w:rsidR="00000000" w:rsidRPr="00000000">
        <w:rPr>
          <w:rtl w:val="0"/>
        </w:rPr>
      </w:r>
    </w:p>
    <w:p w:rsidR="00000000" w:rsidDel="00000000" w:rsidP="00000000" w:rsidRDefault="00000000" w:rsidRPr="00000000" w14:paraId="00000027">
      <w:pPr>
        <w:ind w:left="720"/>
        <w:rPr/>
      </w:pPr>
      <w:hyperlink r:id="rId57">
        <w:r w:rsidDel="00000000" w:rsidR="00000000" w:rsidRPr="00000000">
          <w:rPr>
            <w:rtl w:val="0"/>
          </w:rPr>
          <w:t xml:space="preserve">Paracelsus. (2003). </w:t>
        </w:r>
      </w:hyperlink>
      <w:hyperlink r:id="rId58">
        <w:r w:rsidDel="00000000" w:rsidR="00000000" w:rsidRPr="00000000">
          <w:rPr>
            <w:i w:val="1"/>
            <w:iCs w:val="1"/>
            <w:rtl w:val="0"/>
          </w:rPr>
          <w:t xml:space="preserve">Septem Defensiones: Die Selbstverteidigung eines Aussenseiters$dmit einem Reprint der Ausgabe Basel 1589</w:t>
        </w:r>
      </w:hyperlink>
      <w:hyperlink r:id="rId59">
        <w:r w:rsidDel="00000000" w:rsidR="00000000" w:rsidRPr="00000000">
          <w:rPr>
            <w:rtl w:val="0"/>
          </w:rPr>
          <w:t xml:space="preserve"> (G. Pörksen, Trans.). Schwabe &amp; Co. AG Verlag. http://www.zeno.org/Philosophie/M/Paracelsus/Septem+Defensiones/Die+dritte+Defension+wegen+des+Schreibens+der+neuen+Rezepte (Original work published 1538) </w:t>
        </w:r>
      </w:hyperlink>
      <w:r w:rsidDel="00000000" w:rsidR="00000000" w:rsidRPr="00000000">
        <w:rPr>
          <w:rtl w:val="0"/>
        </w:rPr>
      </w:r>
    </w:p>
    <w:p w:rsidR="00000000" w:rsidDel="00000000" w:rsidP="00000000" w:rsidRDefault="00000000" w:rsidRPr="00000000" w14:paraId="00000028">
      <w:pPr>
        <w:ind w:left="720"/>
        <w:rPr/>
      </w:pPr>
      <w:hyperlink r:id="rId60">
        <w:r w:rsidDel="00000000" w:rsidR="00000000" w:rsidRPr="00000000">
          <w:rPr>
            <w:rtl w:val="0"/>
          </w:rPr>
          <w:t xml:space="preserve">Pasolli, E., Schiffer, L., Manghi, P., Renson, A., Obenchain, V., Truong, D. T., Beghini, F., Malik, F., Ramos, M., Dowd, J. B., Huttenhower, C., Morgan, M., Segata, N., &amp; Waldron, L. (2017). Accessible, curated metagenomic data through ExperimentHub. </w:t>
        </w:r>
      </w:hyperlink>
      <w:hyperlink r:id="rId61">
        <w:r w:rsidDel="00000000" w:rsidR="00000000" w:rsidRPr="00000000">
          <w:rPr>
            <w:i w:val="1"/>
            <w:iCs w:val="1"/>
            <w:rtl w:val="0"/>
          </w:rPr>
          <w:t xml:space="preserve">Nature Methods</w:t>
        </w:r>
      </w:hyperlink>
      <w:hyperlink r:id="rId62">
        <w:r w:rsidDel="00000000" w:rsidR="00000000" w:rsidRPr="00000000">
          <w:rPr>
            <w:rtl w:val="0"/>
          </w:rPr>
          <w:t xml:space="preserve">, </w:t>
        </w:r>
      </w:hyperlink>
      <w:hyperlink r:id="rId63">
        <w:r w:rsidDel="00000000" w:rsidR="00000000" w:rsidRPr="00000000">
          <w:rPr>
            <w:i w:val="1"/>
            <w:iCs w:val="1"/>
            <w:rtl w:val="0"/>
          </w:rPr>
          <w:t xml:space="preserve">14</w:t>
        </w:r>
      </w:hyperlink>
      <w:hyperlink r:id="rId64">
        <w:r w:rsidDel="00000000" w:rsidR="00000000" w:rsidRPr="00000000">
          <w:rPr>
            <w:rtl w:val="0"/>
          </w:rPr>
          <w:t xml:space="preserve">(11), 1023–1024. https://doi.org/10.1038/nmeth.4468 </w:t>
        </w:r>
      </w:hyperlink>
      <w:r w:rsidDel="00000000" w:rsidR="00000000" w:rsidRPr="00000000">
        <w:rPr>
          <w:rtl w:val="0"/>
        </w:rPr>
      </w:r>
    </w:p>
    <w:p w:rsidR="00000000" w:rsidDel="00000000" w:rsidP="00000000" w:rsidRDefault="00000000" w:rsidRPr="00000000" w14:paraId="00000029">
      <w:pPr>
        <w:ind w:left="720"/>
        <w:rPr/>
      </w:pPr>
      <w:hyperlink r:id="rId65">
        <w:r w:rsidDel="00000000" w:rsidR="00000000" w:rsidRPr="00000000">
          <w:rPr>
            <w:rtl w:val="0"/>
          </w:rPr>
          <w:t xml:space="preserve">Pavlopoulos, G. A., Baltoumas, F. A., Liu, S., Selvitopi, O., Camargo, A. P., Nayfach, S., Azad, A., Roux, S., Call, L., Ivanova, N. N., Chen, I. M., Paez-Espino, D., Karatzas, E., Novel Metagenome Protein Families Consortium, Acinas, S. G., Ahlgren, N., Attwood, G., Baldrian, P., Berry, T., … Kyrpides, N. C. (2023). Unraveling the functional dark matter through global metagenomics. </w:t>
        </w:r>
      </w:hyperlink>
      <w:hyperlink r:id="rId66">
        <w:r w:rsidDel="00000000" w:rsidR="00000000" w:rsidRPr="00000000">
          <w:rPr>
            <w:i w:val="1"/>
            <w:iCs w:val="1"/>
            <w:rtl w:val="0"/>
          </w:rPr>
          <w:t xml:space="preserve">Nature</w:t>
        </w:r>
      </w:hyperlink>
      <w:hyperlink r:id="rId67">
        <w:r w:rsidDel="00000000" w:rsidR="00000000" w:rsidRPr="00000000">
          <w:rPr>
            <w:rtl w:val="0"/>
          </w:rPr>
          <w:t xml:space="preserve">, </w:t>
        </w:r>
      </w:hyperlink>
      <w:hyperlink r:id="rId68">
        <w:r w:rsidDel="00000000" w:rsidR="00000000" w:rsidRPr="00000000">
          <w:rPr>
            <w:i w:val="1"/>
            <w:iCs w:val="1"/>
            <w:rtl w:val="0"/>
          </w:rPr>
          <w:t xml:space="preserve">622</w:t>
        </w:r>
      </w:hyperlink>
      <w:hyperlink r:id="rId69">
        <w:r w:rsidDel="00000000" w:rsidR="00000000" w:rsidRPr="00000000">
          <w:rPr>
            <w:rtl w:val="0"/>
          </w:rPr>
          <w:t xml:space="preserve">(7983), 594–602. https://doi.org/10.1038/s41586-023-06583-7 </w:t>
        </w:r>
      </w:hyperlink>
      <w:r w:rsidDel="00000000" w:rsidR="00000000" w:rsidRPr="00000000">
        <w:rPr>
          <w:rtl w:val="0"/>
        </w:rPr>
      </w:r>
    </w:p>
    <w:p w:rsidR="00000000" w:rsidDel="00000000" w:rsidP="00000000" w:rsidRDefault="00000000" w:rsidRPr="00000000" w14:paraId="0000002A">
      <w:pPr>
        <w:ind w:left="720"/>
        <w:rPr/>
      </w:pPr>
      <w:hyperlink r:id="rId70">
        <w:r w:rsidDel="00000000" w:rsidR="00000000" w:rsidRPr="00000000">
          <w:rPr>
            <w:rtl w:val="0"/>
          </w:rPr>
          <w:t xml:space="preserve">Pita-Galeana, M. A., Ruhle, M., López-Vázquez, L., De Anda-Jáuregui, G., &amp; Hernández-Lemus, E. (2025). Computational Metagenomics: State of the Art. </w:t>
        </w:r>
      </w:hyperlink>
      <w:hyperlink r:id="rId71">
        <w:r w:rsidDel="00000000" w:rsidR="00000000" w:rsidRPr="00000000">
          <w:rPr>
            <w:i w:val="1"/>
            <w:iCs w:val="1"/>
            <w:rtl w:val="0"/>
          </w:rPr>
          <w:t xml:space="preserve">International Journal of Molecular Sciences</w:t>
        </w:r>
      </w:hyperlink>
      <w:hyperlink r:id="rId72">
        <w:r w:rsidDel="00000000" w:rsidR="00000000" w:rsidRPr="00000000">
          <w:rPr>
            <w:rtl w:val="0"/>
          </w:rPr>
          <w:t xml:space="preserve">, </w:t>
        </w:r>
      </w:hyperlink>
      <w:hyperlink r:id="rId73">
        <w:r w:rsidDel="00000000" w:rsidR="00000000" w:rsidRPr="00000000">
          <w:rPr>
            <w:i w:val="1"/>
            <w:iCs w:val="1"/>
            <w:rtl w:val="0"/>
          </w:rPr>
          <w:t xml:space="preserve">26</w:t>
        </w:r>
      </w:hyperlink>
      <w:hyperlink r:id="rId74">
        <w:r w:rsidDel="00000000" w:rsidR="00000000" w:rsidRPr="00000000">
          <w:rPr>
            <w:rtl w:val="0"/>
          </w:rPr>
          <w:t xml:space="preserve">(18), 9206. https://doi.org/10.3390/ijms26189206 </w:t>
        </w:r>
      </w:hyperlink>
      <w:r w:rsidDel="00000000" w:rsidR="00000000" w:rsidRPr="00000000">
        <w:rPr>
          <w:rtl w:val="0"/>
        </w:rPr>
      </w:r>
    </w:p>
    <w:p w:rsidR="00000000" w:rsidDel="00000000" w:rsidP="00000000" w:rsidRDefault="00000000" w:rsidRPr="00000000" w14:paraId="0000002B">
      <w:pPr>
        <w:ind w:left="720"/>
        <w:rPr/>
      </w:pPr>
      <w:hyperlink r:id="rId75">
        <w:r w:rsidDel="00000000" w:rsidR="00000000" w:rsidRPr="00000000">
          <w:rPr>
            <w:rtl w:val="0"/>
          </w:rPr>
          <w:t xml:space="preserve">Singh, R. K., Chang, H.-W., Yan, D., Lee, K. M., Ucmak, D., Wong, K., Abrouk, M., Farahnik, B., Nakamura, M., Zhu, T. H., Bhutani, T., &amp; Liao, W. (2017). Influence of diet on the gut microbiome and implications for human health. </w:t>
        </w:r>
      </w:hyperlink>
      <w:hyperlink r:id="rId76">
        <w:r w:rsidDel="00000000" w:rsidR="00000000" w:rsidRPr="00000000">
          <w:rPr>
            <w:i w:val="1"/>
            <w:iCs w:val="1"/>
            <w:rtl w:val="0"/>
          </w:rPr>
          <w:t xml:space="preserve">Journal of Translational Medicine</w:t>
        </w:r>
      </w:hyperlink>
      <w:hyperlink r:id="rId77">
        <w:r w:rsidDel="00000000" w:rsidR="00000000" w:rsidRPr="00000000">
          <w:rPr>
            <w:rtl w:val="0"/>
          </w:rPr>
          <w:t xml:space="preserve">, </w:t>
        </w:r>
      </w:hyperlink>
      <w:hyperlink r:id="rId78">
        <w:r w:rsidDel="00000000" w:rsidR="00000000" w:rsidRPr="00000000">
          <w:rPr>
            <w:i w:val="1"/>
            <w:iCs w:val="1"/>
            <w:rtl w:val="0"/>
          </w:rPr>
          <w:t xml:space="preserve">15</w:t>
        </w:r>
      </w:hyperlink>
      <w:hyperlink r:id="rId79">
        <w:r w:rsidDel="00000000" w:rsidR="00000000" w:rsidRPr="00000000">
          <w:rPr>
            <w:rtl w:val="0"/>
          </w:rPr>
          <w:t xml:space="preserve">(1), 73. https://doi.org/10.1186/s12967-017-1175-y </w:t>
        </w:r>
      </w:hyperlink>
      <w:r w:rsidDel="00000000" w:rsidR="00000000" w:rsidRPr="00000000">
        <w:rPr>
          <w:rtl w:val="0"/>
        </w:rPr>
      </w:r>
    </w:p>
    <w:p w:rsidR="00000000" w:rsidDel="00000000" w:rsidP="00000000" w:rsidRDefault="00000000" w:rsidRPr="00000000" w14:paraId="0000002C">
      <w:pPr>
        <w:ind w:left="720"/>
        <w:rPr/>
      </w:pPr>
      <w:hyperlink r:id="rId80">
        <w:r w:rsidDel="00000000" w:rsidR="00000000" w:rsidRPr="00000000">
          <w:rPr>
            <w:rtl w:val="0"/>
          </w:rPr>
          <w:t xml:space="preserve">The Integrative HMP (iHMP) Research Network Consortium, Proctor, L. M., Creasy, H. H., Fettweis, J. M., Lloyd-Price, J., Mahurkar, A., Zhou, W., Buck, G. A., Snyder, M. P., Strauss, J. F., Weinstock, G. M., White, O., &amp; Huttenhower, C. (2019). The Integrative Human Microbiome Project. </w:t>
        </w:r>
      </w:hyperlink>
      <w:hyperlink r:id="rId81">
        <w:r w:rsidDel="00000000" w:rsidR="00000000" w:rsidRPr="00000000">
          <w:rPr>
            <w:i w:val="1"/>
            <w:iCs w:val="1"/>
            <w:rtl w:val="0"/>
          </w:rPr>
          <w:t xml:space="preserve">Nature</w:t>
        </w:r>
      </w:hyperlink>
      <w:hyperlink r:id="rId82">
        <w:r w:rsidDel="00000000" w:rsidR="00000000" w:rsidRPr="00000000">
          <w:rPr>
            <w:rtl w:val="0"/>
          </w:rPr>
          <w:t xml:space="preserve">, </w:t>
        </w:r>
      </w:hyperlink>
      <w:hyperlink r:id="rId83">
        <w:r w:rsidDel="00000000" w:rsidR="00000000" w:rsidRPr="00000000">
          <w:rPr>
            <w:i w:val="1"/>
            <w:iCs w:val="1"/>
            <w:rtl w:val="0"/>
          </w:rPr>
          <w:t xml:space="preserve">569</w:t>
        </w:r>
      </w:hyperlink>
      <w:hyperlink r:id="rId84">
        <w:r w:rsidDel="00000000" w:rsidR="00000000" w:rsidRPr="00000000">
          <w:rPr>
            <w:rtl w:val="0"/>
          </w:rPr>
          <w:t xml:space="preserve">(7758), 641–648. https://doi.org/10.1038/s41586-019-1238-8 </w:t>
        </w:r>
      </w:hyperlink>
      <w:r w:rsidDel="00000000" w:rsidR="00000000" w:rsidRPr="00000000">
        <w:rPr>
          <w:rtl w:val="0"/>
        </w:rPr>
      </w:r>
    </w:p>
    <w:p w:rsidR="00000000" w:rsidDel="00000000" w:rsidP="00000000" w:rsidRDefault="00000000" w:rsidRPr="00000000" w14:paraId="0000002D">
      <w:pPr>
        <w:ind w:left="720"/>
        <w:rPr/>
      </w:pPr>
      <w:hyperlink r:id="rId85">
        <w:r w:rsidDel="00000000" w:rsidR="00000000" w:rsidRPr="00000000">
          <w:rPr>
            <w:rtl w:val="0"/>
          </w:rPr>
          <w:t xml:space="preserve">Zmora, N., Suez, J., &amp; Elinav, E. (2019). You are what you eat: Diet, health and the gut microbiota. </w:t>
        </w:r>
      </w:hyperlink>
      <w:hyperlink r:id="rId86">
        <w:r w:rsidDel="00000000" w:rsidR="00000000" w:rsidRPr="00000000">
          <w:rPr>
            <w:i w:val="1"/>
            <w:iCs w:val="1"/>
            <w:rtl w:val="0"/>
          </w:rPr>
          <w:t xml:space="preserve">Nature Reviews Gastroenterology &amp; Hepatology</w:t>
        </w:r>
      </w:hyperlink>
      <w:hyperlink r:id="rId87">
        <w:r w:rsidDel="00000000" w:rsidR="00000000" w:rsidRPr="00000000">
          <w:rPr>
            <w:rtl w:val="0"/>
          </w:rPr>
          <w:t xml:space="preserve">, </w:t>
        </w:r>
      </w:hyperlink>
      <w:hyperlink r:id="rId88">
        <w:r w:rsidDel="00000000" w:rsidR="00000000" w:rsidRPr="00000000">
          <w:rPr>
            <w:i w:val="1"/>
            <w:iCs w:val="1"/>
            <w:rtl w:val="0"/>
          </w:rPr>
          <w:t xml:space="preserve">16</w:t>
        </w:r>
      </w:hyperlink>
      <w:hyperlink r:id="rId89">
        <w:r w:rsidDel="00000000" w:rsidR="00000000" w:rsidRPr="00000000">
          <w:rPr>
            <w:rtl w:val="0"/>
          </w:rPr>
          <w:t xml:space="preserve">(1), 35–56. https://doi.org/10.1038/s41575-018-0061-2 </w:t>
        </w:r>
      </w:hyperlink>
      <w:r w:rsidDel="00000000" w:rsidR="00000000" w:rsidRPr="00000000">
        <w:rPr>
          <w:rtl w:val="0"/>
        </w:rPr>
      </w:r>
    </w:p>
    <w:p w:rsidR="00000000" w:rsidDel="00000000" w:rsidP="00000000" w:rsidRDefault="00000000" w:rsidRPr="00000000" w14:paraId="0000002E">
      <w:pPr>
        <w:rPr/>
        <w:sectPr>
          <w:headerReference r:id="rId90" w:type="default"/>
          <w:headerReference r:id="rId91" w:type="first"/>
          <w:footerReference r:id="rId92"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3" w:type="default"/>
          <w:headerReference r:id="rId94" w:type="first"/>
          <w:footerReference r:id="rId95" w:type="first"/>
          <w:type w:val="nextPage"/>
          <w:pgSz w:h="15840" w:w="12240" w:orient="portrait"/>
          <w:pgMar w:bottom="1440" w:top="1440" w:left="1440" w:right="1440" w:header="720" w:footer="720"/>
          <w:pgNumType w:start="1"/>
        </w:sectPr>
      </w:pPr>
      <w:bookmarkStart w:colFirst="0" w:colLast="0" w:name="_eyh3tx38lpaf" w:id="8"/>
      <w:bookmarkEnd w:id="8"/>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Miscellaneous Notes</w:t>
      </w:r>
      <w:r w:rsidDel="00000000" w:rsidR="00000000" w:rsidRPr="00000000">
        <w:rPr>
          <w:rtl w:val="0"/>
        </w:rPr>
      </w:r>
    </w:p>
    <w:p w:rsidR="00000000" w:rsidDel="00000000" w:rsidP="00000000" w:rsidRDefault="00000000" w:rsidRPr="00000000" w14:paraId="00000030">
      <w:pPr>
        <w:spacing w:before="20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[I]nvestigating the predictive value of a microbiome “fingerprint” to particular diseases, with the development of a proof-of concept clinical tool to aid in differential diagnoses. </w:t>
      </w:r>
    </w:p>
    <w:p w:rsidR="00000000" w:rsidDel="00000000" w:rsidP="00000000" w:rsidRDefault="00000000" w:rsidRPr="00000000" w14:paraId="00000031">
      <w:pPr>
        <w:spacing w:before="200" w:line="276" w:lineRule="auto"/>
        <w:rPr>
          <w:rFonts w:ascii="Merriweather" w:cs="Merriweather" w:eastAsia="Merriweather" w:hAnsi="Merriweather"/>
          <w:b w:val="1"/>
          <w:bCs w:val="1"/>
          <w:sz w:val="22"/>
          <w:szCs w:val="22"/>
          <w:u w:val="single"/>
        </w:rPr>
      </w:pPr>
      <w:r w:rsidDel="00000000" w:rsidR="00000000" w:rsidRPr="00000000">
        <w:rPr>
          <w:rFonts w:ascii="Merriweather" w:cs="Merriweather" w:eastAsia="Merriweather" w:hAnsi="Merriweather"/>
          <w:b w:val="1"/>
          <w:bCs w:val="1"/>
          <w:sz w:val="22"/>
          <w:szCs w:val="22"/>
          <w:u w:val="single"/>
          <w:rtl w:val="0"/>
        </w:rPr>
        <w:t xml:space="preserve">Potential Questions to keep:</w:t>
      </w:r>
    </w:p>
    <w:p w:rsidR="00000000" w:rsidDel="00000000" w:rsidP="00000000" w:rsidRDefault="00000000" w:rsidRPr="00000000" w14:paraId="00000032">
      <w:pPr>
        <w:numPr>
          <w:ilvl w:val="0"/>
          <w:numId w:val="2"/>
        </w:numPr>
        <w:spacing w:after="0" w:afterAutospacing="0" w:before="20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Taxonomy vs metabolic/biological function for model optimization, or weighted combination</w:t>
      </w:r>
    </w:p>
    <w:p w:rsidR="00000000" w:rsidDel="00000000" w:rsidP="00000000" w:rsidRDefault="00000000" w:rsidRPr="00000000" w14:paraId="00000033">
      <w:pPr>
        <w:numPr>
          <w:ilvl w:val="1"/>
          <w:numId w:val="2"/>
        </w:numPr>
        <w:spacing w:after="0" w:afterAutospacing="0" w:before="0" w:beforeAutospacing="0" w:line="276" w:lineRule="auto"/>
        <w:ind w:left="144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At what level does it become “bad”</w:t>
      </w:r>
    </w:p>
    <w:p w:rsidR="00000000" w:rsidDel="00000000" w:rsidP="00000000" w:rsidRDefault="00000000" w:rsidRPr="00000000" w14:paraId="00000034">
      <w:pPr>
        <w:numPr>
          <w:ilvl w:val="2"/>
          <w:numId w:val="2"/>
        </w:numPr>
        <w:spacing w:after="0" w:afterAutospacing="0" w:before="0" w:beforeAutospacing="0" w:line="276" w:lineRule="auto"/>
        <w:ind w:left="2160" w:hanging="360"/>
        <w:rPr>
          <w:rFonts w:ascii="Merriweather" w:cs="Merriweather" w:eastAsia="Merriweather" w:hAnsi="Merriweather"/>
          <w:sz w:val="22"/>
          <w:szCs w:val="22"/>
        </w:rPr>
      </w:pPr>
      <w:r w:rsidDel="00000000" w:rsidR="00000000" w:rsidRPr="00000000">
        <w:rPr>
          <w:rFonts w:ascii="Nova Mono" w:cs="Nova Mono" w:eastAsia="Nova Mono" w:hAnsi="Nova Mono"/>
          <w:sz w:val="22"/>
          <w:szCs w:val="22"/>
          <w:rtl w:val="0"/>
        </w:rPr>
        <w:t xml:space="preserve">Look up the ROC curve and AUC → potential to use this as a guideline?</w:t>
      </w:r>
    </w:p>
    <w:p w:rsidR="00000000" w:rsidDel="00000000" w:rsidP="00000000" w:rsidRDefault="00000000" w:rsidRPr="00000000" w14:paraId="00000035">
      <w:pPr>
        <w:numPr>
          <w:ilvl w:val="3"/>
          <w:numId w:val="2"/>
        </w:numPr>
        <w:spacing w:after="0" w:afterAutospacing="0" w:before="0" w:beforeAutospacing="0" w:line="276" w:lineRule="auto"/>
        <w:ind w:left="2880" w:hanging="360"/>
        <w:rPr>
          <w:rFonts w:ascii="Merriweather" w:cs="Merriweather" w:eastAsia="Merriweather" w:hAnsi="Merriweather"/>
          <w:sz w:val="22"/>
          <w:szCs w:val="22"/>
        </w:rPr>
      </w:pPr>
      <w:hyperlink r:id="rId96">
        <w:r w:rsidDel="00000000" w:rsidR="00000000" w:rsidRPr="00000000">
          <w:rPr>
            <w:rFonts w:ascii="Merriweather" w:cs="Merriweather" w:eastAsia="Merriweather" w:hAnsi="Merriweather"/>
            <w:color w:val="1155cc"/>
            <w:sz w:val="22"/>
            <w:szCs w:val="22"/>
            <w:u w:val="single"/>
            <w:rtl w:val="0"/>
          </w:rPr>
          <w:t xml:space="preserve">https://developers.google.com/machine-learning/crash-course/classification/roc-and-auc</w:t>
        </w:r>
      </w:hyperlink>
      <w:r w:rsidDel="00000000" w:rsidR="00000000" w:rsidRPr="00000000">
        <w:rPr>
          <w:rFonts w:ascii="Merriweather" w:cs="Merriweather" w:eastAsia="Merriweather" w:hAnsi="Merriweather"/>
          <w:sz w:val="22"/>
          <w:szCs w:val="22"/>
          <w:rtl w:val="0"/>
        </w:rPr>
        <w:t xml:space="preserve"> </w:t>
      </w:r>
    </w:p>
    <w:p w:rsidR="00000000" w:rsidDel="00000000" w:rsidP="00000000" w:rsidRDefault="00000000" w:rsidRPr="00000000" w14:paraId="00000036">
      <w:pPr>
        <w:numPr>
          <w:ilvl w:val="1"/>
          <w:numId w:val="2"/>
        </w:numPr>
        <w:spacing w:after="0" w:afterAutospacing="0" w:before="0" w:beforeAutospacing="0" w:line="276" w:lineRule="auto"/>
        <w:ind w:left="144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Proportions vs interactions</w:t>
      </w:r>
    </w:p>
    <w:p w:rsidR="00000000" w:rsidDel="00000000" w:rsidP="00000000" w:rsidRDefault="00000000" w:rsidRPr="00000000" w14:paraId="00000037">
      <w:pPr>
        <w:numPr>
          <w:ilvl w:val="2"/>
          <w:numId w:val="2"/>
        </w:numPr>
        <w:spacing w:after="0" w:afterAutospacing="0" w:before="0" w:beforeAutospacing="0" w:line="276" w:lineRule="auto"/>
        <w:ind w:left="216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Metabolic/taxonomic proportions</w:t>
      </w:r>
    </w:p>
    <w:p w:rsidR="00000000" w:rsidDel="00000000" w:rsidP="00000000" w:rsidRDefault="00000000" w:rsidRPr="00000000" w14:paraId="00000038">
      <w:pPr>
        <w:numPr>
          <w:ilvl w:val="0"/>
          <w:numId w:val="2"/>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Geography effects on disease fingerprinting, pseudoreplication of family units?</w:t>
      </w:r>
    </w:p>
    <w:p w:rsidR="00000000" w:rsidDel="00000000" w:rsidP="00000000" w:rsidRDefault="00000000" w:rsidRPr="00000000" w14:paraId="00000039">
      <w:pPr>
        <w:numPr>
          <w:ilvl w:val="1"/>
          <w:numId w:val="2"/>
        </w:numPr>
        <w:spacing w:after="0" w:afterAutospacing="0" w:before="0" w:beforeAutospacing="0" w:line="276" w:lineRule="auto"/>
        <w:ind w:left="144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Food microbiome effects</w:t>
      </w:r>
    </w:p>
    <w:p w:rsidR="00000000" w:rsidDel="00000000" w:rsidP="00000000" w:rsidRDefault="00000000" w:rsidRPr="00000000" w14:paraId="0000003A">
      <w:pPr>
        <w:numPr>
          <w:ilvl w:val="1"/>
          <w:numId w:val="2"/>
        </w:numPr>
        <w:spacing w:after="0" w:afterAutospacing="0" w:before="0" w:beforeAutospacing="0" w:line="276" w:lineRule="auto"/>
        <w:ind w:left="144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Clustering Algorithms</w:t>
      </w:r>
    </w:p>
    <w:p w:rsidR="00000000" w:rsidDel="00000000" w:rsidP="00000000" w:rsidRDefault="00000000" w:rsidRPr="00000000" w14:paraId="0000003B">
      <w:pPr>
        <w:numPr>
          <w:ilvl w:val="0"/>
          <w:numId w:val="2"/>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Microbial Dark Matter (MDM) score</w:t>
      </w:r>
    </w:p>
    <w:p w:rsidR="00000000" w:rsidDel="00000000" w:rsidP="00000000" w:rsidRDefault="00000000" w:rsidRPr="00000000" w14:paraId="0000003C">
      <w:pPr>
        <w:numPr>
          <w:ilvl w:val="0"/>
          <w:numId w:val="2"/>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Disease Similarity Scoring</w:t>
      </w:r>
    </w:p>
    <w:p w:rsidR="00000000" w:rsidDel="00000000" w:rsidP="00000000" w:rsidRDefault="00000000" w:rsidRPr="00000000" w14:paraId="0000003D">
      <w:pPr>
        <w:numPr>
          <w:ilvl w:val="0"/>
          <w:numId w:val="2"/>
        </w:numPr>
        <w:spacing w:after="0" w:afterAutospacing="0" w:before="0" w:beforeAutospacing="0" w:line="276" w:lineRule="auto"/>
        <w:ind w:left="720" w:hanging="360"/>
        <w:rPr>
          <w:rFonts w:ascii="Merriweather" w:cs="Merriweather" w:eastAsia="Merriweather" w:hAnsi="Merriweather"/>
          <w:sz w:val="22"/>
          <w:szCs w:val="22"/>
          <w:highlight w:val="red"/>
        </w:rPr>
      </w:pPr>
      <w:r w:rsidDel="00000000" w:rsidR="00000000" w:rsidRPr="00000000">
        <w:rPr>
          <w:rFonts w:ascii="Nova Mono" w:cs="Nova Mono" w:eastAsia="Nova Mono" w:hAnsi="Nova Mono"/>
          <w:sz w:val="22"/>
          <w:szCs w:val="22"/>
          <w:highlight w:val="red"/>
          <w:rtl w:val="0"/>
        </w:rPr>
        <w:t xml:space="preserve">Age effects? → Blue zone?</w:t>
      </w:r>
    </w:p>
    <w:p w:rsidR="00000000" w:rsidDel="00000000" w:rsidP="00000000" w:rsidRDefault="00000000" w:rsidRPr="00000000" w14:paraId="0000003E">
      <w:pPr>
        <w:numPr>
          <w:ilvl w:val="1"/>
          <w:numId w:val="2"/>
        </w:numPr>
        <w:spacing w:after="0" w:afterAutospacing="0" w:before="0" w:beforeAutospacing="0" w:line="276" w:lineRule="auto"/>
        <w:ind w:left="1440" w:hanging="360"/>
        <w:rPr>
          <w:rFonts w:ascii="Merriweather" w:cs="Merriweather" w:eastAsia="Merriweather" w:hAnsi="Merriweather"/>
          <w:sz w:val="22"/>
          <w:szCs w:val="22"/>
          <w:highlight w:val="red"/>
        </w:rPr>
      </w:pPr>
      <w:r w:rsidDel="00000000" w:rsidR="00000000" w:rsidRPr="00000000">
        <w:rPr>
          <w:rFonts w:ascii="Merriweather" w:cs="Merriweather" w:eastAsia="Merriweather" w:hAnsi="Merriweather"/>
          <w:sz w:val="22"/>
          <w:szCs w:val="22"/>
          <w:highlight w:val="red"/>
          <w:rtl w:val="0"/>
        </w:rPr>
        <w:t xml:space="preserve">Related to geography</w:t>
      </w:r>
    </w:p>
    <w:p w:rsidR="00000000" w:rsidDel="00000000" w:rsidP="00000000" w:rsidRDefault="00000000" w:rsidRPr="00000000" w14:paraId="0000003F">
      <w:pPr>
        <w:numPr>
          <w:ilvl w:val="0"/>
          <w:numId w:val="2"/>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Individual diseases or groupings?</w:t>
      </w:r>
    </w:p>
    <w:p w:rsidR="00000000" w:rsidDel="00000000" w:rsidP="00000000" w:rsidRDefault="00000000" w:rsidRPr="00000000" w14:paraId="00000040">
      <w:pPr>
        <w:numPr>
          <w:ilvl w:val="1"/>
          <w:numId w:val="2"/>
        </w:numPr>
        <w:spacing w:after="0" w:afterAutospacing="0" w:before="0" w:beforeAutospacing="0" w:line="276" w:lineRule="auto"/>
        <w:ind w:left="144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How to group? Check individual similarity scores and group those with &gt;X% similarity?</w:t>
      </w:r>
    </w:p>
    <w:p w:rsidR="00000000" w:rsidDel="00000000" w:rsidP="00000000" w:rsidRDefault="00000000" w:rsidRPr="00000000" w14:paraId="00000041">
      <w:pPr>
        <w:numPr>
          <w:ilvl w:val="1"/>
          <w:numId w:val="2"/>
        </w:numPr>
        <w:spacing w:after="0" w:afterAutospacing="0" w:before="0" w:beforeAutospacing="0" w:line="276" w:lineRule="auto"/>
        <w:ind w:left="144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Should we choose one disease or disease grouping?</w:t>
      </w:r>
    </w:p>
    <w:p w:rsidR="00000000" w:rsidDel="00000000" w:rsidP="00000000" w:rsidRDefault="00000000" w:rsidRPr="00000000" w14:paraId="00000042">
      <w:pPr>
        <w:numPr>
          <w:ilvl w:val="2"/>
          <w:numId w:val="2"/>
        </w:numPr>
        <w:spacing w:after="0" w:afterAutospacing="0" w:before="0" w:beforeAutospacing="0" w:line="276" w:lineRule="auto"/>
        <w:ind w:left="216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Supervised for individual, unsupervised for groups?</w:t>
      </w:r>
    </w:p>
    <w:p w:rsidR="00000000" w:rsidDel="00000000" w:rsidP="00000000" w:rsidRDefault="00000000" w:rsidRPr="00000000" w14:paraId="00000043">
      <w:pPr>
        <w:numPr>
          <w:ilvl w:val="0"/>
          <w:numId w:val="2"/>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Effects of using multiple studies</w:t>
      </w:r>
    </w:p>
    <w:p w:rsidR="00000000" w:rsidDel="00000000" w:rsidP="00000000" w:rsidRDefault="00000000" w:rsidRPr="00000000" w14:paraId="00000044">
      <w:pPr>
        <w:numPr>
          <w:ilvl w:val="1"/>
          <w:numId w:val="2"/>
        </w:numPr>
        <w:spacing w:after="0" w:afterAutospacing="0" w:before="0" w:beforeAutospacing="0" w:line="276" w:lineRule="auto"/>
        <w:ind w:left="1440" w:hanging="360"/>
        <w:rPr>
          <w:rFonts w:ascii="Merriweather" w:cs="Merriweather" w:eastAsia="Merriweather" w:hAnsi="Merriweather"/>
          <w:sz w:val="22"/>
          <w:szCs w:val="22"/>
        </w:rPr>
      </w:pPr>
      <w:r w:rsidDel="00000000" w:rsidR="00000000" w:rsidRPr="00000000">
        <w:rPr>
          <w:rFonts w:ascii="Nova Mono" w:cs="Nova Mono" w:eastAsia="Nova Mono" w:hAnsi="Nova Mono"/>
          <w:sz w:val="22"/>
          <w:szCs w:val="22"/>
          <w:rtl w:val="0"/>
        </w:rPr>
        <w:t xml:space="preserve">correlation within own group → robustness</w:t>
      </w:r>
    </w:p>
    <w:p w:rsidR="00000000" w:rsidDel="00000000" w:rsidP="00000000" w:rsidRDefault="00000000" w:rsidRPr="00000000" w14:paraId="00000045">
      <w:pPr>
        <w:numPr>
          <w:ilvl w:val="1"/>
          <w:numId w:val="2"/>
        </w:numPr>
        <w:spacing w:before="0" w:beforeAutospacing="0" w:line="276" w:lineRule="auto"/>
        <w:ind w:left="144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Also related to correlation within family units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4"/>
        </w:numPr>
        <w:ind w:left="720" w:hanging="360"/>
        <w:rPr>
          <w:highlight w:val="yellow"/>
        </w:rPr>
      </w:pPr>
      <w:r w:rsidDel="00000000" w:rsidR="00000000" w:rsidRPr="00000000">
        <w:rPr>
          <w:highlight w:val="yellow"/>
          <w:rtl w:val="0"/>
        </w:rPr>
        <w:t xml:space="preserve">Machine learning tools/algorithms</w:t>
      </w:r>
    </w:p>
    <w:p w:rsidR="00000000" w:rsidDel="00000000" w:rsidP="00000000" w:rsidRDefault="00000000" w:rsidRPr="00000000" w14:paraId="00000048">
      <w:pPr>
        <w:numPr>
          <w:ilvl w:val="1"/>
          <w:numId w:val="4"/>
        </w:numPr>
        <w:ind w:left="1440" w:hanging="360"/>
        <w:rPr>
          <w:highlight w:val="yellow"/>
        </w:rPr>
      </w:pPr>
      <w:r w:rsidDel="00000000" w:rsidR="00000000" w:rsidRPr="00000000">
        <w:rPr>
          <w:highlight w:val="yellow"/>
          <w:rtl w:val="0"/>
        </w:rPr>
        <w:t xml:space="preserve">How will we know which one produces the best result? Random Forest/tree? SVM? Others?</w:t>
      </w:r>
      <w:r w:rsidDel="00000000" w:rsidR="00000000" w:rsidRPr="00000000">
        <w:rPr>
          <w:rtl w:val="0"/>
        </w:rPr>
      </w:r>
    </w:p>
    <w:p w:rsidR="00000000" w:rsidDel="00000000" w:rsidP="00000000" w:rsidRDefault="00000000" w:rsidRPr="00000000" w14:paraId="00000049">
      <w:pPr>
        <w:numPr>
          <w:ilvl w:val="0"/>
          <w:numId w:val="4"/>
        </w:numPr>
        <w:ind w:left="720" w:hanging="360"/>
        <w:rPr>
          <w:highlight w:val="yellow"/>
        </w:rPr>
      </w:pPr>
      <w:r w:rsidDel="00000000" w:rsidR="00000000" w:rsidRPr="00000000">
        <w:rPr>
          <w:highlight w:val="yellow"/>
          <w:rtl w:val="0"/>
        </w:rPr>
        <w:t xml:space="preserve">Data integration methods</w:t>
      </w:r>
    </w:p>
    <w:p w:rsidR="00000000" w:rsidDel="00000000" w:rsidP="00000000" w:rsidRDefault="00000000" w:rsidRPr="00000000" w14:paraId="0000004A">
      <w:pPr>
        <w:numPr>
          <w:ilvl w:val="1"/>
          <w:numId w:val="4"/>
        </w:numPr>
        <w:ind w:left="1440" w:hanging="360"/>
        <w:rPr>
          <w:highlight w:val="yellow"/>
        </w:rPr>
      </w:pPr>
      <w:r w:rsidDel="00000000" w:rsidR="00000000" w:rsidRPr="00000000">
        <w:rPr>
          <w:highlight w:val="yellow"/>
          <w:rtl w:val="0"/>
        </w:rPr>
        <w:t xml:space="preserve">Manghi et al has a method for integrating more data into their dataset, but I added that in the “data” section</w:t>
      </w:r>
    </w:p>
    <w:p w:rsidR="00000000" w:rsidDel="00000000" w:rsidP="00000000" w:rsidRDefault="00000000" w:rsidRPr="00000000" w14:paraId="0000004B">
      <w:pPr>
        <w:numPr>
          <w:ilvl w:val="0"/>
          <w:numId w:val="4"/>
        </w:numPr>
        <w:ind w:left="720" w:hanging="360"/>
        <w:rPr>
          <w:highlight w:val="yellow"/>
        </w:rPr>
      </w:pPr>
      <w:r w:rsidDel="00000000" w:rsidR="00000000" w:rsidRPr="00000000">
        <w:rPr>
          <w:highlight w:val="yellow"/>
          <w:rtl w:val="0"/>
        </w:rPr>
        <w:t xml:space="preserve">Bioinformatics pipelines</w:t>
      </w:r>
    </w:p>
    <w:p w:rsidR="00000000" w:rsidDel="00000000" w:rsidP="00000000" w:rsidRDefault="00000000" w:rsidRPr="00000000" w14:paraId="0000004C">
      <w:pPr>
        <w:numPr>
          <w:ilvl w:val="0"/>
          <w:numId w:val="4"/>
        </w:numPr>
        <w:ind w:left="720" w:hanging="360"/>
        <w:rPr>
          <w:highlight w:val="yellow"/>
        </w:rPr>
      </w:pPr>
      <w:r w:rsidDel="00000000" w:rsidR="00000000" w:rsidRPr="00000000">
        <w:rPr>
          <w:highlight w:val="yellow"/>
          <w:rtl w:val="0"/>
        </w:rPr>
        <w:t xml:space="preserve">Kim et al. has a lot of tools listed as well (supplementary table 1), if any overlap they might be worth mentioning!</w:t>
      </w:r>
    </w:p>
    <w:p w:rsidR="00000000" w:rsidDel="00000000" w:rsidP="00000000" w:rsidRDefault="00000000" w:rsidRPr="00000000" w14:paraId="0000004D">
      <w:pPr>
        <w:numPr>
          <w:ilvl w:val="1"/>
          <w:numId w:val="4"/>
        </w:numPr>
        <w:ind w:left="1440" w:hanging="360"/>
        <w:rPr>
          <w:highlight w:val="yellow"/>
        </w:rPr>
      </w:pPr>
      <w:r w:rsidDel="00000000" w:rsidR="00000000" w:rsidRPr="00000000">
        <w:rPr>
          <w:highlight w:val="yellow"/>
          <w:rtl w:val="0"/>
        </w:rPr>
        <w:t xml:space="preserve">Genome scale metabolic models (GEMs)</w:t>
      </w:r>
    </w:p>
    <w:p w:rsidR="00000000" w:rsidDel="00000000" w:rsidP="00000000" w:rsidRDefault="00000000" w:rsidRPr="00000000" w14:paraId="0000004E">
      <w:pPr>
        <w:numPr>
          <w:ilvl w:val="2"/>
          <w:numId w:val="4"/>
        </w:numPr>
        <w:ind w:left="2160" w:hanging="360"/>
        <w:rPr>
          <w:highlight w:val="yellow"/>
        </w:rPr>
      </w:pPr>
      <w:r w:rsidDel="00000000" w:rsidR="00000000" w:rsidRPr="00000000">
        <w:rPr>
          <w:highlight w:val="yellow"/>
          <w:rtl w:val="0"/>
        </w:rPr>
        <w:t xml:space="preserve">Automated GEM reconstruction: RAVEN, Pathway Tools, merlin, ModelSEED, CarveMe, gapseq</w:t>
      </w:r>
    </w:p>
    <w:p w:rsidR="00000000" w:rsidDel="00000000" w:rsidP="00000000" w:rsidRDefault="00000000" w:rsidRPr="00000000" w14:paraId="0000004F">
      <w:pPr>
        <w:numPr>
          <w:ilvl w:val="1"/>
          <w:numId w:val="4"/>
        </w:numPr>
        <w:ind w:left="1440" w:hanging="360"/>
        <w:rPr>
          <w:highlight w:val="yellow"/>
        </w:rPr>
      </w:pPr>
      <w:r w:rsidDel="00000000" w:rsidR="00000000" w:rsidRPr="00000000">
        <w:rPr>
          <w:highlight w:val="yellow"/>
          <w:rtl w:val="0"/>
        </w:rPr>
        <w:t xml:space="preserve">Homology functional annotations: ProScan, Prokka, Bakta, DRAM, MicrobeAnnotator</w:t>
      </w:r>
    </w:p>
    <w:p w:rsidR="00000000" w:rsidDel="00000000" w:rsidP="00000000" w:rsidRDefault="00000000" w:rsidRPr="00000000" w14:paraId="00000050">
      <w:pPr>
        <w:numPr>
          <w:ilvl w:val="1"/>
          <w:numId w:val="4"/>
        </w:numPr>
        <w:ind w:left="1440" w:hanging="360"/>
        <w:rPr>
          <w:highlight w:val="yellow"/>
        </w:rPr>
      </w:pPr>
      <w:r w:rsidDel="00000000" w:rsidR="00000000" w:rsidRPr="00000000">
        <w:rPr>
          <w:highlight w:val="yellow"/>
          <w:rtl w:val="0"/>
        </w:rPr>
        <w:t xml:space="preserve">Predicting metabolic interactions &amp; community metabolic modelling: CASINO, BacArena, Microbiome Modeling Toolbox</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97" w:type="default"/>
      <w:headerReference r:id="rId98" w:type="first"/>
      <w:footerReference r:id="rId99"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Style w:val="Title"/>
      <w:rPr/>
    </w:pPr>
    <w:bookmarkStart w:colFirst="0" w:colLast="0" w:name="_n9uyyk59h856" w:id="9"/>
    <w:bookmarkEnd w:id="9"/>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Style w:val="Title"/>
      <w:rPr/>
    </w:pPr>
    <w:bookmarkStart w:colFirst="0" w:colLast="0" w:name="_jvemxvipj50a" w:id="10"/>
    <w:bookmarkEnd w:id="10"/>
    <w:r w:rsidDel="00000000" w:rsidR="00000000" w:rsidRPr="00000000">
      <w:rPr>
        <w:rtl w:val="0"/>
      </w:rPr>
      <w:t xml:space="preserve">Final Project Statement</w:t>
    </w:r>
    <w:r w:rsidDel="00000000" w:rsidR="00000000" w:rsidRPr="00000000">
      <w:rPr>
        <w:rtl w:val="0"/>
      </w:rPr>
    </w:r>
  </w:p>
  <w:p w:rsidR="00000000" w:rsidDel="00000000" w:rsidP="00000000" w:rsidRDefault="00000000" w:rsidRPr="00000000" w14:paraId="00000056">
    <w:pPr>
      <w:pStyle w:val="Title"/>
      <w:rPr/>
    </w:pPr>
    <w:bookmarkStart w:colFirst="0" w:colLast="0" w:name="_7hi11c65wwuj" w:id="11"/>
    <w:bookmarkEnd w:id="11"/>
    <w:r w:rsidDel="00000000" w:rsidR="00000000" w:rsidRPr="00000000">
      <w:rPr>
        <w:sz w:val="28"/>
        <w:szCs w:val="28"/>
        <w:rtl w:val="0"/>
      </w:rPr>
      <w:t xml:space="preserve">Authors: Kaitlyn Schisler, Cory Spern, Faith Shipman, Jacob Anderson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pPr>
    <w:rPr>
      <w:b w:val="1"/>
      <w:bCs w:val="1"/>
      <w:color w:val="0b5394"/>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00" w:lineRule="auto"/>
    </w:pPr>
    <w:rPr>
      <w:b w:val="1"/>
      <w:bCs w:val="1"/>
      <w:color w:val="0b5394"/>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46"/>
      <w:szCs w:val="46"/>
    </w:rPr>
  </w:style>
  <w:style w:type="paragraph" w:styleId="Subtitle">
    <w:name w:val="Subtitle"/>
    <w:basedOn w:val="Normal"/>
    <w:next w:val="Normal"/>
    <w:pPr>
      <w:keepNext w:val="1"/>
      <w:keepLines w:val="1"/>
      <w:spacing w:after="320" w:lineRule="auto"/>
    </w:pPr>
    <w:rPr>
      <w:rFonts w:ascii="Merriweather" w:cs="Merriweather" w:eastAsia="Merriweather" w:hAnsi="Merriweathe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SqlzQM" TargetMode="External"/><Relationship Id="rId42" Type="http://schemas.openxmlformats.org/officeDocument/2006/relationships/hyperlink" Target="https://www.zotero.org/google-docs/?SqlzQM" TargetMode="External"/><Relationship Id="rId41" Type="http://schemas.openxmlformats.org/officeDocument/2006/relationships/hyperlink" Target="https://www.zotero.org/google-docs/?SqlzQM" TargetMode="External"/><Relationship Id="rId44" Type="http://schemas.openxmlformats.org/officeDocument/2006/relationships/hyperlink" Target="https://www.zotero.org/google-docs/?SqlzQM" TargetMode="External"/><Relationship Id="rId43" Type="http://schemas.openxmlformats.org/officeDocument/2006/relationships/hyperlink" Target="https://www.zotero.org/google-docs/?SqlzQM" TargetMode="External"/><Relationship Id="rId46" Type="http://schemas.openxmlformats.org/officeDocument/2006/relationships/hyperlink" Target="https://www.zotero.org/google-docs/?SqlzQM" TargetMode="External"/><Relationship Id="rId45" Type="http://schemas.openxmlformats.org/officeDocument/2006/relationships/hyperlink" Target="https://www.zotero.org/google-docs/?SqlzQM" TargetMode="External"/><Relationship Id="rId48" Type="http://schemas.openxmlformats.org/officeDocument/2006/relationships/hyperlink" Target="https://www.zotero.org/google-docs/?SqlzQM" TargetMode="External"/><Relationship Id="rId47" Type="http://schemas.openxmlformats.org/officeDocument/2006/relationships/hyperlink" Target="https://www.zotero.org/google-docs/?SqlzQM" TargetMode="External"/><Relationship Id="rId49" Type="http://schemas.openxmlformats.org/officeDocument/2006/relationships/hyperlink" Target="https://www.zotero.org/google-docs/?SqlzQM" TargetMode="External"/><Relationship Id="rId31" Type="http://schemas.openxmlformats.org/officeDocument/2006/relationships/hyperlink" Target="https://www.zotero.org/google-docs/?SqlzQM" TargetMode="External"/><Relationship Id="rId30" Type="http://schemas.openxmlformats.org/officeDocument/2006/relationships/hyperlink" Target="https://www.zotero.org/google-docs/?SqlzQM" TargetMode="External"/><Relationship Id="rId33" Type="http://schemas.openxmlformats.org/officeDocument/2006/relationships/hyperlink" Target="https://www.zotero.org/google-docs/?SqlzQM" TargetMode="External"/><Relationship Id="rId32" Type="http://schemas.openxmlformats.org/officeDocument/2006/relationships/hyperlink" Target="https://www.zotero.org/google-docs/?SqlzQM" TargetMode="External"/><Relationship Id="rId35" Type="http://schemas.openxmlformats.org/officeDocument/2006/relationships/hyperlink" Target="https://www.zotero.org/google-docs/?SqlzQM" TargetMode="External"/><Relationship Id="rId34" Type="http://schemas.openxmlformats.org/officeDocument/2006/relationships/hyperlink" Target="https://www.zotero.org/google-docs/?SqlzQM" TargetMode="External"/><Relationship Id="rId37" Type="http://schemas.openxmlformats.org/officeDocument/2006/relationships/hyperlink" Target="https://www.zotero.org/google-docs/?SqlzQM" TargetMode="External"/><Relationship Id="rId36" Type="http://schemas.openxmlformats.org/officeDocument/2006/relationships/hyperlink" Target="https://www.zotero.org/google-docs/?SqlzQM" TargetMode="External"/><Relationship Id="rId39" Type="http://schemas.openxmlformats.org/officeDocument/2006/relationships/hyperlink" Target="https://www.zotero.org/google-docs/?SqlzQM" TargetMode="External"/><Relationship Id="rId38" Type="http://schemas.openxmlformats.org/officeDocument/2006/relationships/hyperlink" Target="https://www.zotero.org/google-docs/?SqlzQM" TargetMode="External"/><Relationship Id="rId20" Type="http://schemas.openxmlformats.org/officeDocument/2006/relationships/hyperlink" Target="https://www.zotero.org/google-docs/?8G90p4" TargetMode="External"/><Relationship Id="rId22" Type="http://schemas.openxmlformats.org/officeDocument/2006/relationships/hyperlink" Target="https://www.zotero.org/google-docs/?SqlzQM" TargetMode="External"/><Relationship Id="rId21" Type="http://schemas.openxmlformats.org/officeDocument/2006/relationships/hyperlink" Target="https://www.zotero.org/google-docs/?He2nhp" TargetMode="External"/><Relationship Id="rId24" Type="http://schemas.openxmlformats.org/officeDocument/2006/relationships/hyperlink" Target="https://www.zotero.org/google-docs/?SqlzQM" TargetMode="External"/><Relationship Id="rId23" Type="http://schemas.openxmlformats.org/officeDocument/2006/relationships/hyperlink" Target="https://www.zotero.org/google-docs/?SqlzQM" TargetMode="External"/><Relationship Id="rId26" Type="http://schemas.openxmlformats.org/officeDocument/2006/relationships/hyperlink" Target="https://www.zotero.org/google-docs/?SqlzQM" TargetMode="External"/><Relationship Id="rId25" Type="http://schemas.openxmlformats.org/officeDocument/2006/relationships/hyperlink" Target="https://www.zotero.org/google-docs/?SqlzQM" TargetMode="External"/><Relationship Id="rId28" Type="http://schemas.openxmlformats.org/officeDocument/2006/relationships/hyperlink" Target="https://www.zotero.org/google-docs/?SqlzQM" TargetMode="External"/><Relationship Id="rId27" Type="http://schemas.openxmlformats.org/officeDocument/2006/relationships/hyperlink" Target="https://www.zotero.org/google-docs/?SqlzQM" TargetMode="External"/><Relationship Id="rId29" Type="http://schemas.openxmlformats.org/officeDocument/2006/relationships/hyperlink" Target="https://www.zotero.org/google-docs/?SqlzQM" TargetMode="External"/><Relationship Id="rId95" Type="http://schemas.openxmlformats.org/officeDocument/2006/relationships/footer" Target="footer2.xml"/><Relationship Id="rId94" Type="http://schemas.openxmlformats.org/officeDocument/2006/relationships/header" Target="header3.xml"/><Relationship Id="rId97" Type="http://schemas.openxmlformats.org/officeDocument/2006/relationships/header" Target="header6.xml"/><Relationship Id="rId96" Type="http://schemas.openxmlformats.org/officeDocument/2006/relationships/hyperlink" Target="https://developers.google.com/machine-learning/crash-course/classification/roc-and-auc" TargetMode="External"/><Relationship Id="rId11" Type="http://schemas.openxmlformats.org/officeDocument/2006/relationships/hyperlink" Target="https://www.zotero.org/google-docs/?TmL7Jw" TargetMode="External"/><Relationship Id="rId99" Type="http://schemas.openxmlformats.org/officeDocument/2006/relationships/footer" Target="footer3.xml"/><Relationship Id="rId10" Type="http://schemas.openxmlformats.org/officeDocument/2006/relationships/hyperlink" Target="https://www.zotero.org/google-docs/?qLo5H4" TargetMode="External"/><Relationship Id="rId98" Type="http://schemas.openxmlformats.org/officeDocument/2006/relationships/header" Target="header5.xml"/><Relationship Id="rId13" Type="http://schemas.openxmlformats.org/officeDocument/2006/relationships/hyperlink" Target="https://www.zotero.org/google-docs/?MB5NKA" TargetMode="External"/><Relationship Id="rId12" Type="http://schemas.openxmlformats.org/officeDocument/2006/relationships/hyperlink" Target="https://www.zotero.org/google-docs/?zx9LRp" TargetMode="External"/><Relationship Id="rId91" Type="http://schemas.openxmlformats.org/officeDocument/2006/relationships/header" Target="header2.xml"/><Relationship Id="rId90" Type="http://schemas.openxmlformats.org/officeDocument/2006/relationships/header" Target="header1.xml"/><Relationship Id="rId93" Type="http://schemas.openxmlformats.org/officeDocument/2006/relationships/header" Target="header4.xml"/><Relationship Id="rId92" Type="http://schemas.openxmlformats.org/officeDocument/2006/relationships/footer" Target="footer1.xml"/><Relationship Id="rId15" Type="http://schemas.openxmlformats.org/officeDocument/2006/relationships/hyperlink" Target="https://www.zotero.org/google-docs/?LCGOTA" TargetMode="External"/><Relationship Id="rId14" Type="http://schemas.openxmlformats.org/officeDocument/2006/relationships/hyperlink" Target="https://www.zotero.org/google-docs/?TU1BLj" TargetMode="External"/><Relationship Id="rId17" Type="http://schemas.openxmlformats.org/officeDocument/2006/relationships/hyperlink" Target="https://www.zotero.org/google-docs/?LATPPN" TargetMode="External"/><Relationship Id="rId16" Type="http://schemas.openxmlformats.org/officeDocument/2006/relationships/hyperlink" Target="https://www.zotero.org/google-docs/?QEOGw7" TargetMode="External"/><Relationship Id="rId19" Type="http://schemas.openxmlformats.org/officeDocument/2006/relationships/hyperlink" Target="https://www.zotero.org/google-docs/?RrY8qC" TargetMode="External"/><Relationship Id="rId18" Type="http://schemas.openxmlformats.org/officeDocument/2006/relationships/hyperlink" Target="https://www.zotero.org/google-docs/?GxiZmA" TargetMode="External"/><Relationship Id="rId84" Type="http://schemas.openxmlformats.org/officeDocument/2006/relationships/hyperlink" Target="https://www.zotero.org/google-docs/?SqlzQM" TargetMode="External"/><Relationship Id="rId83" Type="http://schemas.openxmlformats.org/officeDocument/2006/relationships/hyperlink" Target="https://www.zotero.org/google-docs/?SqlzQM" TargetMode="External"/><Relationship Id="rId86" Type="http://schemas.openxmlformats.org/officeDocument/2006/relationships/hyperlink" Target="https://www.zotero.org/google-docs/?SqlzQM" TargetMode="External"/><Relationship Id="rId85" Type="http://schemas.openxmlformats.org/officeDocument/2006/relationships/hyperlink" Target="https://www.zotero.org/google-docs/?SqlzQM" TargetMode="External"/><Relationship Id="rId88" Type="http://schemas.openxmlformats.org/officeDocument/2006/relationships/hyperlink" Target="https://www.zotero.org/google-docs/?SqlzQM" TargetMode="External"/><Relationship Id="rId87" Type="http://schemas.openxmlformats.org/officeDocument/2006/relationships/hyperlink" Target="https://www.zotero.org/google-docs/?SqlzQM" TargetMode="External"/><Relationship Id="rId89" Type="http://schemas.openxmlformats.org/officeDocument/2006/relationships/hyperlink" Target="https://www.zotero.org/google-docs/?SqlzQM" TargetMode="External"/><Relationship Id="rId80" Type="http://schemas.openxmlformats.org/officeDocument/2006/relationships/hyperlink" Target="https://www.zotero.org/google-docs/?SqlzQM" TargetMode="External"/><Relationship Id="rId82" Type="http://schemas.openxmlformats.org/officeDocument/2006/relationships/hyperlink" Target="https://www.zotero.org/google-docs/?SqlzQM" TargetMode="External"/><Relationship Id="rId81" Type="http://schemas.openxmlformats.org/officeDocument/2006/relationships/hyperlink" Target="https://www.zotero.org/google-docs/?SqlzQ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ZiTAlO" TargetMode="External"/><Relationship Id="rId5" Type="http://schemas.openxmlformats.org/officeDocument/2006/relationships/styles" Target="styles.xml"/><Relationship Id="rId6" Type="http://schemas.openxmlformats.org/officeDocument/2006/relationships/hyperlink" Target="https://www.zotero.org/google-docs/?rzmIxE" TargetMode="External"/><Relationship Id="rId7" Type="http://schemas.openxmlformats.org/officeDocument/2006/relationships/hyperlink" Target="https://www.zotero.org/google-docs/?Ea5RCw" TargetMode="External"/><Relationship Id="rId8" Type="http://schemas.openxmlformats.org/officeDocument/2006/relationships/hyperlink" Target="https://www.zotero.org/google-docs/?mwi9An" TargetMode="External"/><Relationship Id="rId73" Type="http://schemas.openxmlformats.org/officeDocument/2006/relationships/hyperlink" Target="https://www.zotero.org/google-docs/?SqlzQM" TargetMode="External"/><Relationship Id="rId72" Type="http://schemas.openxmlformats.org/officeDocument/2006/relationships/hyperlink" Target="https://www.zotero.org/google-docs/?SqlzQM" TargetMode="External"/><Relationship Id="rId75" Type="http://schemas.openxmlformats.org/officeDocument/2006/relationships/hyperlink" Target="https://www.zotero.org/google-docs/?SqlzQM" TargetMode="External"/><Relationship Id="rId74" Type="http://schemas.openxmlformats.org/officeDocument/2006/relationships/hyperlink" Target="https://www.zotero.org/google-docs/?SqlzQM" TargetMode="External"/><Relationship Id="rId77" Type="http://schemas.openxmlformats.org/officeDocument/2006/relationships/hyperlink" Target="https://www.zotero.org/google-docs/?SqlzQM" TargetMode="External"/><Relationship Id="rId76" Type="http://schemas.openxmlformats.org/officeDocument/2006/relationships/hyperlink" Target="https://www.zotero.org/google-docs/?SqlzQM" TargetMode="External"/><Relationship Id="rId79" Type="http://schemas.openxmlformats.org/officeDocument/2006/relationships/hyperlink" Target="https://www.zotero.org/google-docs/?SqlzQM" TargetMode="External"/><Relationship Id="rId78" Type="http://schemas.openxmlformats.org/officeDocument/2006/relationships/hyperlink" Target="https://www.zotero.org/google-docs/?SqlzQM" TargetMode="External"/><Relationship Id="rId71" Type="http://schemas.openxmlformats.org/officeDocument/2006/relationships/hyperlink" Target="https://www.zotero.org/google-docs/?SqlzQM" TargetMode="External"/><Relationship Id="rId70" Type="http://schemas.openxmlformats.org/officeDocument/2006/relationships/hyperlink" Target="https://www.zotero.org/google-docs/?SqlzQM" TargetMode="External"/><Relationship Id="rId62" Type="http://schemas.openxmlformats.org/officeDocument/2006/relationships/hyperlink" Target="https://www.zotero.org/google-docs/?SqlzQM" TargetMode="External"/><Relationship Id="rId61" Type="http://schemas.openxmlformats.org/officeDocument/2006/relationships/hyperlink" Target="https://www.zotero.org/google-docs/?SqlzQM" TargetMode="External"/><Relationship Id="rId64" Type="http://schemas.openxmlformats.org/officeDocument/2006/relationships/hyperlink" Target="https://www.zotero.org/google-docs/?SqlzQM" TargetMode="External"/><Relationship Id="rId63" Type="http://schemas.openxmlformats.org/officeDocument/2006/relationships/hyperlink" Target="https://www.zotero.org/google-docs/?SqlzQM" TargetMode="External"/><Relationship Id="rId66" Type="http://schemas.openxmlformats.org/officeDocument/2006/relationships/hyperlink" Target="https://www.zotero.org/google-docs/?SqlzQM" TargetMode="External"/><Relationship Id="rId65" Type="http://schemas.openxmlformats.org/officeDocument/2006/relationships/hyperlink" Target="https://www.zotero.org/google-docs/?SqlzQM" TargetMode="External"/><Relationship Id="rId68" Type="http://schemas.openxmlformats.org/officeDocument/2006/relationships/hyperlink" Target="https://www.zotero.org/google-docs/?SqlzQM" TargetMode="External"/><Relationship Id="rId67" Type="http://schemas.openxmlformats.org/officeDocument/2006/relationships/hyperlink" Target="https://www.zotero.org/google-docs/?SqlzQM" TargetMode="External"/><Relationship Id="rId60" Type="http://schemas.openxmlformats.org/officeDocument/2006/relationships/hyperlink" Target="https://www.zotero.org/google-docs/?SqlzQM" TargetMode="External"/><Relationship Id="rId69" Type="http://schemas.openxmlformats.org/officeDocument/2006/relationships/hyperlink" Target="https://www.zotero.org/google-docs/?SqlzQM" TargetMode="External"/><Relationship Id="rId51" Type="http://schemas.openxmlformats.org/officeDocument/2006/relationships/hyperlink" Target="https://www.zotero.org/google-docs/?SqlzQM" TargetMode="External"/><Relationship Id="rId50" Type="http://schemas.openxmlformats.org/officeDocument/2006/relationships/hyperlink" Target="https://www.zotero.org/google-docs/?SqlzQM" TargetMode="External"/><Relationship Id="rId53" Type="http://schemas.openxmlformats.org/officeDocument/2006/relationships/hyperlink" Target="https://www.zotero.org/google-docs/?SqlzQM" TargetMode="External"/><Relationship Id="rId52" Type="http://schemas.openxmlformats.org/officeDocument/2006/relationships/hyperlink" Target="https://www.zotero.org/google-docs/?SqlzQM" TargetMode="External"/><Relationship Id="rId55" Type="http://schemas.openxmlformats.org/officeDocument/2006/relationships/hyperlink" Target="https://www.zotero.org/google-docs/?SqlzQM" TargetMode="External"/><Relationship Id="rId54" Type="http://schemas.openxmlformats.org/officeDocument/2006/relationships/hyperlink" Target="https://www.zotero.org/google-docs/?SqlzQM" TargetMode="External"/><Relationship Id="rId57" Type="http://schemas.openxmlformats.org/officeDocument/2006/relationships/hyperlink" Target="https://www.zotero.org/google-docs/?SqlzQM" TargetMode="External"/><Relationship Id="rId56" Type="http://schemas.openxmlformats.org/officeDocument/2006/relationships/hyperlink" Target="https://www.zotero.org/google-docs/?SqlzQM" TargetMode="External"/><Relationship Id="rId59" Type="http://schemas.openxmlformats.org/officeDocument/2006/relationships/hyperlink" Target="https://www.zotero.org/google-docs/?SqlzQM" TargetMode="External"/><Relationship Id="rId58" Type="http://schemas.openxmlformats.org/officeDocument/2006/relationships/hyperlink" Target="https://www.zotero.org/google-docs/?SqlzQ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